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441701-2024-00050</w:t>
      </w:r>
    </w:p>
    <w:p>
      <w:pPr>
        <w:jc w:val="center"/>
      </w:pPr>
      <w:r>
        <w:rPr>
          <w:b/>
          <w:sz w:val="24"/>
        </w:rPr>
        <w:t>采购项目编号：</w:t>
      </w:r>
      <w:r>
        <w:rPr>
          <w:b/>
          <w:sz w:val="24"/>
        </w:rPr>
        <w:t>YXZB-20240111</w:t>
      </w:r>
    </w:p>
    <w:p>
      <w:pPr>
        <w:jc w:val="center"/>
      </w:pPr>
      <w:r>
        <w:rPr>
          <w:b/>
          <w:sz w:val="24"/>
        </w:rPr>
        <w:t>项目名称：</w:t>
      </w:r>
      <w:r>
        <w:rPr>
          <w:b/>
          <w:sz w:val="24"/>
        </w:rPr>
        <w:t>阳江市综合文化中心规划馆展陈深化设计及施工一体化布展服务项目</w:t>
      </w:r>
    </w:p>
    <w:p>
      <w:pPr>
        <w:jc w:val="center"/>
      </w:pPr>
      <w:r>
        <w:rPr>
          <w:b/>
          <w:sz w:val="24"/>
        </w:rPr>
        <w:t>采购人：</w:t>
      </w:r>
      <w:r>
        <w:rPr>
          <w:b/>
          <w:sz w:val="24"/>
        </w:rPr>
        <w:t>阳江市档案馆</w:t>
      </w:r>
    </w:p>
    <w:p>
      <w:pPr>
        <w:jc w:val="center"/>
      </w:pPr>
      <w:r>
        <w:rPr>
          <w:b/>
          <w:sz w:val="24"/>
        </w:rPr>
        <w:t>采购代理机构：</w:t>
      </w:r>
      <w:r>
        <w:rPr>
          <w:b/>
          <w:sz w:val="24"/>
        </w:rPr>
        <w:t>广东业信招标有限公司</w:t>
      </w:r>
    </w:p>
    <w:p>
      <w:pPr>
        <w:ind w:firstLine="480"/>
      </w:pPr>
    </w:p>
    <w:p>
      <w:r>
        <w:rPr/>
        <w:t xml:space="preserve"> </w:t>
      </w:r>
    </w:p>
    <w:p/>
    <w:p>
      <w:pPr>
        <w:jc w:val="center"/>
      </w:pPr>
      <w:r>
        <w:rPr>
          <w:b/>
          <w:sz w:val="36"/>
        </w:rPr>
        <w:t>第一章投标邀请</w:t>
      </w:r>
    </w:p>
    <w:p>
      <w:pPr>
        <w:ind w:firstLine="480"/>
      </w:pPr>
      <w:r>
        <w:rPr/>
        <w:t>广东业信招标有限公司</w:t>
      </w:r>
      <w:r>
        <w:rPr/>
        <w:t>受</w:t>
      </w:r>
      <w:r>
        <w:rPr/>
        <w:t>阳江市档案馆</w:t>
      </w:r>
      <w:r>
        <w:rPr/>
        <w:t>的委托，采用</w:t>
      </w:r>
      <w:r>
        <w:rPr/>
        <w:t>公开招标</w:t>
      </w:r>
      <w:r>
        <w:rPr/>
        <w:t>方式组织采购</w:t>
      </w:r>
      <w:r>
        <w:rPr/>
        <w:t>阳江市综合文化中心规划馆展陈深化设计及施工一体化布展服务项目</w:t>
      </w:r>
      <w:r>
        <w:rPr/>
        <w:t>。欢迎符合资格条件的国内供应商参加投标。</w:t>
      </w:r>
    </w:p>
    <w:p>
      <w:r>
        <w:rPr>
          <w:b/>
          <w:sz w:val="28"/>
        </w:rPr>
        <w:t>一.项目概述</w:t>
      </w:r>
    </w:p>
    <w:p>
      <w:r>
        <w:rPr>
          <w:b/>
          <w:sz w:val="24"/>
        </w:rPr>
        <w:t>1.名称与编号</w:t>
      </w:r>
    </w:p>
    <w:p>
      <w:pPr>
        <w:ind w:firstLine="480"/>
      </w:pPr>
      <w:r>
        <w:rPr/>
        <w:t>项目名称：</w:t>
      </w:r>
      <w:r>
        <w:rPr/>
        <w:t>阳江市综合文化中心规划馆展陈深化设计及施工一体化布展服务项目</w:t>
      </w:r>
    </w:p>
    <w:p>
      <w:pPr>
        <w:ind w:firstLine="480"/>
      </w:pPr>
      <w:r>
        <w:rPr/>
        <w:t>采购计划编号：</w:t>
      </w:r>
      <w:r>
        <w:rPr/>
        <w:t>441701-2024-00050</w:t>
      </w:r>
    </w:p>
    <w:p>
      <w:pPr>
        <w:ind w:firstLine="480"/>
      </w:pPr>
      <w:r>
        <w:rPr/>
        <w:t>采购项目编号：</w:t>
      </w:r>
      <w:r>
        <w:rPr/>
        <w:t>YXZB-20240111</w:t>
      </w:r>
    </w:p>
    <w:p>
      <w:pPr>
        <w:ind w:firstLine="480"/>
      </w:pPr>
      <w:r>
        <w:rPr/>
        <w:t>采购方式：</w:t>
      </w:r>
      <w:r>
        <w:rPr/>
        <w:t>公开招标</w:t>
      </w:r>
    </w:p>
    <w:p>
      <w:pPr>
        <w:ind w:firstLine="480"/>
      </w:pPr>
      <w:r>
        <w:rPr/>
        <w:t>预算金额：</w:t>
      </w:r>
      <w:r>
        <w:rPr/>
        <w:t>16,049,235.58</w:t>
      </w:r>
      <w:r>
        <w:rPr/>
        <w:t>元</w:t>
      </w:r>
    </w:p>
    <w:p>
      <w:r>
        <w:rPr>
          <w:b/>
          <w:sz w:val="24"/>
        </w:rPr>
        <w:t>2.项目内容及需求情况（采购项目技术规格、参数及要求）</w:t>
      </w:r>
    </w:p>
    <w:p>
      <w:pPr>
        <w:ind w:firstLine="480"/>
      </w:pPr>
    </w:p>
    <w:p/>
    <w:p>
      <w:r>
        <w:rPr/>
        <w:t>采购包1(阳江市综合文化中心规划馆展陈深化设计及施工一体化布展服务项目):</w:t>
      </w:r>
    </w:p>
    <w:p>
      <w:r>
        <w:rPr/>
        <w:t>采购包预算金额：16,049,235.58元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其他展览服务</w:t>
            </w:r>
          </w:p>
        </w:tc>
        <w:tc>
          <w:tcPr>
            <w:tcW w:type="dxa" w:w="2136"/>
          </w:tcPr>
          <w:p>
            <w:r>
              <w:rPr/>
              <w:t>阳江市综合文化中心规划馆展陈深化设计及施工一体化布展服务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合同履行期限：自合同签订之日起180个日历日内完成设计、施工布展及相关服务，并完成设备安装、调试及验收合格。（超出该服务期作无效投标处理）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3）具有良好的商业信誉和健全的财务会计制度：供应商必须具有良好的商业信誉和健全的财务会计制度（提供2022年度财务状况报告或2023年任意一个月的财务报表或基本开户行出具的资信证明）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采购包1（阳江市综合文化中心规划馆展陈深化设计及施工一体化布展服务项目）：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阳江市档案馆</w:t>
      </w:r>
    </w:p>
    <w:p>
      <w:pPr>
        <w:ind w:firstLine="480"/>
      </w:pPr>
      <w:r>
        <w:rPr/>
        <w:t>地址：</w:t>
      </w:r>
      <w:r>
        <w:rPr/>
        <w:t>广东省阳江市江城区东风二路60号</w:t>
      </w:r>
    </w:p>
    <w:p>
      <w:pPr>
        <w:ind w:firstLine="480"/>
      </w:pPr>
      <w:r>
        <w:rPr/>
        <w:t>联系方式：</w:t>
      </w:r>
      <w:r>
        <w:rPr/>
        <w:t>0662-3367232</w:t>
      </w:r>
    </w:p>
    <w:p>
      <w:r>
        <w:rPr>
          <w:b/>
          <w:sz w:val="24"/>
        </w:rPr>
        <w:t>2.采购代理机构信息</w:t>
      </w:r>
    </w:p>
    <w:p>
      <w:pPr>
        <w:ind w:firstLine="480"/>
      </w:pPr>
      <w:r>
        <w:rPr/>
        <w:t>名称：</w:t>
      </w:r>
      <w:r>
        <w:rPr/>
        <w:t>广东业信招标有限公司</w:t>
      </w:r>
    </w:p>
    <w:p>
      <w:pPr>
        <w:ind w:firstLine="480"/>
      </w:pPr>
      <w:r>
        <w:rPr/>
        <w:t>地址：</w:t>
      </w:r>
      <w:r>
        <w:rPr/>
        <w:t>广东省阳江市江城区猫山四街33号A座202房</w:t>
      </w:r>
    </w:p>
    <w:p>
      <w:pPr>
        <w:ind w:firstLine="480"/>
      </w:pPr>
      <w:r>
        <w:rPr/>
        <w:t>联系方式：</w:t>
      </w:r>
      <w:r>
        <w:rPr/>
        <w:t>0662-3167266</w:t>
      </w:r>
    </w:p>
    <w:p>
      <w:r>
        <w:rPr>
          <w:b/>
          <w:sz w:val="24"/>
        </w:rPr>
        <w:t>3.项目联系方式</w:t>
      </w:r>
    </w:p>
    <w:p>
      <w:pPr>
        <w:ind w:firstLine="480"/>
      </w:pPr>
      <w:r>
        <w:rPr/>
        <w:t>项目联系人：</w:t>
      </w:r>
      <w:r>
        <w:rPr/>
        <w:t>谢晓</w:t>
      </w:r>
    </w:p>
    <w:p>
      <w:pPr>
        <w:ind w:firstLine="480"/>
      </w:pPr>
      <w:r>
        <w:rPr/>
        <w:t>电话：</w:t>
      </w:r>
      <w:r>
        <w:rPr/>
        <w:t>0662-3167266</w:t>
      </w:r>
    </w:p>
    <w:p>
      <w:r>
        <w:rPr>
          <w:b/>
          <w:sz w:val="24"/>
        </w:rPr>
        <w:t>4.技术支持联系方式</w:t>
      </w:r>
    </w:p>
    <w:p>
      <w:pPr>
        <w:ind w:firstLine="480"/>
      </w:pPr>
      <w:r>
        <w:rPr/>
        <w:t>云平台联系方式：020-88696588</w:t>
      </w:r>
    </w:p>
    <w:p>
      <w:r>
        <w:rPr/>
        <w:t>采购代理机构：</w:t>
      </w:r>
      <w:r>
        <w:rPr/>
        <w:t>广东业信招标有限公司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color w:val="000000"/>
          <w:sz w:val="21"/>
        </w:rPr>
        <w:t>一、项目概况</w:t>
      </w:r>
    </w:p>
    <w:p>
      <w:pPr>
        <w:jc w:val="both"/>
      </w:pPr>
      <w:r>
        <w:rPr>
          <w:b/>
          <w:color w:val="000000"/>
          <w:sz w:val="21"/>
        </w:rPr>
        <w:t>1.1、</w:t>
      </w:r>
      <w:r>
        <w:rPr>
          <w:b/>
          <w:color w:val="000000"/>
          <w:sz w:val="21"/>
        </w:rPr>
        <w:t>概况：</w:t>
      </w:r>
    </w:p>
    <w:p>
      <w:pPr>
        <w:ind w:firstLine="420"/>
        <w:jc w:val="both"/>
      </w:pPr>
      <w:r>
        <w:rPr>
          <w:color w:val="000000"/>
          <w:sz w:val="21"/>
        </w:rPr>
        <w:t>阳江始终坚持以科学规划引领城市发展，阳江规划馆是广大市民群众了解阳江城市发展和重点规划的重要窗口，也是向世人展现阳江城市建设成就和未来远景的重要平台。</w:t>
      </w:r>
    </w:p>
    <w:p>
      <w:pPr>
        <w:ind w:firstLine="420"/>
        <w:jc w:val="both"/>
      </w:pPr>
      <w:r>
        <w:rPr>
          <w:color w:val="000000"/>
          <w:sz w:val="21"/>
        </w:rPr>
        <w:t>本次采购的项目内容是对阳江规划馆</w:t>
      </w:r>
      <w:r>
        <w:rPr>
          <w:color w:val="000000"/>
          <w:sz w:val="21"/>
        </w:rPr>
        <w:t>2-4层进行整体陈列布展深化设计及采购实施服务，整体布展面积约为1870平方米。本项工作主要包括但不限于资料收集整理、展陈大纲深化、布展方案深化设计、艺术创作实施及制作安装、多媒体系统制作、数字内容与互动程序制作、质保维护等内容。</w:t>
      </w:r>
    </w:p>
    <w:p>
      <w:pPr>
        <w:jc w:val="both"/>
      </w:pPr>
      <w:r>
        <w:rPr>
          <w:b/>
          <w:color w:val="000000"/>
          <w:sz w:val="21"/>
        </w:rPr>
        <w:t>1.2、</w:t>
      </w:r>
      <w:r>
        <w:rPr>
          <w:b/>
          <w:color w:val="000000"/>
          <w:sz w:val="21"/>
        </w:rPr>
        <w:t>建设目标：</w:t>
      </w:r>
    </w:p>
    <w:p>
      <w:pPr>
        <w:ind w:firstLine="420"/>
        <w:jc w:val="both"/>
      </w:pPr>
      <w:r>
        <w:rPr>
          <w:color w:val="000000"/>
          <w:sz w:val="21"/>
        </w:rPr>
        <w:t>打造展示阳江推动城市规划发展的展示平台以及发展教育的重要基地</w:t>
      </w:r>
    </w:p>
    <w:p>
      <w:pPr>
        <w:jc w:val="both"/>
      </w:pPr>
      <w:r>
        <w:rPr>
          <w:b/>
          <w:color w:val="000000"/>
          <w:sz w:val="21"/>
        </w:rPr>
        <w:t>1.3、</w:t>
      </w:r>
      <w:r>
        <w:rPr>
          <w:b/>
          <w:color w:val="000000"/>
          <w:sz w:val="21"/>
        </w:rPr>
        <w:t>建设定位：</w:t>
      </w:r>
    </w:p>
    <w:p>
      <w:pPr>
        <w:ind w:firstLine="420"/>
        <w:jc w:val="both"/>
      </w:pPr>
      <w:r>
        <w:rPr>
          <w:color w:val="000000"/>
          <w:sz w:val="21"/>
        </w:rPr>
        <w:t>打造一个完整的并具有阳江特色的社会发展教育、地域文化特色、未来展望规划等多功能于一体的专业性展馆。</w:t>
      </w:r>
    </w:p>
    <w:p>
      <w:pPr>
        <w:jc w:val="both"/>
      </w:pPr>
      <w:r>
        <w:rPr>
          <w:b/>
          <w:color w:val="000000"/>
          <w:sz w:val="21"/>
        </w:rPr>
        <w:t>1.4、</w:t>
      </w:r>
      <w:r>
        <w:rPr>
          <w:b/>
          <w:color w:val="000000"/>
          <w:sz w:val="21"/>
        </w:rPr>
        <w:t>布展深化设计、布展实施总体要求：</w:t>
      </w:r>
    </w:p>
    <w:p>
      <w:pPr>
        <w:ind w:firstLine="420"/>
        <w:jc w:val="both"/>
      </w:pPr>
      <w:r>
        <w:rPr>
          <w:color w:val="000000"/>
          <w:sz w:val="21"/>
        </w:rPr>
        <w:t>1.4.1.深化设计工作要求：</w:t>
      </w:r>
    </w:p>
    <w:p>
      <w:pPr>
        <w:ind w:firstLine="420"/>
        <w:jc w:val="both"/>
      </w:pPr>
      <w:r>
        <w:rPr>
          <w:color w:val="000000"/>
          <w:sz w:val="21"/>
        </w:rPr>
        <w:t>(1)在前期阳江市城市规划展览馆概念设计方案 (详见附件) 基础上进行展陈设计深化，包括但不限于总体功能布局平面图，展陈深化设计详细效果图、内容策划、施工图设计、上墙平面设计等，设计方案须得到采购人同意后方可实施。</w:t>
      </w:r>
    </w:p>
    <w:p>
      <w:pPr>
        <w:ind w:firstLine="420"/>
        <w:jc w:val="both"/>
      </w:pPr>
      <w:r>
        <w:rPr>
          <w:color w:val="000000"/>
          <w:sz w:val="21"/>
        </w:rPr>
        <w:t>（</w:t>
      </w:r>
      <w:r>
        <w:rPr>
          <w:color w:val="000000"/>
          <w:sz w:val="21"/>
        </w:rPr>
        <w:t>2）数字多媒体、互动多媒体深化设计。包含多媒体人机交互形式设计、各级UI视觉设计、后台控制程序架构设计、多媒体内容策划（包含影视视效方案及分镜头脚本设计、多媒体执行脚本编写等），多媒体布展实施方案、多媒体互动的集成方式和表现内容，须得到采购人同意并签字确认后方可实施。</w:t>
      </w:r>
    </w:p>
    <w:p>
      <w:pPr>
        <w:ind w:firstLine="420"/>
        <w:jc w:val="both"/>
      </w:pPr>
      <w:r>
        <w:rPr>
          <w:color w:val="000000"/>
          <w:sz w:val="21"/>
        </w:rPr>
        <w:t>（</w:t>
      </w:r>
      <w:r>
        <w:rPr>
          <w:color w:val="000000"/>
          <w:sz w:val="21"/>
        </w:rPr>
        <w:t>3）相关要求：深化设计所包括的装饰装修布展项、多媒体强弱电控制设计、模型展示项、数字多媒体展示项，要求须明确其产品的技术性能、结构、特点、质量水平及设备、材料的品牌、材质、数量等，达到正式深化设计方案的深度，具有可实施操作性。</w:t>
      </w:r>
    </w:p>
    <w:p>
      <w:pPr>
        <w:ind w:firstLine="420"/>
        <w:jc w:val="both"/>
      </w:pPr>
      <w:r>
        <w:rPr>
          <w:color w:val="000000"/>
          <w:sz w:val="21"/>
        </w:rPr>
        <w:t>（</w:t>
      </w:r>
      <w:r>
        <w:rPr>
          <w:color w:val="000000"/>
          <w:sz w:val="21"/>
        </w:rPr>
        <w:t>4）质量标准</w:t>
      </w:r>
    </w:p>
    <w:p>
      <w:pPr>
        <w:ind w:firstLine="420"/>
        <w:jc w:val="both"/>
      </w:pPr>
      <w:r>
        <w:rPr>
          <w:color w:val="000000"/>
          <w:sz w:val="21"/>
        </w:rPr>
        <w:t>所有工程设计须符合国家、行业、地方现行设计规范、标准、规定等要求，确保通过施工图审查（包括各专项审查）和有关部门组织的专家审查，设计单位负责施工图送审、对接、配合并按要求进行修改完善。</w:t>
      </w:r>
    </w:p>
    <w:p>
      <w:pPr>
        <w:ind w:firstLine="420"/>
        <w:jc w:val="both"/>
      </w:pPr>
      <w:r>
        <w:rPr>
          <w:color w:val="000000"/>
          <w:sz w:val="21"/>
        </w:rPr>
        <w:t>1.4.2.布展实施工作要求：</w:t>
      </w:r>
    </w:p>
    <w:p>
      <w:pPr>
        <w:ind w:firstLine="420"/>
        <w:jc w:val="both"/>
      </w:pPr>
      <w:r>
        <w:rPr>
          <w:color w:val="000000"/>
          <w:sz w:val="21"/>
        </w:rPr>
        <w:t>（</w:t>
      </w:r>
      <w:r>
        <w:rPr>
          <w:color w:val="000000"/>
          <w:sz w:val="21"/>
        </w:rPr>
        <w:t>1）施工质量标准：本项目的施工质量标准应达到合格等级。同时，执行国家规定的相关工程建设标准强制性条文要求，执行《建筑装饰装修工程质量验收规范》（GB50210-2001）、《建筑内部装修设计防火规范》（GB50222）、《室内装饰材料有害物质限量》和《建筑材料放射性核限量》、博物馆陈列展览工程的有关规范和技术标准、其他国家规定的相关验收规范等相关标准。</w:t>
      </w:r>
    </w:p>
    <w:p>
      <w:pPr>
        <w:ind w:firstLine="420"/>
        <w:jc w:val="both"/>
      </w:pPr>
      <w:r>
        <w:rPr>
          <w:color w:val="000000"/>
          <w:sz w:val="21"/>
        </w:rPr>
        <w:t>（</w:t>
      </w:r>
      <w:r>
        <w:rPr>
          <w:color w:val="000000"/>
          <w:sz w:val="21"/>
        </w:rPr>
        <w:t>2）在施工过程中，</w:t>
      </w:r>
      <w:r>
        <w:rPr>
          <w:color w:val="000000"/>
          <w:sz w:val="21"/>
        </w:rPr>
        <w:t>中标人</w:t>
      </w:r>
      <w:r>
        <w:rPr>
          <w:color w:val="000000"/>
          <w:sz w:val="21"/>
        </w:rPr>
        <w:t>应按照合同签订时国际、国家以及甲、乙方及产地国行业、企业等有效的标准、规范执行（没有国家标准、规范但有行业标准、规范的，执行约定适用行业标准、规范；没有国家和行业标准、规范的，执行约定适用工程所在地地方标准、规范），规范及经批准的施工设计文件规定有不一致时，以标准最高者为准。布展工程的质量要求都必须达到该专业技术的最高质量要求。为达到整个布展工程的高水平，应首先考虑采用该类产品、材料的最高质量标准。</w:t>
      </w:r>
    </w:p>
    <w:p>
      <w:pPr>
        <w:ind w:firstLine="420"/>
        <w:jc w:val="both"/>
      </w:pPr>
      <w:r>
        <w:rPr>
          <w:color w:val="000000"/>
          <w:sz w:val="21"/>
        </w:rPr>
        <w:t>（</w:t>
      </w:r>
      <w:r>
        <w:rPr>
          <w:color w:val="000000"/>
          <w:sz w:val="21"/>
        </w:rPr>
        <w:t>3）在项目实施过程中，必须服从采购人及相关部门的监督、管理和指挥。</w:t>
      </w:r>
    </w:p>
    <w:p>
      <w:pPr>
        <w:ind w:firstLine="420"/>
        <w:jc w:val="both"/>
      </w:pPr>
      <w:r>
        <w:rPr>
          <w:color w:val="000000"/>
          <w:sz w:val="21"/>
        </w:rPr>
        <w:t>（</w:t>
      </w:r>
      <w:r>
        <w:rPr>
          <w:color w:val="000000"/>
          <w:sz w:val="21"/>
        </w:rPr>
        <w:t>4）必须认真做好安全工作，确保展馆布置实施的安全。</w:t>
      </w:r>
    </w:p>
    <w:p>
      <w:pPr>
        <w:ind w:firstLine="420"/>
        <w:jc w:val="both"/>
      </w:pPr>
      <w:r>
        <w:rPr>
          <w:color w:val="000000"/>
          <w:sz w:val="21"/>
        </w:rPr>
        <w:t>（</w:t>
      </w:r>
      <w:r>
        <w:rPr>
          <w:color w:val="000000"/>
          <w:sz w:val="21"/>
        </w:rPr>
        <w:t>5）知识产权的归属: 本服务项目所有工作成果的知识产权归项目使用单位所有（署名权除外），</w:t>
      </w:r>
      <w:r>
        <w:rPr>
          <w:color w:val="000000"/>
          <w:sz w:val="21"/>
        </w:rPr>
        <w:t>中标人</w:t>
      </w:r>
      <w:r>
        <w:rPr>
          <w:color w:val="000000"/>
          <w:sz w:val="21"/>
        </w:rPr>
        <w:t>享有工作成果的署名权，采购人享有本项目所有工作成果的永久无偿使用权。</w:t>
      </w:r>
    </w:p>
    <w:p>
      <w:pPr>
        <w:ind w:firstLine="420"/>
        <w:jc w:val="both"/>
      </w:pPr>
      <w:r>
        <w:rPr>
          <w:color w:val="000000"/>
          <w:sz w:val="21"/>
        </w:rPr>
        <w:t>1.4.3.项目主材、综合单价及工程量确定方式按照如下约定执行：</w:t>
      </w:r>
    </w:p>
    <w:p>
      <w:pPr>
        <w:ind w:firstLine="420"/>
        <w:jc w:val="both"/>
      </w:pPr>
      <w:r>
        <w:rPr>
          <w:color w:val="000000"/>
          <w:sz w:val="21"/>
        </w:rPr>
        <w:t>（</w:t>
      </w:r>
      <w:r>
        <w:rPr>
          <w:color w:val="000000"/>
          <w:sz w:val="21"/>
        </w:rPr>
        <w:t>1）招标当期《阳江地区建设工程常用材料综合价格》中有的主材单价，则按招标当期《阳江地区建设工程常用材料综合价格》中相应材料价格取定执行。</w:t>
      </w:r>
    </w:p>
    <w:p>
      <w:pPr>
        <w:ind w:firstLine="420"/>
        <w:jc w:val="both"/>
      </w:pPr>
      <w:r>
        <w:rPr>
          <w:color w:val="000000"/>
          <w:sz w:val="21"/>
        </w:rPr>
        <w:t>（</w:t>
      </w:r>
      <w:r>
        <w:rPr>
          <w:color w:val="000000"/>
          <w:sz w:val="21"/>
        </w:rPr>
        <w:t>2）招标当期《阳江地区建设工程常用材料综合价格》没有相应材料价格的，则双方协商，结合《阳江地区建设工程材料（设备）厂商价格信息》和市场询价情况进行合理取定。</w:t>
      </w:r>
    </w:p>
    <w:p>
      <w:pPr>
        <w:ind w:firstLine="420"/>
        <w:jc w:val="both"/>
      </w:pPr>
      <w:r>
        <w:rPr>
          <w:color w:val="000000"/>
          <w:sz w:val="21"/>
        </w:rPr>
        <w:t>（</w:t>
      </w:r>
      <w:r>
        <w:rPr>
          <w:color w:val="000000"/>
          <w:sz w:val="21"/>
        </w:rPr>
        <w:t>3）工程量按照《建设工程工程量清单计价规范》（GB50500-2013）、《广东省房屋建筑与装饰工程综合定额（2018）》、《广东省市政工程综合定额（2018）》、《广东省通用安装工程综合定额（2018）》、《广东省园林绿化工程综合定额（2018）》、2012 年《广东省修缮工程综合定额》及省市相关定额计算。</w:t>
      </w:r>
    </w:p>
    <w:p>
      <w:pPr>
        <w:ind w:firstLine="420"/>
        <w:jc w:val="both"/>
      </w:pPr>
      <w:r>
        <w:rPr>
          <w:color w:val="000000"/>
          <w:sz w:val="21"/>
        </w:rPr>
        <w:t>（</w:t>
      </w:r>
      <w:r>
        <w:rPr>
          <w:color w:val="000000"/>
          <w:sz w:val="21"/>
        </w:rPr>
        <w:t>4）综合单价执行《建设工程工程量清单计价规范》（GB50500-2013）、《广东省房屋建筑与装饰工程综合定额（2018）》、《广东省市政工程综合定额（2018）》、《广东省通用安装工程综合定额（2018）》、《广东省园林绿化工程综合定额（2018）》、2012 年《广东省修缮工程综合定额》、省市相关定额及计价相关规定，并按投标下浮率下浮取定。</w:t>
      </w:r>
    </w:p>
    <w:p>
      <w:pPr>
        <w:ind w:firstLine="420"/>
        <w:jc w:val="both"/>
      </w:pPr>
      <w:r>
        <w:rPr>
          <w:color w:val="000000"/>
          <w:sz w:val="21"/>
        </w:rPr>
        <w:t>（</w:t>
      </w:r>
      <w:r>
        <w:rPr>
          <w:color w:val="000000"/>
          <w:sz w:val="21"/>
        </w:rPr>
        <w:t>5）艺术展品制作或创作项目的计价以专家评审会形式，并按投标下浮率下浮确定。</w:t>
      </w:r>
    </w:p>
    <w:p>
      <w:pPr>
        <w:jc w:val="both"/>
      </w:pPr>
      <w:r>
        <w:rPr>
          <w:b/>
          <w:color w:val="000000"/>
          <w:sz w:val="21"/>
        </w:rPr>
        <w:t>1.5、</w:t>
      </w:r>
      <w:r>
        <w:rPr>
          <w:b/>
          <w:color w:val="000000"/>
          <w:sz w:val="21"/>
        </w:rPr>
        <w:t>方案设计、艺术及媒体数字内容创作原则</w:t>
      </w:r>
    </w:p>
    <w:p>
      <w:pPr>
        <w:ind w:firstLine="420"/>
        <w:jc w:val="both"/>
      </w:pPr>
      <w:r>
        <w:rPr>
          <w:color w:val="000000"/>
          <w:sz w:val="21"/>
        </w:rPr>
        <w:t>1.5.1.深刻理解，合理进行深化设计、艺术及媒体数字内容创作</w:t>
      </w:r>
    </w:p>
    <w:p>
      <w:pPr>
        <w:ind w:firstLine="420"/>
        <w:jc w:val="both"/>
      </w:pPr>
      <w:r>
        <w:rPr>
          <w:color w:val="000000"/>
          <w:sz w:val="21"/>
        </w:rPr>
        <w:t>方案深化设计应以项目需求书为基础。</w:t>
      </w:r>
      <w:r>
        <w:rPr>
          <w:color w:val="000000"/>
          <w:sz w:val="21"/>
        </w:rPr>
        <w:t>中标人</w:t>
      </w:r>
      <w:r>
        <w:rPr>
          <w:color w:val="000000"/>
          <w:sz w:val="21"/>
        </w:rPr>
        <w:t>必须深刻研究理解项目需求书进行合理深化设计、艺术及媒体数字内容创作。</w:t>
      </w:r>
    </w:p>
    <w:p>
      <w:pPr>
        <w:ind w:firstLine="420"/>
        <w:jc w:val="both"/>
      </w:pPr>
      <w:r>
        <w:rPr>
          <w:color w:val="000000"/>
          <w:sz w:val="21"/>
        </w:rPr>
        <w:t>1.5.2.风格统一、合理选材</w:t>
      </w:r>
    </w:p>
    <w:p>
      <w:pPr>
        <w:ind w:firstLine="420"/>
        <w:jc w:val="both"/>
      </w:pPr>
      <w:r>
        <w:rPr>
          <w:color w:val="000000"/>
          <w:sz w:val="21"/>
        </w:rPr>
        <w:t>方案深化设计、艺术及媒体数字内容创作必须突出地方特色，与建筑风格协调。用材和手段必须符合环保消防、安全节能的要求，不可存在安全隐患。辅助展品及装饰材料的取材要讲究低碳环保。多媒体及数字化设备</w:t>
      </w:r>
      <w:r>
        <w:rPr>
          <w:color w:val="000000"/>
          <w:sz w:val="21"/>
        </w:rPr>
        <w:t>的</w:t>
      </w:r>
      <w:r>
        <w:rPr>
          <w:color w:val="000000"/>
          <w:sz w:val="21"/>
        </w:rPr>
        <w:t>选配科学、合理，用材适当，并与陈列环境相协调、经久耐用。辅助陈列品、模型等艺术展项要求工艺精良，艺术水准高。</w:t>
      </w:r>
    </w:p>
    <w:p>
      <w:pPr>
        <w:ind w:firstLine="420"/>
        <w:jc w:val="both"/>
      </w:pPr>
      <w:r>
        <w:rPr>
          <w:color w:val="000000"/>
          <w:sz w:val="21"/>
        </w:rPr>
        <w:t>1.5.3.科学设计，艺术及媒体数字内容创作合理可行</w:t>
      </w:r>
    </w:p>
    <w:p>
      <w:pPr>
        <w:ind w:firstLine="420"/>
        <w:jc w:val="both"/>
      </w:pPr>
      <w:r>
        <w:rPr>
          <w:color w:val="000000"/>
          <w:sz w:val="21"/>
        </w:rPr>
        <w:t>方案深化设计、艺术及媒体数字内容创作应具合理性、可实施性。</w:t>
      </w:r>
    </w:p>
    <w:p>
      <w:pPr>
        <w:jc w:val="both"/>
      </w:pPr>
      <w:r>
        <w:rPr>
          <w:b/>
          <w:color w:val="000000"/>
          <w:sz w:val="21"/>
        </w:rPr>
        <w:t>1.6、</w:t>
      </w:r>
      <w:r>
        <w:rPr>
          <w:b/>
          <w:color w:val="000000"/>
          <w:sz w:val="21"/>
        </w:rPr>
        <w:t>项目实施要求</w:t>
      </w:r>
    </w:p>
    <w:p>
      <w:pPr>
        <w:ind w:firstLine="420"/>
        <w:jc w:val="both"/>
      </w:pPr>
      <w:r>
        <w:rPr>
          <w:color w:val="000000"/>
          <w:sz w:val="21"/>
        </w:rPr>
        <w:t>1.6.1确保工程质量的要求</w:t>
      </w:r>
    </w:p>
    <w:p>
      <w:pPr>
        <w:ind w:firstLine="420"/>
        <w:jc w:val="both"/>
      </w:pPr>
      <w:r>
        <w:rPr>
          <w:color w:val="000000"/>
          <w:sz w:val="21"/>
        </w:rPr>
        <w:t>(1)建立健全结构，装修从材料、半成品、成品进场，施工安装直至交付验收的质量保证体系，并落实到人。</w:t>
      </w:r>
    </w:p>
    <w:p>
      <w:pPr>
        <w:ind w:firstLine="420"/>
        <w:jc w:val="both"/>
      </w:pPr>
      <w:r>
        <w:rPr>
          <w:color w:val="000000"/>
          <w:sz w:val="21"/>
        </w:rPr>
        <w:t xml:space="preserve"> </w:t>
      </w:r>
      <w:r>
        <w:rPr>
          <w:color w:val="000000"/>
          <w:sz w:val="21"/>
        </w:rPr>
        <w:t>(2)严格贯彻“把关”和“积极预防”相结合的质量管理方法，坚持先定标准、定样板、定材料、定做法，手续要齐全。凡进场材料、半成品和加工品，无合格证或外观不符合标准者不得进场。</w:t>
      </w:r>
    </w:p>
    <w:p>
      <w:pPr>
        <w:ind w:firstLine="420"/>
        <w:jc w:val="both"/>
      </w:pPr>
      <w:r>
        <w:rPr>
          <w:color w:val="000000"/>
          <w:sz w:val="21"/>
        </w:rPr>
        <w:t xml:space="preserve"> </w:t>
      </w:r>
      <w:r>
        <w:rPr>
          <w:color w:val="000000"/>
          <w:sz w:val="21"/>
        </w:rPr>
        <w:t>(3)所有装修必须注意色调、质感的统一。例如木料的纹理、色彩、规格都要经过挑选。</w:t>
      </w:r>
    </w:p>
    <w:p>
      <w:pPr>
        <w:ind w:firstLine="525"/>
        <w:jc w:val="both"/>
      </w:pPr>
      <w:r>
        <w:rPr>
          <w:color w:val="000000"/>
          <w:sz w:val="21"/>
        </w:rPr>
        <w:t>(4)强调装修项目的基层施工质量，基层要做到平整、垂直和阴阳角方正，只有做好基层，才能保证饰面层质量。</w:t>
      </w:r>
    </w:p>
    <w:p>
      <w:pPr>
        <w:ind w:firstLine="420"/>
        <w:jc w:val="both"/>
      </w:pPr>
      <w:r>
        <w:rPr>
          <w:color w:val="000000"/>
          <w:sz w:val="21"/>
        </w:rPr>
        <w:t>（</w:t>
      </w:r>
      <w:r>
        <w:rPr>
          <w:color w:val="000000"/>
          <w:sz w:val="21"/>
        </w:rPr>
        <w:t>5)加强质量监督检查，采取专业检查与自检相结合的检查方法，并以自检为主，坚持贯彻执行自检、互检、交接检的三检制度与挂牌制度，对工程质量要求一丝不苟。</w:t>
      </w:r>
    </w:p>
    <w:p>
      <w:pPr>
        <w:ind w:firstLine="420"/>
        <w:jc w:val="both"/>
      </w:pPr>
      <w:r>
        <w:rPr>
          <w:color w:val="000000"/>
          <w:sz w:val="21"/>
        </w:rPr>
        <w:t>1.6.2确保工期的要求：</w:t>
      </w:r>
    </w:p>
    <w:p>
      <w:pPr>
        <w:ind w:firstLine="420"/>
        <w:jc w:val="both"/>
      </w:pPr>
      <w:r>
        <w:rPr>
          <w:color w:val="000000"/>
          <w:sz w:val="21"/>
        </w:rPr>
        <w:t>本项目在确保质量的要求下对工期进度的控制不但是体现在本展厅的阶段性工期中，对场外加工进度亦有同样要求，要在保证安全的基础上，确保进度，以进度网络图为依据，按不同阶段、不同专业工种分解为不同的进度分目标，以各项技术、管理措施为保证手段，进行全过程的动态控制。</w:t>
      </w:r>
    </w:p>
    <w:p>
      <w:pPr>
        <w:ind w:firstLine="420"/>
        <w:jc w:val="both"/>
      </w:pPr>
      <w:r>
        <w:rPr>
          <w:color w:val="000000"/>
          <w:sz w:val="21"/>
        </w:rPr>
        <w:t>1.6.2.1进度控制的方法</w:t>
      </w:r>
    </w:p>
    <w:p>
      <w:pPr>
        <w:ind w:firstLine="420"/>
        <w:jc w:val="both"/>
      </w:pPr>
      <w:r>
        <w:rPr>
          <w:color w:val="000000"/>
          <w:sz w:val="21"/>
        </w:rPr>
        <w:t>按施工阶段分解，突出控制节点以关键线路和次关键线路为线索，以网格计划中的起止点、日程为控制点，在不同施工阶段确定重点控制对象，制定施工细则</w:t>
      </w:r>
      <w:r>
        <w:rPr>
          <w:color w:val="000000"/>
          <w:sz w:val="21"/>
        </w:rPr>
        <w:t>,达到保证控制节点的实现。</w:t>
      </w:r>
    </w:p>
    <w:p>
      <w:pPr>
        <w:ind w:firstLine="420"/>
        <w:jc w:val="both"/>
      </w:pPr>
      <w:r>
        <w:rPr>
          <w:color w:val="000000"/>
          <w:sz w:val="21"/>
        </w:rPr>
        <w:t>1.6.2.2强化进度计划管理</w:t>
      </w:r>
    </w:p>
    <w:p>
      <w:pPr>
        <w:ind w:firstLine="420"/>
        <w:jc w:val="both"/>
      </w:pPr>
      <w:r>
        <w:rPr>
          <w:color w:val="000000"/>
          <w:sz w:val="21"/>
        </w:rPr>
        <w:t>(1)工程开工前，必须严格根据项目工期要求，提出工程总进度计划，并对其是否科学、合理，能否满足全面规定工期要求等问题进行认真细致论证。</w:t>
      </w:r>
    </w:p>
    <w:p>
      <w:pPr>
        <w:ind w:firstLine="420"/>
        <w:jc w:val="both"/>
      </w:pPr>
      <w:r>
        <w:rPr>
          <w:color w:val="000000"/>
          <w:sz w:val="21"/>
        </w:rPr>
        <w:t>(2)在工程施工总进度计划的控制下，施工过程，坚持逐月（周）编制出具体的工程施工计划和工作安排，并对其科学性，可行性进行认真的推敲。</w:t>
      </w:r>
    </w:p>
    <w:p>
      <w:pPr>
        <w:ind w:firstLine="420"/>
        <w:jc w:val="both"/>
      </w:pPr>
      <w:r>
        <w:rPr>
          <w:color w:val="000000"/>
          <w:sz w:val="21"/>
        </w:rPr>
        <w:t>(3)工程计划执行过程，如发现未能按期完成工程计划，必须及时检查分析原因，立即调整计划和采取补救措施，以保证工程施工进度计划的实现。</w:t>
      </w:r>
    </w:p>
    <w:p>
      <w:pPr>
        <w:ind w:firstLine="420"/>
        <w:jc w:val="both"/>
      </w:pPr>
      <w:r>
        <w:rPr>
          <w:color w:val="000000"/>
          <w:sz w:val="21"/>
        </w:rPr>
        <w:t xml:space="preserve"> </w:t>
      </w:r>
      <w:r>
        <w:rPr>
          <w:color w:val="000000"/>
          <w:sz w:val="21"/>
        </w:rPr>
        <w:t>1.6.2.3施工进度的控制</w:t>
      </w:r>
    </w:p>
    <w:p>
      <w:pPr>
        <w:ind w:firstLine="420"/>
        <w:jc w:val="both"/>
      </w:pPr>
      <w:r>
        <w:rPr>
          <w:color w:val="000000"/>
          <w:sz w:val="21"/>
        </w:rPr>
        <w:t>施工进度计划的控制是一个循序渐进的动态控制过程，施工现场的条件和情况千变万化，</w:t>
      </w:r>
      <w:r>
        <w:rPr>
          <w:color w:val="000000"/>
          <w:sz w:val="21"/>
        </w:rPr>
        <w:t>中标人</w:t>
      </w:r>
      <w:r>
        <w:rPr>
          <w:color w:val="000000"/>
          <w:sz w:val="21"/>
        </w:rPr>
        <w:t>要及时了解和掌握与施工进度有关的各种信息，不断将实际进度与计划进度进行比较，一旦发现进度拖后，要分析原因，并系统分析对后续工作会产生的影响。调整有施工管理经验的人员担任管理工作，并针对技术、质量、安全、文明施工，后勤保障工作配置项目副经理主抓分项工作。</w:t>
      </w:r>
    </w:p>
    <w:p>
      <w:pPr>
        <w:jc w:val="both"/>
      </w:pPr>
      <w:r>
        <w:rPr>
          <w:b/>
          <w:color w:val="000000"/>
          <w:sz w:val="21"/>
        </w:rPr>
        <w:t>1.7、</w:t>
      </w:r>
      <w:r>
        <w:rPr>
          <w:b/>
          <w:color w:val="000000"/>
          <w:sz w:val="21"/>
        </w:rPr>
        <w:t>布展实施的基本要求</w:t>
      </w:r>
    </w:p>
    <w:p>
      <w:pPr>
        <w:ind w:firstLine="420"/>
        <w:jc w:val="both"/>
      </w:pPr>
      <w:r>
        <w:rPr>
          <w:color w:val="000000"/>
          <w:sz w:val="21"/>
        </w:rPr>
        <w:t>1.7.1实施原则：结合深化设计方案做出以具体实施为目的、具有可操作性的方案文件。</w:t>
      </w:r>
    </w:p>
    <w:p>
      <w:pPr>
        <w:ind w:firstLine="420"/>
        <w:jc w:val="both"/>
      </w:pPr>
      <w:r>
        <w:rPr>
          <w:color w:val="000000"/>
          <w:sz w:val="21"/>
        </w:rPr>
        <w:t>中标人</w:t>
      </w:r>
      <w:r>
        <w:rPr>
          <w:color w:val="000000"/>
          <w:sz w:val="21"/>
        </w:rPr>
        <w:t>需要对本项目背景的解读与理解深度、针对性及准确性等作出阐述；对本次项目的关键性问题和重点问题的理解和把握；投入本项目的整体技术水平与技术力量；项目实施组织设计；对本项目的建设性意见与建议评价。</w:t>
      </w:r>
    </w:p>
    <w:p>
      <w:pPr>
        <w:ind w:firstLine="420"/>
        <w:jc w:val="both"/>
      </w:pPr>
      <w:r>
        <w:rPr>
          <w:color w:val="000000"/>
          <w:sz w:val="21"/>
        </w:rPr>
        <w:t>1.7.2技术规范：本项目采用国家（行业）、省、市现行最新相关规范和标准，若无国家标准，而采用企业、行业标准的，必须提供企业、行业标准的文本文件，及本项目设计图纸及设计说明书作为投入本项目的技术规范。</w:t>
      </w:r>
    </w:p>
    <w:p>
      <w:pPr>
        <w:ind w:firstLine="420"/>
        <w:jc w:val="both"/>
      </w:pPr>
      <w:r>
        <w:rPr>
          <w:color w:val="000000"/>
          <w:sz w:val="21"/>
        </w:rPr>
        <w:t>1.7.3知识产权要求</w:t>
      </w:r>
    </w:p>
    <w:p>
      <w:pPr>
        <w:ind w:firstLine="420"/>
        <w:jc w:val="both"/>
      </w:pPr>
      <w:r>
        <w:rPr>
          <w:color w:val="000000"/>
          <w:sz w:val="21"/>
        </w:rPr>
        <w:t>中标人</w:t>
      </w:r>
      <w:r>
        <w:rPr>
          <w:color w:val="000000"/>
          <w:sz w:val="21"/>
        </w:rPr>
        <w:t>应保证其提供的工作成果未侵犯第三方的知识产权及其他权利，否则必须承担由此而引起的全部法律责任。</w:t>
      </w:r>
      <w:r>
        <w:rPr>
          <w:color w:val="000000"/>
          <w:sz w:val="21"/>
        </w:rPr>
        <w:t>中标人</w:t>
      </w:r>
      <w:r>
        <w:rPr>
          <w:color w:val="000000"/>
          <w:sz w:val="21"/>
        </w:rPr>
        <w:t>不得以任何形式向采购人以外的任何单位或个人提供涉及本服务项目的任何资料（包括但不限于电子档案、图纸、技术和设计创意等），如有违反，必须赔偿采购人损失并承担相应的法律责任。</w:t>
      </w:r>
    </w:p>
    <w:p>
      <w:pPr>
        <w:jc w:val="both"/>
      </w:pPr>
      <w:r>
        <w:rPr>
          <w:b/>
          <w:color w:val="000000"/>
          <w:sz w:val="21"/>
        </w:rPr>
        <w:t>1.8、</w:t>
      </w:r>
      <w:r>
        <w:rPr>
          <w:b/>
          <w:color w:val="000000"/>
          <w:sz w:val="21"/>
        </w:rPr>
        <w:t>布展实施的其他要求</w:t>
      </w:r>
    </w:p>
    <w:p>
      <w:pPr>
        <w:ind w:firstLine="420"/>
        <w:jc w:val="both"/>
      </w:pPr>
      <w:r>
        <w:rPr>
          <w:color w:val="000000"/>
          <w:sz w:val="21"/>
        </w:rPr>
        <w:t>中标人</w:t>
      </w:r>
      <w:r>
        <w:rPr>
          <w:color w:val="000000"/>
          <w:sz w:val="21"/>
        </w:rPr>
        <w:t>在进行项目实施过程中必须遵循国家相关通用标准和行业规范；遵循相关防火、环保要求。</w:t>
      </w:r>
      <w:r>
        <w:rPr>
          <w:color w:val="000000"/>
          <w:sz w:val="21"/>
        </w:rPr>
        <w:t>中标人</w:t>
      </w:r>
      <w:r>
        <w:rPr>
          <w:color w:val="000000"/>
          <w:sz w:val="21"/>
        </w:rPr>
        <w:t>必须协助采购人办理负责项目竣工后的消防验收及环评手续，并承担相关费用。</w:t>
      </w:r>
      <w:r>
        <w:rPr>
          <w:color w:val="000000"/>
          <w:sz w:val="21"/>
        </w:rPr>
        <w:t>中标人</w:t>
      </w:r>
      <w:r>
        <w:rPr>
          <w:color w:val="000000"/>
          <w:sz w:val="21"/>
        </w:rPr>
        <w:t>必须协助采购人办理公共防疫的相关手续，并承担相关费用。</w:t>
      </w:r>
      <w:r>
        <w:rPr>
          <w:color w:val="000000"/>
          <w:sz w:val="21"/>
        </w:rPr>
        <w:t>中标人</w:t>
      </w:r>
      <w:r>
        <w:rPr>
          <w:color w:val="000000"/>
          <w:sz w:val="21"/>
        </w:rPr>
        <w:t>必须负责布展实施过程中产生的垃圾处理及相关费用。</w:t>
      </w:r>
    </w:p>
    <w:p>
      <w:pPr>
        <w:ind w:firstLine="420"/>
        <w:jc w:val="both"/>
      </w:pPr>
      <w:r>
        <w:rPr>
          <w:color w:val="000000"/>
          <w:sz w:val="21"/>
        </w:rPr>
        <w:t>(1)</w:t>
      </w:r>
      <w:r>
        <w:rPr>
          <w:color w:val="000000"/>
          <w:sz w:val="21"/>
        </w:rPr>
        <w:t>中标人</w:t>
      </w:r>
      <w:r>
        <w:rPr>
          <w:color w:val="000000"/>
          <w:sz w:val="21"/>
        </w:rPr>
        <w:t>应有完善的质量保证体系，有明确的质量方针、切实可行的程序文件和质量保证手册，确保质量体系有效期的运行，并具备完整的质量体系运行记录。</w:t>
      </w:r>
    </w:p>
    <w:p>
      <w:pPr>
        <w:ind w:firstLine="420"/>
        <w:jc w:val="both"/>
      </w:pPr>
      <w:r>
        <w:rPr>
          <w:color w:val="000000"/>
          <w:sz w:val="21"/>
        </w:rPr>
        <w:t>(2)布展实施技术文件准备。</w:t>
      </w:r>
    </w:p>
    <w:p>
      <w:pPr>
        <w:ind w:firstLine="420"/>
        <w:jc w:val="both"/>
      </w:pPr>
      <w:r>
        <w:rPr>
          <w:color w:val="000000"/>
          <w:sz w:val="21"/>
        </w:rPr>
        <w:t>(3)布展实施现场作业环境的技术准备。</w:t>
      </w:r>
    </w:p>
    <w:p>
      <w:pPr>
        <w:ind w:firstLine="420"/>
        <w:jc w:val="both"/>
      </w:pPr>
      <w:r>
        <w:rPr>
          <w:color w:val="000000"/>
          <w:sz w:val="21"/>
        </w:rPr>
        <w:t>(4)编制材料、加工机具、检测器具的使用计划。</w:t>
      </w:r>
    </w:p>
    <w:p>
      <w:pPr>
        <w:jc w:val="both"/>
      </w:pPr>
      <w:r>
        <w:rPr>
          <w:b/>
          <w:color w:val="000000"/>
          <w:sz w:val="21"/>
        </w:rPr>
        <w:t>1.9、</w:t>
      </w:r>
      <w:r>
        <w:rPr>
          <w:b/>
          <w:color w:val="000000"/>
          <w:sz w:val="21"/>
        </w:rPr>
        <w:t>项目实施具体要求</w:t>
      </w:r>
    </w:p>
    <w:p>
      <w:pPr>
        <w:ind w:firstLine="420"/>
        <w:jc w:val="both"/>
      </w:pPr>
      <w:r>
        <w:rPr>
          <w:color w:val="000000"/>
          <w:sz w:val="21"/>
        </w:rPr>
        <w:t>1.9.1装饰结构部分</w:t>
      </w:r>
    </w:p>
    <w:p>
      <w:pPr>
        <w:ind w:firstLine="420"/>
        <w:jc w:val="both"/>
      </w:pPr>
      <w:r>
        <w:rPr>
          <w:color w:val="000000"/>
          <w:sz w:val="21"/>
        </w:rPr>
        <w:t>(1)应满足本项目的要求，结构和安装方式科学、环保。</w:t>
      </w:r>
    </w:p>
    <w:p>
      <w:pPr>
        <w:ind w:firstLine="420"/>
        <w:jc w:val="both"/>
      </w:pPr>
      <w:r>
        <w:rPr>
          <w:color w:val="000000"/>
          <w:sz w:val="21"/>
        </w:rPr>
        <w:t>(2)应确保安全可靠，结构合理、并保证其强度、稳定性和可靠性达到采购人的要求；符合场馆结构负荷要求。</w:t>
      </w:r>
    </w:p>
    <w:p>
      <w:pPr>
        <w:ind w:firstLine="420"/>
        <w:jc w:val="both"/>
      </w:pPr>
      <w:r>
        <w:rPr>
          <w:color w:val="000000"/>
          <w:sz w:val="21"/>
        </w:rPr>
        <w:t>(3)布展的结构完善应与展示主题以及各展项的展示设计要求相结合。</w:t>
      </w:r>
    </w:p>
    <w:p>
      <w:pPr>
        <w:ind w:firstLine="420"/>
        <w:jc w:val="both"/>
      </w:pPr>
      <w:r>
        <w:rPr>
          <w:color w:val="000000"/>
          <w:sz w:val="21"/>
        </w:rPr>
        <w:t>1.9.2材料部分</w:t>
      </w:r>
    </w:p>
    <w:p>
      <w:pPr>
        <w:ind w:firstLine="420"/>
        <w:jc w:val="both"/>
      </w:pPr>
      <w:r>
        <w:rPr>
          <w:color w:val="000000"/>
          <w:sz w:val="21"/>
        </w:rPr>
        <w:t>(1)项目所用材料的品种、规格和质量应符合设计要求和国家现行标准的规定当设计无要求时应符合国家现行标准的规定.严禁使用国家明令淘汰的材料。</w:t>
      </w:r>
    </w:p>
    <w:p>
      <w:pPr>
        <w:ind w:firstLine="420"/>
        <w:jc w:val="both"/>
      </w:pPr>
      <w:r>
        <w:rPr>
          <w:color w:val="000000"/>
          <w:sz w:val="21"/>
        </w:rPr>
        <w:t>(2)项目所用材料的燃烧性能性能应符合现行国家标准《建筑内部装修设计防火规范》GB 50222-95、《建筑设计防火规范》（GB50016-2014）。</w:t>
      </w:r>
    </w:p>
    <w:p>
      <w:pPr>
        <w:ind w:firstLine="420"/>
        <w:jc w:val="both"/>
      </w:pPr>
      <w:r>
        <w:rPr>
          <w:color w:val="000000"/>
          <w:sz w:val="21"/>
        </w:rPr>
        <w:t>(3)项目所用材料应符合国家有关建筑装饰装修材料有害物质限量标准的规定。</w:t>
      </w:r>
    </w:p>
    <w:p>
      <w:pPr>
        <w:ind w:firstLine="420"/>
        <w:jc w:val="both"/>
      </w:pPr>
      <w:r>
        <w:rPr>
          <w:color w:val="000000"/>
          <w:sz w:val="21"/>
        </w:rPr>
        <w:t>(4)所有材料进场时应对应品种、规格、外观和尺寸进行验收。材料包装应完好，应有产品合格证书、中文说明书及相关性能的检验报告；进口产品应按规定进行商品检验。</w:t>
      </w:r>
    </w:p>
    <w:p>
      <w:pPr>
        <w:ind w:firstLine="420"/>
        <w:jc w:val="both"/>
      </w:pPr>
      <w:r>
        <w:rPr>
          <w:color w:val="000000"/>
          <w:sz w:val="21"/>
        </w:rPr>
        <w:t>(5)项目所使用的材料在运输，储存和施工过程中，必须采取有效措施防止损坏，变质和污染环境。</w:t>
      </w:r>
    </w:p>
    <w:p>
      <w:pPr>
        <w:ind w:firstLine="420"/>
        <w:jc w:val="both"/>
      </w:pPr>
      <w:r>
        <w:rPr>
          <w:color w:val="000000"/>
          <w:sz w:val="21"/>
        </w:rPr>
        <w:t>(6)项目所使用的材料应按设计要求进行防火，防腐和防虫处理。</w:t>
      </w:r>
    </w:p>
    <w:p>
      <w:pPr>
        <w:ind w:firstLine="420"/>
        <w:jc w:val="both"/>
      </w:pPr>
      <w:r>
        <w:rPr>
          <w:color w:val="000000"/>
          <w:sz w:val="21"/>
        </w:rPr>
        <w:t>(</w:t>
      </w:r>
      <w:r>
        <w:rPr>
          <w:color w:val="000000"/>
          <w:sz w:val="21"/>
        </w:rPr>
        <w:t>7</w:t>
      </w:r>
      <w:r>
        <w:rPr>
          <w:color w:val="000000"/>
          <w:sz w:val="21"/>
        </w:rPr>
        <w:t>)施工中所选用的建材应严格执行《民用建筑工程室内环境污染控制规范》GB50325-2010，并必害物质限量个国家强制性标准。</w:t>
      </w:r>
    </w:p>
    <w:p>
      <w:pPr>
        <w:ind w:firstLine="420"/>
        <w:jc w:val="both"/>
      </w:pPr>
      <w:r>
        <w:rPr>
          <w:color w:val="000000"/>
          <w:sz w:val="21"/>
        </w:rPr>
        <w:t>(</w:t>
      </w:r>
      <w:r>
        <w:rPr>
          <w:color w:val="000000"/>
          <w:sz w:val="21"/>
        </w:rPr>
        <w:t>8</w:t>
      </w:r>
      <w:r>
        <w:rPr>
          <w:color w:val="000000"/>
          <w:sz w:val="21"/>
        </w:rPr>
        <w:t>)所选之装饰材料均应满足相应的防火等级要求（必要时须附有关方面的鉴定报告）材料均应符合现行国家标准《建筑内部装修设计防火规范》、《建筑设计防火规范》等规定。</w:t>
      </w:r>
    </w:p>
    <w:p>
      <w:pPr>
        <w:ind w:firstLine="420"/>
        <w:jc w:val="both"/>
      </w:pPr>
      <w:r>
        <w:rPr>
          <w:color w:val="000000"/>
          <w:sz w:val="21"/>
        </w:rPr>
        <w:t>1.9.</w:t>
      </w:r>
      <w:r>
        <w:rPr>
          <w:color w:val="000000"/>
          <w:sz w:val="21"/>
        </w:rPr>
        <w:t>3</w:t>
      </w:r>
      <w:r>
        <w:rPr>
          <w:color w:val="000000"/>
          <w:sz w:val="21"/>
        </w:rPr>
        <w:t>版面制作的具体要求</w:t>
      </w:r>
    </w:p>
    <w:p>
      <w:pPr>
        <w:ind w:firstLine="420"/>
        <w:jc w:val="both"/>
      </w:pPr>
      <w:r>
        <w:rPr>
          <w:color w:val="000000"/>
          <w:sz w:val="21"/>
        </w:rPr>
        <w:t>图文版的平面制作和安装，必须使用高精度可移喷绘、</w:t>
      </w:r>
      <w:r>
        <w:rPr>
          <w:color w:val="000000"/>
          <w:sz w:val="21"/>
        </w:rPr>
        <w:t>PVC 板、防水无纺布、高质量油画布、铝板等易清洁、防水、使用寿命长并易于更换的材料，做到收口平整、不起泡、无色差，安装方便、更新便利。</w:t>
      </w:r>
    </w:p>
    <w:p>
      <w:pPr>
        <w:ind w:firstLine="420"/>
        <w:jc w:val="both"/>
      </w:pPr>
      <w:r>
        <w:rPr>
          <w:color w:val="000000"/>
          <w:sz w:val="21"/>
        </w:rPr>
        <w:t>每一个展示空间在实施前须提供排版文件，并付局部采样，经采购人确认后方可实施。</w:t>
      </w:r>
    </w:p>
    <w:p>
      <w:pPr>
        <w:ind w:firstLine="420"/>
        <w:jc w:val="both"/>
      </w:pPr>
      <w:r>
        <w:rPr>
          <w:color w:val="000000"/>
          <w:sz w:val="21"/>
        </w:rPr>
        <w:t>(1)图文板表面平整，字体、图片清晰，安装方式合理。</w:t>
      </w:r>
    </w:p>
    <w:p>
      <w:pPr>
        <w:ind w:firstLine="420"/>
        <w:jc w:val="both"/>
      </w:pPr>
      <w:r>
        <w:rPr>
          <w:color w:val="000000"/>
          <w:sz w:val="21"/>
        </w:rPr>
        <w:t>(2)图文板文字、格式正确，科学性定义准确。</w:t>
      </w:r>
    </w:p>
    <w:p>
      <w:pPr>
        <w:ind w:firstLine="420"/>
        <w:jc w:val="both"/>
      </w:pPr>
      <w:r>
        <w:rPr>
          <w:color w:val="000000"/>
          <w:sz w:val="21"/>
        </w:rPr>
        <w:t>(3)图文板版面大小、色彩符合设计要求，肉眼观看舒适。</w:t>
      </w:r>
    </w:p>
    <w:p>
      <w:pPr>
        <w:ind w:firstLine="420"/>
        <w:jc w:val="both"/>
      </w:pPr>
      <w:r>
        <w:rPr>
          <w:color w:val="000000"/>
          <w:sz w:val="21"/>
        </w:rPr>
        <w:t>(4)图文版面与展示内容风格统一。</w:t>
      </w:r>
    </w:p>
    <w:p>
      <w:pPr>
        <w:ind w:firstLine="420"/>
        <w:jc w:val="both"/>
      </w:pPr>
      <w:r>
        <w:rPr>
          <w:color w:val="000000"/>
          <w:sz w:val="21"/>
        </w:rPr>
        <w:t>(5)图文版安装高度必须符合人体工学，适合各身高人士观看。</w:t>
      </w:r>
    </w:p>
    <w:p>
      <w:pPr>
        <w:ind w:firstLine="420"/>
        <w:jc w:val="both"/>
      </w:pPr>
      <w:r>
        <w:rPr>
          <w:color w:val="000000"/>
          <w:sz w:val="21"/>
        </w:rPr>
        <w:t>1.9.4艺术品制作的具体要求</w:t>
      </w:r>
    </w:p>
    <w:p>
      <w:pPr>
        <w:ind w:firstLine="420"/>
        <w:jc w:val="both"/>
      </w:pPr>
      <w:r>
        <w:rPr>
          <w:color w:val="000000"/>
          <w:sz w:val="21"/>
        </w:rPr>
        <w:t>(1)根据展区、主题所需，使陈列、艺术创作设施达到实用、美观、安全等各方面的要求。</w:t>
      </w:r>
    </w:p>
    <w:p>
      <w:pPr>
        <w:ind w:firstLine="420"/>
        <w:jc w:val="both"/>
      </w:pPr>
      <w:r>
        <w:rPr>
          <w:color w:val="000000"/>
          <w:sz w:val="21"/>
        </w:rPr>
        <w:t>(2)艺术创作必须按照设计方案进行细化，根据使用方要求，创作比例合理，色彩层次分明，细节有棱有角，经采购人确认后方可实施。</w:t>
      </w:r>
    </w:p>
    <w:p>
      <w:pPr>
        <w:ind w:firstLine="420"/>
        <w:jc w:val="both"/>
      </w:pPr>
      <w:r>
        <w:rPr>
          <w:color w:val="000000"/>
          <w:sz w:val="21"/>
        </w:rPr>
        <w:t>(3)其他装饰性艺术处理要充分发挥材料特点，巧妙运用材料本身纹理、色泽、质感等特征，选材围绕实用、美观和安全的原则进行综合对比；应考虑功能要求、审美要求和安全要求，同时应尽可能使用绿色、优质、环保的木、石、棉、麻等天然材质，尽可能减少异味、辐射等有害物质的排放，充分考虑观众及工作人员的身体健康。</w:t>
      </w:r>
    </w:p>
    <w:p>
      <w:pPr>
        <w:ind w:firstLine="420"/>
        <w:jc w:val="both"/>
      </w:pPr>
      <w:r>
        <w:rPr>
          <w:color w:val="000000"/>
          <w:sz w:val="21"/>
        </w:rPr>
        <w:t xml:space="preserve"> </w:t>
      </w:r>
      <w:r>
        <w:rPr>
          <w:color w:val="000000"/>
          <w:sz w:val="21"/>
        </w:rPr>
        <w:t>1.9.5场景创作实施要求</w:t>
      </w:r>
    </w:p>
    <w:p>
      <w:pPr>
        <w:ind w:firstLine="420"/>
        <w:jc w:val="both"/>
      </w:pPr>
      <w:r>
        <w:rPr>
          <w:color w:val="000000"/>
          <w:sz w:val="21"/>
        </w:rPr>
        <w:t>(1)场景道具应保证安全、美观、耐用；</w:t>
      </w:r>
    </w:p>
    <w:p>
      <w:pPr>
        <w:ind w:firstLine="420"/>
        <w:jc w:val="both"/>
      </w:pPr>
      <w:r>
        <w:rPr>
          <w:color w:val="000000"/>
          <w:sz w:val="21"/>
        </w:rPr>
        <w:t>(2)场景创作必须采用绿色环保材料，达到比例合理、生动逼真的实施效果。</w:t>
      </w:r>
    </w:p>
    <w:p>
      <w:pPr>
        <w:ind w:firstLine="420"/>
        <w:jc w:val="both"/>
      </w:pPr>
      <w:r>
        <w:rPr>
          <w:color w:val="000000"/>
          <w:sz w:val="21"/>
        </w:rPr>
        <w:t>(3)应用多媒体声光电技术的场景中，在保证整体展示、互动效果的前提下，必须充分考虑安全性、美观性、耐久性以及维护的便利性。</w:t>
      </w:r>
    </w:p>
    <w:p>
      <w:pPr>
        <w:ind w:firstLine="420"/>
        <w:jc w:val="both"/>
      </w:pPr>
      <w:r>
        <w:rPr>
          <w:color w:val="000000"/>
          <w:sz w:val="21"/>
        </w:rPr>
        <w:t>(4)所有场景必须在以上实施要求的基础上深入优化和深化，必须保证艺术及媒体数字内容创作的专业性。</w:t>
      </w:r>
    </w:p>
    <w:p>
      <w:pPr>
        <w:ind w:firstLine="420"/>
        <w:jc w:val="both"/>
      </w:pPr>
      <w:r>
        <w:rPr>
          <w:color w:val="000000"/>
          <w:sz w:val="21"/>
        </w:rPr>
        <w:t>1.9.6多媒体展项整体制作实施要求</w:t>
      </w:r>
    </w:p>
    <w:p>
      <w:pPr>
        <w:ind w:firstLine="420"/>
        <w:jc w:val="both"/>
      </w:pPr>
      <w:r>
        <w:rPr>
          <w:color w:val="000000"/>
          <w:sz w:val="21"/>
        </w:rPr>
        <w:t>(1)展项的设备产品，满足使用寿命长，且每日的连续使用时长须达到 10 小时或以上，技术成熟及市场保有量多的设备，最低标准必须满足技术参数，不得偏离，采用品牌产品。</w:t>
      </w:r>
    </w:p>
    <w:p>
      <w:pPr>
        <w:ind w:firstLine="420"/>
        <w:jc w:val="both"/>
      </w:pPr>
      <w:r>
        <w:rPr>
          <w:color w:val="000000"/>
          <w:sz w:val="21"/>
        </w:rPr>
        <w:t>(2)系统集成软件的开发必须达到运行稳定，人性化的控制，满足硬件的需求均需稳定、安全、合法等要求，如感应程序需实现体感播放功能；地面互动程序支持多人多点感应功能；融合控制程序需含图形纠正功能、影视边缘融合功能并支持多台显示终端画面无缝融合等多种功能。</w:t>
      </w:r>
    </w:p>
    <w:p>
      <w:pPr>
        <w:ind w:firstLine="420"/>
        <w:jc w:val="both"/>
      </w:pPr>
      <w:r>
        <w:rPr>
          <w:color w:val="000000"/>
          <w:sz w:val="21"/>
        </w:rPr>
        <w:t>(3)智能中控管理程序需含展项运行的开关控制、灯光开关控制及影视播放控制功能；所有展项的控制管理程序须由一个可移动终端遥控器管理。</w:t>
      </w:r>
    </w:p>
    <w:p>
      <w:pPr>
        <w:ind w:firstLine="420"/>
        <w:jc w:val="both"/>
      </w:pPr>
      <w:r>
        <w:rPr>
          <w:color w:val="000000"/>
          <w:sz w:val="21"/>
        </w:rPr>
        <w:t>(4)展示内容的策划与制作必须结合整体的设计方案，达到主题鲜明、具有创意和视觉冲击力，可逆性的修改，满足采购人的需求等。</w:t>
      </w:r>
    </w:p>
    <w:p>
      <w:pPr>
        <w:ind w:firstLine="420"/>
        <w:jc w:val="both"/>
      </w:pPr>
      <w:r>
        <w:rPr>
          <w:color w:val="000000"/>
          <w:sz w:val="21"/>
        </w:rPr>
        <w:t>(5)多媒体内容须经过采购人对</w:t>
      </w:r>
      <w:r>
        <w:rPr>
          <w:color w:val="000000"/>
          <w:sz w:val="21"/>
        </w:rPr>
        <w:t>中标人</w:t>
      </w:r>
      <w:r>
        <w:rPr>
          <w:color w:val="000000"/>
          <w:sz w:val="21"/>
        </w:rPr>
        <w:t>所提供的小样（小稿）确认后，方可进行实施。</w:t>
      </w:r>
    </w:p>
    <w:p>
      <w:pPr>
        <w:ind w:firstLine="420"/>
        <w:jc w:val="both"/>
      </w:pPr>
      <w:r>
        <w:rPr>
          <w:color w:val="000000"/>
          <w:sz w:val="21"/>
        </w:rPr>
        <w:t>(6)完成强弱电布管布线工作并投入使用移动便携式的强弱电、灯光、音响中央控制系统，实现智能化控制，集成度高，技术成熟、安全可靠，做到环保节能标准。</w:t>
      </w:r>
    </w:p>
    <w:p>
      <w:pPr>
        <w:ind w:firstLine="420"/>
        <w:jc w:val="both"/>
      </w:pPr>
      <w:r>
        <w:rPr>
          <w:color w:val="000000"/>
          <w:sz w:val="21"/>
        </w:rPr>
        <w:t>(7)展项中多媒体及数字化设备</w:t>
      </w:r>
      <w:r>
        <w:rPr>
          <w:color w:val="000000"/>
          <w:sz w:val="21"/>
        </w:rPr>
        <w:t>的</w:t>
      </w:r>
      <w:r>
        <w:rPr>
          <w:color w:val="000000"/>
          <w:sz w:val="21"/>
        </w:rPr>
        <w:t>选配科学、合理，用材适当，应与陈列环境相协调，且不易损坏，经久耐用。辅助陈列品、模型制作要求题材运用得当，表现形式得体，工艺精良，艺术水准高。声、光、电效果设计科学、合理，并富有创意。</w:t>
      </w:r>
    </w:p>
    <w:p>
      <w:pPr>
        <w:ind w:firstLine="420"/>
        <w:jc w:val="both"/>
      </w:pPr>
      <w:r>
        <w:rPr>
          <w:color w:val="000000"/>
          <w:sz w:val="21"/>
        </w:rPr>
        <w:t>1.9.7专业照明配套安装的要求</w:t>
      </w:r>
    </w:p>
    <w:p>
      <w:pPr>
        <w:ind w:firstLine="420"/>
        <w:jc w:val="both"/>
      </w:pPr>
      <w:r>
        <w:rPr>
          <w:color w:val="000000"/>
          <w:sz w:val="21"/>
        </w:rPr>
        <w:t>(1)展厅电气设计中必须采用三相五线制，具有分功能区域、结合使用要求分段设置开关控制，须考虑按照不同使用模式设计控制；</w:t>
      </w:r>
    </w:p>
    <w:p>
      <w:pPr>
        <w:ind w:firstLine="420"/>
        <w:jc w:val="both"/>
      </w:pPr>
      <w:r>
        <w:rPr>
          <w:color w:val="000000"/>
          <w:sz w:val="21"/>
        </w:rPr>
        <w:t>(2)必须运用展馆专业可调泛光源，符合照明规范和展陈效果需要，结合整体深化设计方案的需要达到层次分明，分布合理，效果突出；</w:t>
      </w:r>
    </w:p>
    <w:p>
      <w:pPr>
        <w:ind w:firstLine="420"/>
        <w:jc w:val="both"/>
      </w:pPr>
      <w:r>
        <w:rPr>
          <w:color w:val="000000"/>
          <w:sz w:val="21"/>
        </w:rPr>
        <w:t>(3)使用节能环保、寿命长灯具，且达到角度可调、方便维护等最低标准。</w:t>
      </w:r>
    </w:p>
    <w:p>
      <w:pPr>
        <w:ind w:firstLine="420"/>
        <w:jc w:val="both"/>
      </w:pPr>
      <w:r>
        <w:rPr>
          <w:color w:val="000000"/>
          <w:sz w:val="21"/>
        </w:rPr>
        <w:t>1.9.8管线系统配套安装实施要求</w:t>
      </w:r>
    </w:p>
    <w:p>
      <w:pPr>
        <w:ind w:firstLine="420"/>
        <w:jc w:val="both"/>
      </w:pPr>
      <w:r>
        <w:rPr>
          <w:color w:val="000000"/>
          <w:sz w:val="21"/>
        </w:rPr>
        <w:t>(1)综合布线系统电源、防护及接地的设计要符合国家的最新规定；</w:t>
      </w:r>
    </w:p>
    <w:p>
      <w:pPr>
        <w:ind w:firstLine="420"/>
        <w:jc w:val="both"/>
      </w:pPr>
      <w:r>
        <w:rPr>
          <w:color w:val="000000"/>
          <w:sz w:val="21"/>
        </w:rPr>
        <w:t>(2)线路、管道敷设要求美观整齐、合理，原则暗敷，明敷塑料导线应穿管或加线槽板保护，吊顶内的导线应穿金属管保护，导线不得裸露。</w:t>
      </w:r>
    </w:p>
    <w:p>
      <w:pPr>
        <w:ind w:firstLine="420"/>
        <w:jc w:val="both"/>
      </w:pPr>
      <w:r>
        <w:rPr>
          <w:color w:val="000000"/>
          <w:sz w:val="21"/>
        </w:rPr>
        <w:t>1.9.9.设备部分要求</w:t>
      </w:r>
    </w:p>
    <w:p>
      <w:pPr>
        <w:ind w:firstLine="420"/>
        <w:jc w:val="both"/>
      </w:pPr>
      <w:r>
        <w:rPr>
          <w:color w:val="000000"/>
          <w:sz w:val="21"/>
        </w:rPr>
        <w:t>投标人提供的设备、材料等必须是全新的原装优质产品</w:t>
      </w:r>
      <w:r>
        <w:rPr>
          <w:color w:val="000000"/>
          <w:sz w:val="21"/>
        </w:rPr>
        <w:t>(包括所有零部件、元器件、附件、备件)，符合相应的国家标准的，并须提供相关产品的产品合格证、产品说明书和安装说明等资料，所有材料设备必须环保且质量优良 (如与采购人意见相左时，以采购人意见为准) ，投标人所提供的产品在安装调试完成后，应构成一个完整的系统，能按照技术要求连续运行。所有设备须原包装到位，需要的配件必须是原包装到达采购人，未经采购人允许不得私自预先安装。</w:t>
      </w:r>
    </w:p>
    <w:p>
      <w:pPr>
        <w:jc w:val="both"/>
      </w:pPr>
      <w:r>
        <w:rPr>
          <w:b/>
          <w:color w:val="000000"/>
          <w:sz w:val="21"/>
        </w:rPr>
        <w:t>1.10、</w:t>
      </w:r>
      <w:r>
        <w:rPr>
          <w:b/>
          <w:color w:val="000000"/>
          <w:sz w:val="21"/>
        </w:rPr>
        <w:t>安全规范要求</w:t>
      </w:r>
    </w:p>
    <w:p>
      <w:pPr>
        <w:ind w:firstLine="420"/>
        <w:jc w:val="both"/>
      </w:pPr>
      <w:r>
        <w:rPr>
          <w:color w:val="000000"/>
          <w:sz w:val="21"/>
        </w:rPr>
        <w:t>杜绝一般事故等级以上的伤亡事故且工伤责任事故死亡人数为零。</w:t>
      </w:r>
    </w:p>
    <w:p>
      <w:pPr>
        <w:ind w:firstLine="420"/>
        <w:jc w:val="both"/>
      </w:pPr>
      <w:r>
        <w:rPr>
          <w:color w:val="000000"/>
          <w:sz w:val="21"/>
        </w:rPr>
        <w:t>项目实施过程中必须考虑项目施工现场的各类安全防护工作，确保人员安全，且须做好文明施工的相关措施，并确保围蔽设施美观，按照规定进行项目开展进度控制。安排负责设置现场办公用房。由于实施现场在规划馆内</w:t>
      </w:r>
      <w:r>
        <w:rPr>
          <w:color w:val="000000"/>
          <w:sz w:val="21"/>
        </w:rPr>
        <w:t>,规划馆内不允许实施人员的留宿,在项目实施时对实施场地必须实行全封闭。</w:t>
      </w:r>
    </w:p>
    <w:p>
      <w:pPr>
        <w:ind w:firstLine="420"/>
        <w:jc w:val="both"/>
      </w:pPr>
      <w:r>
        <w:rPr>
          <w:color w:val="000000"/>
          <w:sz w:val="21"/>
        </w:rPr>
        <w:t>实施服务、辅助设施符合展览展示需求以及符合公共场所安全消防规范，对参与人员的安全、事故应急措施的保障，设计制造的成品符合相应国家标准、规范要求。</w:t>
      </w:r>
    </w:p>
    <w:p>
      <w:pPr>
        <w:ind w:firstLine="420"/>
        <w:jc w:val="both"/>
      </w:pPr>
      <w:r>
        <w:rPr>
          <w:color w:val="000000"/>
          <w:sz w:val="21"/>
        </w:rPr>
        <w:t>1.10.1安全文明施工</w:t>
      </w:r>
    </w:p>
    <w:p>
      <w:pPr>
        <w:ind w:firstLine="420"/>
        <w:jc w:val="both"/>
      </w:pPr>
      <w:r>
        <w:rPr>
          <w:color w:val="000000"/>
          <w:sz w:val="21"/>
        </w:rPr>
        <w:t>(1)项目安全生产的达标目标及相应事项的约定：</w:t>
      </w:r>
    </w:p>
    <w:p>
      <w:pPr>
        <w:ind w:firstLine="420"/>
        <w:jc w:val="both"/>
      </w:pPr>
      <w:r>
        <w:rPr>
          <w:color w:val="000000"/>
          <w:sz w:val="21"/>
        </w:rPr>
        <w:t>1、进入施工现场的各类安全防护由</w:t>
      </w:r>
      <w:r>
        <w:rPr>
          <w:color w:val="000000"/>
          <w:sz w:val="21"/>
        </w:rPr>
        <w:t>中标人</w:t>
      </w:r>
      <w:r>
        <w:rPr>
          <w:color w:val="000000"/>
          <w:sz w:val="21"/>
        </w:rPr>
        <w:t>统一协调管理，安全责任由</w:t>
      </w:r>
      <w:r>
        <w:rPr>
          <w:color w:val="000000"/>
          <w:sz w:val="21"/>
        </w:rPr>
        <w:t>中标人</w:t>
      </w:r>
      <w:r>
        <w:rPr>
          <w:color w:val="000000"/>
          <w:sz w:val="21"/>
        </w:rPr>
        <w:t>承担，费用含在投标报价中；</w:t>
      </w:r>
    </w:p>
    <w:p>
      <w:pPr>
        <w:ind w:firstLine="420"/>
        <w:jc w:val="both"/>
      </w:pPr>
      <w:r>
        <w:rPr>
          <w:color w:val="000000"/>
          <w:sz w:val="21"/>
        </w:rPr>
        <w:t>2、</w:t>
      </w:r>
      <w:r>
        <w:rPr>
          <w:color w:val="000000"/>
          <w:sz w:val="21"/>
        </w:rPr>
        <w:t>中标人</w:t>
      </w:r>
      <w:r>
        <w:rPr>
          <w:color w:val="000000"/>
          <w:sz w:val="21"/>
        </w:rPr>
        <w:t>负责进入施工现场施工人员及财物安全，发生任何伤亡事故与采购人无关，</w:t>
      </w:r>
      <w:r>
        <w:rPr>
          <w:color w:val="000000"/>
          <w:sz w:val="21"/>
        </w:rPr>
        <w:t>中标人</w:t>
      </w:r>
      <w:r>
        <w:rPr>
          <w:color w:val="000000"/>
          <w:sz w:val="21"/>
        </w:rPr>
        <w:t>自行解决；</w:t>
      </w:r>
    </w:p>
    <w:p>
      <w:pPr>
        <w:ind w:firstLine="420"/>
        <w:jc w:val="both"/>
      </w:pPr>
      <w:r>
        <w:rPr>
          <w:color w:val="000000"/>
          <w:sz w:val="21"/>
        </w:rPr>
        <w:t>3、</w:t>
      </w:r>
      <w:r>
        <w:rPr>
          <w:color w:val="000000"/>
          <w:sz w:val="21"/>
        </w:rPr>
        <w:t>中标人</w:t>
      </w:r>
      <w:r>
        <w:rPr>
          <w:color w:val="000000"/>
          <w:sz w:val="21"/>
        </w:rPr>
        <w:t>应合理安排、安全使用水、电设施，否则引起的一切责任由</w:t>
      </w:r>
      <w:r>
        <w:rPr>
          <w:color w:val="000000"/>
          <w:sz w:val="21"/>
        </w:rPr>
        <w:t>中标人</w:t>
      </w:r>
      <w:r>
        <w:rPr>
          <w:color w:val="000000"/>
          <w:sz w:val="21"/>
        </w:rPr>
        <w:t>承担。</w:t>
      </w:r>
      <w:r>
        <w:rPr>
          <w:color w:val="000000"/>
          <w:sz w:val="21"/>
        </w:rPr>
        <w:t>中标人</w:t>
      </w:r>
      <w:r>
        <w:rPr>
          <w:color w:val="000000"/>
          <w:sz w:val="21"/>
        </w:rPr>
        <w:t>应负责保管水、电设施，若发生丢失或损坏，由</w:t>
      </w:r>
      <w:r>
        <w:rPr>
          <w:color w:val="000000"/>
          <w:sz w:val="21"/>
        </w:rPr>
        <w:t>中标人</w:t>
      </w:r>
      <w:r>
        <w:rPr>
          <w:color w:val="000000"/>
          <w:sz w:val="21"/>
        </w:rPr>
        <w:t>赔偿。</w:t>
      </w:r>
    </w:p>
    <w:p>
      <w:pPr>
        <w:ind w:firstLine="420"/>
        <w:jc w:val="both"/>
      </w:pPr>
      <w:r>
        <w:rPr>
          <w:color w:val="000000"/>
          <w:sz w:val="21"/>
        </w:rPr>
        <w:t>4、严格执行《中华人民共和国安全生产法》、《建设工程安全生产管理条例》（国务院第 393 号令）等相关法律法规、双方签定的《安全施工协议》。</w:t>
      </w:r>
      <w:r>
        <w:rPr>
          <w:color w:val="000000"/>
          <w:sz w:val="21"/>
        </w:rPr>
        <w:t>中标人</w:t>
      </w:r>
      <w:r>
        <w:rPr>
          <w:color w:val="000000"/>
          <w:sz w:val="21"/>
        </w:rPr>
        <w:t>在施工现场的安全管理、安全教育和安全事故责任及所发生的费用均由</w:t>
      </w:r>
      <w:r>
        <w:rPr>
          <w:color w:val="000000"/>
          <w:sz w:val="21"/>
        </w:rPr>
        <w:t>中标人</w:t>
      </w:r>
      <w:r>
        <w:rPr>
          <w:color w:val="000000"/>
          <w:sz w:val="21"/>
        </w:rPr>
        <w:t>承担。由</w:t>
      </w:r>
      <w:r>
        <w:rPr>
          <w:color w:val="000000"/>
          <w:sz w:val="21"/>
        </w:rPr>
        <w:t>中标人</w:t>
      </w:r>
      <w:r>
        <w:rPr>
          <w:color w:val="000000"/>
          <w:sz w:val="21"/>
        </w:rPr>
        <w:t>按规范施工并对安全生产负全责，除执行通用条款的相关规定外，</w:t>
      </w:r>
      <w:r>
        <w:rPr>
          <w:color w:val="000000"/>
          <w:sz w:val="21"/>
        </w:rPr>
        <w:t>中标人</w:t>
      </w:r>
      <w:r>
        <w:rPr>
          <w:color w:val="000000"/>
          <w:sz w:val="21"/>
        </w:rPr>
        <w:t>应严格按照施工组织设计组织施工，在安全管理方面除正常进行安全学习，安全教育外，同时应高度重视全部施工期间的安全工作，安全措施要落实到位，应急措施要跟上，并配备专职安全人员，全面负责施工现场的安全及周边设施的安全和第三方人身安全，并承担所有责任及相应地赔偿费用。</w:t>
      </w:r>
    </w:p>
    <w:p>
      <w:pPr>
        <w:ind w:firstLine="420"/>
        <w:jc w:val="both"/>
      </w:pPr>
      <w:r>
        <w:rPr>
          <w:color w:val="000000"/>
          <w:sz w:val="21"/>
        </w:rPr>
        <w:t>5、</w:t>
      </w:r>
      <w:r>
        <w:rPr>
          <w:color w:val="000000"/>
          <w:sz w:val="21"/>
        </w:rPr>
        <w:t>中标人</w:t>
      </w:r>
      <w:r>
        <w:rPr>
          <w:color w:val="000000"/>
          <w:sz w:val="21"/>
        </w:rPr>
        <w:t>应当遵守工程建设安全生产有关管理规定，严格按安全标准组织施工，并随时接受采购人及行业安全检查人员依法实施的监督检查，采取必要的安全防护措施，消除事故隐患，安全防护费用已含在合同价款内。在</w:t>
      </w:r>
      <w:r>
        <w:rPr>
          <w:color w:val="000000"/>
          <w:sz w:val="21"/>
        </w:rPr>
        <w:t>中标人</w:t>
      </w:r>
      <w:r>
        <w:rPr>
          <w:color w:val="000000"/>
          <w:sz w:val="21"/>
        </w:rPr>
        <w:t>施工范围内发生或因施工活动有关的安全事故由</w:t>
      </w:r>
      <w:r>
        <w:rPr>
          <w:color w:val="000000"/>
          <w:sz w:val="21"/>
        </w:rPr>
        <w:t>中标人</w:t>
      </w:r>
      <w:r>
        <w:rPr>
          <w:color w:val="000000"/>
          <w:sz w:val="21"/>
        </w:rPr>
        <w:t>负责处理并承担责任。</w:t>
      </w:r>
    </w:p>
    <w:p>
      <w:pPr>
        <w:ind w:firstLine="420"/>
        <w:jc w:val="both"/>
      </w:pPr>
      <w:r>
        <w:rPr>
          <w:color w:val="000000"/>
          <w:sz w:val="21"/>
        </w:rPr>
        <w:t>6、</w:t>
      </w:r>
      <w:r>
        <w:rPr>
          <w:color w:val="000000"/>
          <w:sz w:val="21"/>
        </w:rPr>
        <w:t>中标人</w:t>
      </w:r>
      <w:r>
        <w:rPr>
          <w:color w:val="000000"/>
          <w:sz w:val="21"/>
        </w:rPr>
        <w:t>应合理安全使用水、电设施，否则引起的一切责任由</w:t>
      </w:r>
      <w:r>
        <w:rPr>
          <w:color w:val="000000"/>
          <w:sz w:val="21"/>
        </w:rPr>
        <w:t>中标人</w:t>
      </w:r>
      <w:r>
        <w:rPr>
          <w:color w:val="000000"/>
          <w:sz w:val="21"/>
        </w:rPr>
        <w:t>自行承担。</w:t>
      </w:r>
    </w:p>
    <w:p>
      <w:pPr>
        <w:ind w:firstLine="420"/>
        <w:jc w:val="both"/>
      </w:pPr>
      <w:r>
        <w:rPr>
          <w:color w:val="000000"/>
          <w:sz w:val="21"/>
        </w:rPr>
        <w:t>(2) 文明施工</w:t>
      </w:r>
    </w:p>
    <w:p>
      <w:pPr>
        <w:ind w:firstLine="420"/>
        <w:jc w:val="both"/>
      </w:pPr>
      <w:r>
        <w:rPr>
          <w:color w:val="000000"/>
          <w:sz w:val="21"/>
        </w:rPr>
        <w:t>文明施工的要求：</w:t>
      </w:r>
    </w:p>
    <w:p>
      <w:pPr>
        <w:ind w:firstLine="420"/>
        <w:jc w:val="both"/>
      </w:pPr>
      <w:r>
        <w:rPr>
          <w:color w:val="000000"/>
          <w:sz w:val="21"/>
        </w:rPr>
        <w:t>1、施工安全：⑴</w:t>
      </w:r>
      <w:r>
        <w:rPr>
          <w:color w:val="000000"/>
          <w:sz w:val="21"/>
        </w:rPr>
        <w:t>中标人</w:t>
      </w:r>
      <w:r>
        <w:rPr>
          <w:color w:val="000000"/>
          <w:sz w:val="21"/>
        </w:rPr>
        <w:t>报请监理工程师和业主代表审批的施工组织设计中应有安全施工方案，要有安全施工管理系统，配备安全管理人员负责工程、车辆机械和施工人员的安全工作，将施工安全落到实处。</w:t>
      </w:r>
      <w:r>
        <w:rPr>
          <w:color w:val="000000"/>
          <w:sz w:val="21"/>
        </w:rPr>
        <w:t>⑵</w:t>
      </w:r>
      <w:r>
        <w:rPr>
          <w:color w:val="000000"/>
          <w:sz w:val="21"/>
        </w:rPr>
        <w:t>中标人</w:t>
      </w:r>
      <w:r>
        <w:rPr>
          <w:color w:val="000000"/>
          <w:sz w:val="21"/>
        </w:rPr>
        <w:t>要认真做好车辆机械的保养维护工作和驾驶操作人员的安全教育工作，车辆机械不得带病作业，不得违规操作，杜绝机械和车辆事故。</w:t>
      </w:r>
      <w:r>
        <w:rPr>
          <w:color w:val="000000"/>
          <w:sz w:val="21"/>
        </w:rPr>
        <w:t>2、施工噪音：工程施工期间，噪声对环境的影响必须满足国家和阳江市有关法规要求。施工噪声遵守《建筑施工场界噪声限值》（GB12523－90）。在选择施工设备及施工方法时，</w:t>
      </w:r>
      <w:r>
        <w:rPr>
          <w:color w:val="000000"/>
          <w:sz w:val="21"/>
        </w:rPr>
        <w:t>中标人</w:t>
      </w:r>
      <w:r>
        <w:rPr>
          <w:color w:val="000000"/>
          <w:sz w:val="21"/>
        </w:rPr>
        <w:t>必须考虑由此产生的噪声标准及对施工人员和周围单位和居民的影响。在工程施工过程中，若发生施工噪声超标扰民事件，由</w:t>
      </w:r>
      <w:r>
        <w:rPr>
          <w:color w:val="000000"/>
          <w:sz w:val="21"/>
        </w:rPr>
        <w:t>中标人</w:t>
      </w:r>
      <w:r>
        <w:rPr>
          <w:color w:val="000000"/>
          <w:sz w:val="21"/>
        </w:rPr>
        <w:t>负责解决。</w:t>
      </w:r>
      <w:r>
        <w:rPr>
          <w:color w:val="000000"/>
          <w:sz w:val="21"/>
        </w:rPr>
        <w:t>3、污水排放：所有的废水、污水应按批准的方法处理后排入排污系统，不得污染环境，由此而引进的后果由</w:t>
      </w:r>
      <w:r>
        <w:rPr>
          <w:color w:val="000000"/>
          <w:sz w:val="21"/>
        </w:rPr>
        <w:t>中标人</w:t>
      </w:r>
      <w:r>
        <w:rPr>
          <w:color w:val="000000"/>
          <w:sz w:val="21"/>
        </w:rPr>
        <w:t>自行负责。</w:t>
      </w:r>
    </w:p>
    <w:p>
      <w:pPr>
        <w:jc w:val="both"/>
      </w:pPr>
      <w:r>
        <w:rPr>
          <w:b/>
          <w:color w:val="000000"/>
          <w:sz w:val="21"/>
        </w:rPr>
        <w:t>1.11、</w:t>
      </w:r>
      <w:r>
        <w:rPr>
          <w:b/>
          <w:color w:val="000000"/>
          <w:sz w:val="21"/>
        </w:rPr>
        <w:t>项目管理要求</w:t>
      </w:r>
    </w:p>
    <w:p>
      <w:pPr>
        <w:ind w:firstLine="420"/>
        <w:jc w:val="both"/>
      </w:pPr>
      <w:r>
        <w:rPr>
          <w:color w:val="000000"/>
          <w:sz w:val="21"/>
        </w:rPr>
        <w:t>(1)负责项目实施现场的安全、保安和文明生产管理。</w:t>
      </w:r>
    </w:p>
    <w:p>
      <w:pPr>
        <w:ind w:firstLine="420"/>
        <w:jc w:val="both"/>
      </w:pPr>
      <w:r>
        <w:rPr>
          <w:color w:val="000000"/>
          <w:sz w:val="21"/>
        </w:rPr>
        <w:t>(2)负责项目实施过程中产生的技术资料和图纸的归档管理。</w:t>
      </w:r>
    </w:p>
    <w:p>
      <w:pPr>
        <w:ind w:firstLine="420"/>
        <w:jc w:val="both"/>
      </w:pPr>
      <w:r>
        <w:rPr>
          <w:color w:val="000000"/>
          <w:sz w:val="21"/>
        </w:rPr>
        <w:t>(3)负责项目实施过程中产生的技术资料和图纸文件档案的移交。</w:t>
      </w:r>
    </w:p>
    <w:p>
      <w:pPr>
        <w:ind w:firstLine="420"/>
        <w:jc w:val="both"/>
      </w:pPr>
      <w:r>
        <w:rPr>
          <w:color w:val="000000"/>
          <w:sz w:val="21"/>
        </w:rPr>
        <w:t>(4)协助采购人进行项目报相关政府部门的审批。</w:t>
      </w:r>
    </w:p>
    <w:p>
      <w:pPr>
        <w:ind w:firstLine="420"/>
        <w:jc w:val="both"/>
      </w:pPr>
      <w:r>
        <w:rPr>
          <w:color w:val="000000"/>
          <w:sz w:val="21"/>
        </w:rPr>
        <w:t>(5)</w:t>
      </w:r>
      <w:r>
        <w:rPr>
          <w:color w:val="000000"/>
          <w:sz w:val="21"/>
        </w:rPr>
        <w:t>中标人</w:t>
      </w:r>
      <w:r>
        <w:rPr>
          <w:color w:val="000000"/>
          <w:sz w:val="21"/>
        </w:rPr>
        <w:t>严格遵照材料设备的看样定板制度，保证施工所用材料、设备的质量，从源头上控制质量隐患。</w:t>
      </w:r>
    </w:p>
    <w:p>
      <w:pPr>
        <w:ind w:firstLine="420"/>
        <w:jc w:val="both"/>
      </w:pPr>
      <w:r>
        <w:rPr>
          <w:color w:val="000000"/>
          <w:sz w:val="21"/>
        </w:rPr>
        <w:t>(6)</w:t>
      </w:r>
      <w:r>
        <w:rPr>
          <w:color w:val="000000"/>
          <w:sz w:val="21"/>
        </w:rPr>
        <w:t>中标人</w:t>
      </w:r>
      <w:r>
        <w:rPr>
          <w:color w:val="000000"/>
          <w:sz w:val="21"/>
        </w:rPr>
        <w:t>拟组建的项目管理部人员应具有较强的项目实施能力，须具备技术服务到位、力量雄厚的团队，人员齐全，为项目业主提供良好的布展设计和工程服务。</w:t>
      </w:r>
    </w:p>
    <w:p>
      <w:pPr>
        <w:jc w:val="both"/>
      </w:pPr>
      <w:r>
        <w:rPr>
          <w:b/>
          <w:color w:val="000000"/>
          <w:sz w:val="21"/>
        </w:rPr>
        <w:t>1.12、</w:t>
      </w:r>
      <w:r>
        <w:rPr>
          <w:b/>
          <w:color w:val="000000"/>
          <w:sz w:val="21"/>
        </w:rPr>
        <w:t>布展实施的作业要求</w:t>
      </w:r>
    </w:p>
    <w:p>
      <w:pPr>
        <w:ind w:firstLine="420"/>
        <w:jc w:val="both"/>
      </w:pPr>
      <w:r>
        <w:rPr>
          <w:color w:val="000000"/>
          <w:sz w:val="21"/>
        </w:rPr>
        <w:t>(1)布展实施所使用材料的品种、规格和质量应符合设计和现行的国家标准的规定，严禁使用国家明令淘汰的材料。</w:t>
      </w:r>
    </w:p>
    <w:p>
      <w:pPr>
        <w:ind w:firstLine="420"/>
        <w:jc w:val="both"/>
      </w:pPr>
      <w:r>
        <w:rPr>
          <w:color w:val="000000"/>
          <w:sz w:val="21"/>
        </w:rPr>
        <w:t>(2)布展实施过程中，严禁擅自改动建筑主体，承重结构或主要使用功能，严禁未经设计确认和有关部门的批准擅自拆改水、电、气、通讯等配套设施。</w:t>
      </w:r>
    </w:p>
    <w:p>
      <w:pPr>
        <w:ind w:firstLine="420"/>
        <w:jc w:val="both"/>
      </w:pPr>
      <w:r>
        <w:rPr>
          <w:color w:val="000000"/>
          <w:sz w:val="21"/>
        </w:rPr>
        <w:t>(3)布展实施应遵守有关环境保护的法律、法规，并应采取有效措施控制实施现场的各种粉尘、废弃物、噪声、振动等对周围环境造成的污染和危害。</w:t>
      </w:r>
    </w:p>
    <w:p>
      <w:pPr>
        <w:ind w:firstLine="420"/>
        <w:jc w:val="both"/>
      </w:pPr>
      <w:r>
        <w:rPr>
          <w:color w:val="000000"/>
          <w:sz w:val="21"/>
        </w:rPr>
        <w:t>(4)</w:t>
      </w:r>
      <w:r>
        <w:rPr>
          <w:color w:val="000000"/>
          <w:sz w:val="21"/>
        </w:rPr>
        <w:t>中标人</w:t>
      </w:r>
      <w:r>
        <w:rPr>
          <w:color w:val="000000"/>
          <w:sz w:val="21"/>
        </w:rPr>
        <w:t>应遵守有关安全劳动保护防火和防毒的法律法规应建立相应的管理制度并应配备必要的设备器具和标识。</w:t>
      </w:r>
    </w:p>
    <w:p>
      <w:pPr>
        <w:ind w:firstLine="315"/>
        <w:jc w:val="both"/>
      </w:pPr>
      <w:r>
        <w:rPr>
          <w:color w:val="000000"/>
          <w:sz w:val="21"/>
        </w:rPr>
        <w:t xml:space="preserve"> </w:t>
      </w:r>
      <w:r>
        <w:rPr>
          <w:color w:val="000000"/>
          <w:sz w:val="21"/>
        </w:rPr>
        <w:t>(5)凡列为质量监理控制点（包括文件见证点、现场见证点、停止见证点）的监理对象，如达不到质量要求，监理工程师有权责令返工。</w:t>
      </w:r>
    </w:p>
    <w:p>
      <w:pPr>
        <w:jc w:val="both"/>
      </w:pPr>
      <w:r>
        <w:rPr>
          <w:b/>
          <w:color w:val="000000"/>
          <w:sz w:val="21"/>
        </w:rPr>
        <w:t>1.13、</w:t>
      </w:r>
      <w:r>
        <w:rPr>
          <w:b/>
          <w:color w:val="000000"/>
          <w:sz w:val="21"/>
        </w:rPr>
        <w:t>检查与验收</w:t>
      </w:r>
    </w:p>
    <w:p>
      <w:pPr>
        <w:ind w:firstLine="420"/>
        <w:jc w:val="both"/>
      </w:pPr>
      <w:r>
        <w:rPr>
          <w:color w:val="000000"/>
          <w:sz w:val="21"/>
        </w:rPr>
        <w:t>(1)材料及设备入场前，</w:t>
      </w:r>
      <w:r>
        <w:rPr>
          <w:color w:val="000000"/>
          <w:sz w:val="21"/>
        </w:rPr>
        <w:t>中标人</w:t>
      </w:r>
      <w:r>
        <w:rPr>
          <w:color w:val="000000"/>
          <w:sz w:val="21"/>
        </w:rPr>
        <w:t>须提供样品及相关证明文件由采购人及监理单位确认。</w:t>
      </w:r>
    </w:p>
    <w:p>
      <w:pPr>
        <w:ind w:firstLine="420"/>
        <w:jc w:val="both"/>
      </w:pPr>
      <w:r>
        <w:rPr>
          <w:color w:val="000000"/>
          <w:sz w:val="21"/>
        </w:rPr>
        <w:t>(2)布展试运行:</w:t>
      </w:r>
    </w:p>
    <w:p>
      <w:pPr>
        <w:ind w:firstLine="420"/>
        <w:jc w:val="both"/>
      </w:pPr>
      <w:r>
        <w:rPr>
          <w:color w:val="000000"/>
          <w:sz w:val="21"/>
        </w:rPr>
        <w:t>布展试运行是</w:t>
      </w:r>
      <w:r>
        <w:rPr>
          <w:color w:val="000000"/>
          <w:sz w:val="21"/>
        </w:rPr>
        <w:t>中标人</w:t>
      </w:r>
      <w:r>
        <w:rPr>
          <w:color w:val="000000"/>
          <w:sz w:val="21"/>
        </w:rPr>
        <w:t>完成其所承建布展的实施、安装、调试、自检后提出试运行申请，由采购人和监理公司组织完成布展项目各项技术指标、展示功能、外观质量、整体效果、安全环保、档案资料等方面的检测和评定的一项工作。通过试运行检测布展的质量及运行效果状态，为项目运行及竣工验收奠定基础。</w:t>
      </w:r>
    </w:p>
    <w:p>
      <w:pPr>
        <w:ind w:firstLine="420"/>
        <w:jc w:val="both"/>
      </w:pPr>
      <w:r>
        <w:rPr>
          <w:color w:val="000000"/>
          <w:sz w:val="21"/>
        </w:rPr>
        <w:t>(3)通过试运行一个月，运行效果良好，无因布展责任的安全、质量事故发生，</w:t>
      </w:r>
      <w:r>
        <w:rPr>
          <w:color w:val="000000"/>
          <w:sz w:val="21"/>
        </w:rPr>
        <w:t>中标人</w:t>
      </w:r>
      <w:r>
        <w:rPr>
          <w:color w:val="000000"/>
          <w:sz w:val="21"/>
        </w:rPr>
        <w:t>可申请进行竣工验收，布展竣工验收主要是对展厅总体环境和运行效果的验收。验收的标准：按照国家现行标准、经</w:t>
      </w:r>
      <w:r>
        <w:rPr>
          <w:color w:val="000000"/>
          <w:sz w:val="21"/>
        </w:rPr>
        <w:t>采购人</w:t>
      </w:r>
      <w:r>
        <w:rPr>
          <w:color w:val="000000"/>
          <w:sz w:val="21"/>
        </w:rPr>
        <w:t>确认的方案规定的各项技术要求以及其他相关强制性要求。</w:t>
      </w:r>
    </w:p>
    <w:p>
      <w:pPr>
        <w:ind w:firstLine="420"/>
        <w:jc w:val="both"/>
      </w:pPr>
      <w:r>
        <w:rPr>
          <w:color w:val="000000"/>
          <w:sz w:val="21"/>
        </w:rPr>
        <w:t>(4)应当遵守国家有关法律、法规和有关规定，并应遵循安全、美观的基本原则，布展施工中必须贯彻国家、行业和地方有关安全、防火、环保、建筑、电气等现行标准和技术规范。</w:t>
      </w:r>
    </w:p>
    <w:p>
      <w:pPr>
        <w:ind w:firstLine="420"/>
        <w:jc w:val="both"/>
      </w:pPr>
      <w:r>
        <w:rPr>
          <w:color w:val="000000"/>
          <w:sz w:val="21"/>
        </w:rPr>
        <w:t>(5)必须确保建筑物原有安全性、整体性，不得任意改变原建筑物的承重结构，不得破坏原建筑物外立面，若需开安装孔洞，在设备安装后应按原有外墙效果修整。</w:t>
      </w:r>
    </w:p>
    <w:p>
      <w:pPr>
        <w:ind w:firstLine="420"/>
        <w:jc w:val="both"/>
      </w:pPr>
      <w:r>
        <w:rPr>
          <w:color w:val="000000"/>
          <w:sz w:val="21"/>
        </w:rPr>
        <w:t>(6) 材料质量应符合产品有关标准的质量要求和设计要求。对使用有特殊规定的材料制品和设备应按其产品说明书的规定进行。</w:t>
      </w:r>
    </w:p>
    <w:p>
      <w:r>
        <w:rPr>
          <w:b/>
          <w:color w:val="000000"/>
          <w:sz w:val="21"/>
        </w:rPr>
        <w:t>二、项目实施范围</w:t>
      </w:r>
      <w:r>
        <w:rPr/>
        <w:t xml:space="preserve">                                                </w:t>
      </w:r>
    </w:p>
    <w:p>
      <w:r>
        <w:rPr>
          <w:b/>
          <w:color w:val="000000"/>
          <w:sz w:val="21"/>
        </w:rPr>
        <w:t>2.1、项目整体实施范围：</w:t>
      </w:r>
    </w:p>
    <w:p>
      <w:r>
        <w:rPr>
          <w:color w:val="000000"/>
          <w:sz w:val="21"/>
        </w:rPr>
        <w:t>本项目内容包括城市序厅、寻</w:t>
      </w:r>
      <w:r>
        <w:rPr>
          <w:color w:val="000000"/>
          <w:sz w:val="21"/>
        </w:rPr>
        <w:t>·探寻发展坦途、擘·擘画规划新画卷以及构·构筑发展新图景四个区域的展陈深化设计方案及施工布展一体化实施，展陈形式包括但不仅限于展示空间改造、展墙设计及施工、图文展板、模型、数字图像、互动多媒体、多媒体数字内容制作、常设室内装饰装修工程、场景造景及艺术品、定制展柜、专业灯光、陈列系统等布展设计及项目施工、后期维护等。展览场馆分布在2层到4层，整体布展面积为1870㎡，展陈深化设计及施工布展一体化投资总预算金额为人民币</w:t>
      </w:r>
      <w:r>
        <w:rPr>
          <w:color w:val="000000"/>
          <w:sz w:val="21"/>
        </w:rPr>
        <w:t>16049235.58元</w:t>
      </w:r>
      <w:r>
        <w:rPr>
          <w:color w:val="000000"/>
          <w:sz w:val="21"/>
        </w:rPr>
        <w:t>。详见</w:t>
      </w:r>
      <w:r>
        <w:rPr>
          <w:color w:val="000000"/>
          <w:sz w:val="21"/>
        </w:rPr>
        <w:t>下表：</w:t>
      </w:r>
    </w:p>
    <w:tbl>
      <w:tblPr>
        <w:tblW w:w="0" w:type="auto"/>
        <w:tblBorders>
          <w:top w:val="none" w:color="000000" w:sz="4"/>
          <w:left w:val="none" w:color="000000" w:sz="4"/>
          <w:bottom w:val="none" w:color="000000" w:sz="4"/>
          <w:right w:val="none" w:color="000000" w:sz="4"/>
          <w:insideH w:val="none"/>
          <w:insideV w:val="none"/>
        </w:tblBorders>
      </w:tblPr>
      <w:tblGrid>
        <w:gridCol w:w="905"/>
        <w:gridCol w:w="2831"/>
        <w:gridCol w:w="1245"/>
        <w:gridCol w:w="1156"/>
        <w:gridCol w:w="2168"/>
      </w:tblGrid>
      <w:tr>
        <w:tc>
          <w:tcPr>
            <w:tcW w:type="dxa" w:w="905"/>
            <w:tcBorders>
              <w:top w:val="single" w:color="000000" w:sz="4"/>
              <w:left w:val="single" w:color="000000" w:sz="4"/>
              <w:bottom w:val="single" w:color="000000" w:sz="4"/>
              <w:right w:val="single" w:color="000000" w:sz="4"/>
            </w:tcBorders>
            <w:shd w:fill="CFCECE"/>
            <w:vAlign w:val="top"/>
          </w:tcPr>
          <w:p>
            <w:pPr>
              <w:jc w:val="center"/>
            </w:pPr>
          </w:p>
        </w:tc>
        <w:tc>
          <w:tcPr>
            <w:tcW w:type="dxa" w:w="2831"/>
            <w:tcBorders>
              <w:top w:val="single" w:color="000000" w:sz="4"/>
              <w:left w:val="single" w:color="000000" w:sz="4"/>
              <w:bottom w:val="single" w:color="000000" w:sz="4"/>
              <w:right w:val="single" w:color="000000" w:sz="4"/>
            </w:tcBorders>
            <w:shd w:fill="CFCECE"/>
            <w:vAlign w:val="top"/>
          </w:tcPr>
          <w:p>
            <w:pPr>
              <w:jc w:val="center"/>
            </w:pPr>
            <w:r>
              <w:rPr>
                <w:b/>
                <w:color w:val="000000"/>
                <w:sz w:val="21"/>
              </w:rPr>
              <w:t>陈列布展区域</w:t>
            </w:r>
          </w:p>
        </w:tc>
        <w:tc>
          <w:tcPr>
            <w:tcW w:type="dxa" w:w="1245"/>
            <w:tcBorders>
              <w:top w:val="single" w:color="000000" w:sz="4"/>
              <w:left w:val="single" w:color="000000" w:sz="4"/>
              <w:bottom w:val="single" w:color="000000" w:sz="4"/>
              <w:right w:val="single" w:color="000000" w:sz="4"/>
            </w:tcBorders>
            <w:shd w:fill="CFCECE"/>
            <w:vAlign w:val="top"/>
          </w:tcPr>
          <w:p>
            <w:pPr>
              <w:jc w:val="center"/>
            </w:pPr>
            <w:r>
              <w:rPr>
                <w:b/>
                <w:color w:val="000000"/>
                <w:sz w:val="21"/>
              </w:rPr>
              <w:t>面积</w:t>
            </w:r>
          </w:p>
        </w:tc>
        <w:tc>
          <w:tcPr>
            <w:tcW w:type="dxa" w:w="1156"/>
            <w:tcBorders>
              <w:top w:val="single" w:color="000000" w:sz="4"/>
              <w:left w:val="single" w:color="000000" w:sz="4"/>
              <w:bottom w:val="single" w:color="000000" w:sz="4"/>
              <w:right w:val="single" w:color="000000" w:sz="4"/>
            </w:tcBorders>
            <w:shd w:fill="CFCECE"/>
            <w:vAlign w:val="top"/>
          </w:tcPr>
          <w:p>
            <w:pPr>
              <w:jc w:val="center"/>
            </w:pPr>
            <w:r>
              <w:rPr>
                <w:b/>
                <w:color w:val="000000"/>
                <w:sz w:val="21"/>
              </w:rPr>
              <w:t>单位</w:t>
            </w:r>
          </w:p>
        </w:tc>
        <w:tc>
          <w:tcPr>
            <w:tcW w:type="dxa" w:w="2168"/>
            <w:tcBorders>
              <w:top w:val="single" w:color="000000" w:sz="4"/>
              <w:left w:val="single" w:color="000000" w:sz="4"/>
              <w:bottom w:val="single" w:color="000000" w:sz="4"/>
              <w:right w:val="single" w:color="000000" w:sz="4"/>
            </w:tcBorders>
            <w:shd w:fill="CFCECE"/>
            <w:vAlign w:val="top"/>
          </w:tcPr>
          <w:p>
            <w:pPr>
              <w:jc w:val="center"/>
            </w:pPr>
            <w:r>
              <w:rPr>
                <w:b/>
                <w:color w:val="000000"/>
                <w:sz w:val="21"/>
              </w:rPr>
              <w:t>总预算</w:t>
            </w:r>
          </w:p>
        </w:tc>
      </w:tr>
      <w:tr>
        <w:tc>
          <w:tcPr>
            <w:tcW w:type="dxa" w:w="905"/>
            <w:vMerge w:val="restart"/>
            <w:tcBorders>
              <w:top w:val="none" w:color="000000" w:sz="4"/>
              <w:left w:val="single" w:color="000000" w:sz="4"/>
              <w:bottom w:val="single" w:color="000000" w:sz="4"/>
              <w:right w:val="single" w:color="000000" w:sz="4"/>
            </w:tcBorders>
            <w:vAlign w:val="top"/>
          </w:tcPr>
          <w:p>
            <w:pPr>
              <w:jc w:val="center"/>
            </w:pPr>
            <w:r>
              <w:rPr>
                <w:b/>
                <w:color w:val="000000"/>
                <w:sz w:val="21"/>
              </w:rPr>
              <w:t>三层</w:t>
            </w:r>
          </w:p>
          <w:p>
            <w:pPr>
              <w:jc w:val="center"/>
            </w:pPr>
          </w:p>
        </w:tc>
        <w:tc>
          <w:tcPr>
            <w:tcW w:type="dxa" w:w="2831"/>
            <w:tcBorders>
              <w:top w:val="none" w:color="000000" w:sz="4"/>
              <w:left w:val="single" w:color="000000" w:sz="4"/>
              <w:bottom w:val="single" w:color="000000" w:sz="4"/>
              <w:right w:val="single" w:color="000000" w:sz="4"/>
            </w:tcBorders>
            <w:vAlign w:val="top"/>
          </w:tcPr>
          <w:p>
            <w:pPr>
              <w:jc w:val="center"/>
            </w:pPr>
            <w:r>
              <w:rPr>
                <w:color w:val="000000"/>
                <w:sz w:val="21"/>
              </w:rPr>
              <w:t>区域一：城市序厅</w:t>
            </w:r>
          </w:p>
        </w:tc>
        <w:tc>
          <w:tcPr>
            <w:tcW w:type="dxa" w:w="1245"/>
            <w:tcBorders>
              <w:top w:val="none" w:color="000000" w:sz="4"/>
              <w:left w:val="single" w:color="000000" w:sz="4"/>
              <w:bottom w:val="single" w:color="000000" w:sz="4"/>
              <w:right w:val="single" w:color="000000" w:sz="4"/>
            </w:tcBorders>
            <w:vAlign w:val="top"/>
          </w:tcPr>
          <w:p>
            <w:pPr>
              <w:jc w:val="center"/>
            </w:pPr>
            <w:r>
              <w:rPr>
                <w:color w:val="000000"/>
                <w:sz w:val="21"/>
              </w:rPr>
              <w:t>130</w:t>
            </w:r>
          </w:p>
        </w:tc>
        <w:tc>
          <w:tcPr>
            <w:tcW w:type="dxa" w:w="1156"/>
            <w:tcBorders>
              <w:top w:val="none" w:color="000000" w:sz="4"/>
              <w:left w:val="single" w:color="000000" w:sz="4"/>
              <w:bottom w:val="single" w:color="000000" w:sz="4"/>
              <w:right w:val="single" w:color="000000" w:sz="4"/>
            </w:tcBorders>
            <w:vAlign w:val="top"/>
          </w:tcPr>
          <w:p>
            <w:pPr>
              <w:jc w:val="center"/>
            </w:pPr>
            <w:r>
              <w:rPr>
                <w:color w:val="000000"/>
                <w:sz w:val="21"/>
              </w:rPr>
              <w:t>㎡</w:t>
            </w:r>
          </w:p>
        </w:tc>
        <w:tc>
          <w:tcPr>
            <w:tcW w:type="dxa" w:w="2168"/>
            <w:vMerge w:val="restart"/>
            <w:tcBorders>
              <w:top w:val="none" w:color="000000" w:sz="4"/>
              <w:left w:val="single" w:color="000000" w:sz="4"/>
              <w:bottom w:val="single" w:color="000000" w:sz="4"/>
              <w:right w:val="single" w:color="000000" w:sz="4"/>
            </w:tcBorders>
            <w:vAlign w:val="top"/>
          </w:tcPr>
          <w:p>
            <w:pPr>
              <w:jc w:val="center"/>
            </w:pPr>
            <w:r>
              <w:rPr>
                <w:color w:val="000000"/>
                <w:sz w:val="21"/>
              </w:rPr>
              <w:t>16049235.58元</w:t>
            </w:r>
          </w:p>
        </w:tc>
      </w:tr>
      <w:tr>
        <w:tc>
          <w:tcPr>
            <w:tcW w:type="dxa" w:w="905"/>
            <w:vMerge/>
            <w:tcBorders>
              <w:top w:val="none" w:color="000000" w:sz="4"/>
              <w:left w:val="single" w:color="000000" w:sz="4"/>
              <w:bottom w:val="single" w:color="000000" w:sz="4"/>
              <w:right w:val="single" w:color="000000" w:sz="4"/>
            </w:tcBorders>
          </w:tcPr>
          <w:p/>
        </w:tc>
        <w:tc>
          <w:tcPr>
            <w:tcW w:type="dxa" w:w="2831"/>
            <w:tcBorders>
              <w:top w:val="none" w:color="000000" w:sz="4"/>
              <w:left w:val="single" w:color="000000" w:sz="4"/>
              <w:bottom w:val="single" w:color="000000" w:sz="4"/>
              <w:right w:val="single" w:color="000000" w:sz="4"/>
            </w:tcBorders>
            <w:vAlign w:val="top"/>
          </w:tcPr>
          <w:p>
            <w:pPr>
              <w:jc w:val="center"/>
            </w:pPr>
            <w:r>
              <w:rPr>
                <w:color w:val="000000"/>
                <w:sz w:val="21"/>
              </w:rPr>
              <w:t>区域二：寻</w:t>
            </w:r>
            <w:r>
              <w:rPr>
                <w:color w:val="000000"/>
                <w:sz w:val="21"/>
              </w:rPr>
              <w:t>·探寻发展坦途</w:t>
            </w:r>
          </w:p>
        </w:tc>
        <w:tc>
          <w:tcPr>
            <w:tcW w:type="dxa" w:w="1245"/>
            <w:tcBorders>
              <w:top w:val="none" w:color="000000" w:sz="4"/>
              <w:left w:val="single" w:color="000000" w:sz="4"/>
              <w:bottom w:val="single" w:color="000000" w:sz="4"/>
              <w:right w:val="single" w:color="000000" w:sz="4"/>
            </w:tcBorders>
            <w:vAlign w:val="top"/>
          </w:tcPr>
          <w:p>
            <w:pPr>
              <w:jc w:val="center"/>
            </w:pPr>
            <w:r>
              <w:rPr>
                <w:color w:val="000000"/>
                <w:sz w:val="21"/>
              </w:rPr>
              <w:t>390</w:t>
            </w:r>
          </w:p>
        </w:tc>
        <w:tc>
          <w:tcPr>
            <w:tcW w:type="dxa" w:w="1156"/>
            <w:tcBorders>
              <w:top w:val="none" w:color="000000" w:sz="4"/>
              <w:left w:val="single" w:color="000000" w:sz="4"/>
              <w:bottom w:val="single" w:color="000000" w:sz="4"/>
              <w:right w:val="single" w:color="000000" w:sz="4"/>
            </w:tcBorders>
            <w:vAlign w:val="top"/>
          </w:tcPr>
          <w:p>
            <w:pPr>
              <w:jc w:val="center"/>
            </w:pPr>
            <w:r>
              <w:rPr>
                <w:color w:val="000000"/>
                <w:sz w:val="21"/>
              </w:rPr>
              <w:t>㎡</w:t>
            </w:r>
          </w:p>
        </w:tc>
      </w:tr>
      <w:tr>
        <w:tc>
          <w:tcPr>
            <w:tcW w:type="dxa" w:w="905"/>
            <w:vMerge/>
            <w:tcBorders>
              <w:top w:val="none" w:color="000000" w:sz="4"/>
              <w:left w:val="single" w:color="000000" w:sz="4"/>
              <w:bottom w:val="single" w:color="000000" w:sz="4"/>
              <w:right w:val="single" w:color="000000" w:sz="4"/>
            </w:tcBorders>
          </w:tcPr>
          <w:p/>
        </w:tc>
        <w:tc>
          <w:tcPr>
            <w:tcW w:type="dxa" w:w="2831"/>
            <w:tcBorders>
              <w:top w:val="none" w:color="000000" w:sz="4"/>
              <w:left w:val="single" w:color="000000" w:sz="4"/>
              <w:bottom w:val="single" w:color="000000" w:sz="4"/>
              <w:right w:val="single" w:color="000000" w:sz="4"/>
            </w:tcBorders>
            <w:vAlign w:val="top"/>
          </w:tcPr>
          <w:p>
            <w:pPr>
              <w:jc w:val="center"/>
            </w:pPr>
            <w:r>
              <w:rPr>
                <w:color w:val="000000"/>
                <w:sz w:val="21"/>
              </w:rPr>
              <w:t>区域三：</w:t>
            </w:r>
            <w:r>
              <w:rPr>
                <w:color w:val="000000"/>
                <w:sz w:val="21"/>
              </w:rPr>
              <w:t>擘</w:t>
            </w:r>
            <w:r>
              <w:rPr>
                <w:color w:val="000000"/>
                <w:sz w:val="21"/>
              </w:rPr>
              <w:t>·擘画规划新画卷</w:t>
            </w:r>
          </w:p>
        </w:tc>
        <w:tc>
          <w:tcPr>
            <w:tcW w:type="dxa" w:w="1245"/>
            <w:tcBorders>
              <w:top w:val="none" w:color="000000" w:sz="4"/>
              <w:left w:val="single" w:color="000000" w:sz="4"/>
              <w:bottom w:val="single" w:color="000000" w:sz="4"/>
              <w:right w:val="single" w:color="000000" w:sz="4"/>
            </w:tcBorders>
            <w:vAlign w:val="top"/>
          </w:tcPr>
          <w:p>
            <w:pPr>
              <w:jc w:val="center"/>
            </w:pPr>
            <w:r>
              <w:rPr>
                <w:color w:val="000000"/>
                <w:sz w:val="21"/>
              </w:rPr>
              <w:t>650</w:t>
            </w:r>
          </w:p>
        </w:tc>
        <w:tc>
          <w:tcPr>
            <w:tcW w:type="dxa" w:w="1156"/>
            <w:tcBorders>
              <w:top w:val="none" w:color="000000" w:sz="4"/>
              <w:left w:val="single" w:color="000000" w:sz="4"/>
              <w:bottom w:val="single" w:color="000000" w:sz="4"/>
              <w:right w:val="single" w:color="000000" w:sz="4"/>
            </w:tcBorders>
            <w:vAlign w:val="top"/>
          </w:tcPr>
          <w:p>
            <w:pPr>
              <w:jc w:val="center"/>
            </w:pPr>
            <w:r>
              <w:rPr>
                <w:color w:val="000000"/>
                <w:sz w:val="21"/>
              </w:rPr>
              <w:t>㎡</w:t>
            </w:r>
          </w:p>
        </w:tc>
      </w:tr>
      <w:tr>
        <w:tc>
          <w:tcPr>
            <w:tcW w:type="dxa" w:w="905"/>
            <w:tcBorders>
              <w:top w:val="none" w:color="000000" w:sz="4"/>
              <w:left w:val="single" w:color="000000" w:sz="4"/>
              <w:bottom w:val="single" w:color="000000" w:sz="4"/>
              <w:right w:val="single" w:color="000000" w:sz="4"/>
            </w:tcBorders>
            <w:vAlign w:val="top"/>
          </w:tcPr>
          <w:p>
            <w:pPr>
              <w:jc w:val="center"/>
            </w:pPr>
            <w:r>
              <w:rPr>
                <w:b/>
                <w:color w:val="000000"/>
                <w:sz w:val="21"/>
              </w:rPr>
              <w:t>二层</w:t>
            </w:r>
          </w:p>
        </w:tc>
        <w:tc>
          <w:tcPr>
            <w:tcW w:type="dxa" w:w="2831"/>
            <w:tcBorders>
              <w:top w:val="none" w:color="000000" w:sz="4"/>
              <w:left w:val="single" w:color="000000" w:sz="4"/>
              <w:bottom w:val="single" w:color="000000" w:sz="4"/>
              <w:right w:val="single" w:color="000000" w:sz="4"/>
            </w:tcBorders>
            <w:vAlign w:val="top"/>
          </w:tcPr>
          <w:p>
            <w:pPr>
              <w:jc w:val="center"/>
            </w:pPr>
            <w:r>
              <w:rPr>
                <w:color w:val="000000"/>
                <w:sz w:val="21"/>
              </w:rPr>
              <w:t>区域四：</w:t>
            </w:r>
            <w:r>
              <w:rPr>
                <w:color w:val="000000"/>
                <w:sz w:val="21"/>
              </w:rPr>
              <w:t>构</w:t>
            </w:r>
            <w:r>
              <w:rPr>
                <w:color w:val="000000"/>
                <w:sz w:val="21"/>
              </w:rPr>
              <w:t>·构筑发展新图景</w:t>
            </w:r>
          </w:p>
        </w:tc>
        <w:tc>
          <w:tcPr>
            <w:tcW w:type="dxa" w:w="1245"/>
            <w:tcBorders>
              <w:top w:val="none" w:color="000000" w:sz="4"/>
              <w:left w:val="single" w:color="000000" w:sz="4"/>
              <w:bottom w:val="single" w:color="000000" w:sz="4"/>
              <w:right w:val="single" w:color="000000" w:sz="4"/>
            </w:tcBorders>
            <w:vAlign w:val="top"/>
          </w:tcPr>
          <w:p>
            <w:pPr>
              <w:jc w:val="center"/>
            </w:pPr>
            <w:r>
              <w:rPr>
                <w:color w:val="000000"/>
                <w:sz w:val="21"/>
              </w:rPr>
              <w:t>520</w:t>
            </w:r>
          </w:p>
        </w:tc>
        <w:tc>
          <w:tcPr>
            <w:tcW w:type="dxa" w:w="1156"/>
            <w:tcBorders>
              <w:top w:val="none" w:color="000000" w:sz="4"/>
              <w:left w:val="single" w:color="000000" w:sz="4"/>
              <w:bottom w:val="single" w:color="000000" w:sz="4"/>
              <w:right w:val="single" w:color="000000" w:sz="4"/>
            </w:tcBorders>
            <w:vAlign w:val="top"/>
          </w:tcPr>
          <w:p>
            <w:pPr>
              <w:jc w:val="center"/>
            </w:pPr>
            <w:r>
              <w:rPr>
                <w:color w:val="000000"/>
                <w:sz w:val="21"/>
              </w:rPr>
              <w:t>㎡</w:t>
            </w:r>
          </w:p>
        </w:tc>
      </w:tr>
      <w:tr>
        <w:tc>
          <w:tcPr>
            <w:tcW w:type="dxa" w:w="905"/>
            <w:tcBorders>
              <w:top w:val="none" w:color="000000" w:sz="4"/>
              <w:left w:val="single" w:color="000000" w:sz="4"/>
              <w:bottom w:val="single" w:color="000000" w:sz="4"/>
              <w:right w:val="single" w:color="000000" w:sz="4"/>
            </w:tcBorders>
            <w:vAlign w:val="top"/>
          </w:tcPr>
          <w:p>
            <w:pPr>
              <w:jc w:val="center"/>
            </w:pPr>
            <w:r>
              <w:rPr>
                <w:b/>
                <w:color w:val="000000"/>
                <w:sz w:val="21"/>
              </w:rPr>
              <w:t>四层</w:t>
            </w:r>
          </w:p>
        </w:tc>
        <w:tc>
          <w:tcPr>
            <w:tcW w:type="dxa" w:w="2831"/>
            <w:tcBorders>
              <w:top w:val="none" w:color="000000" w:sz="4"/>
              <w:left w:val="single" w:color="000000" w:sz="4"/>
              <w:bottom w:val="single" w:color="000000" w:sz="4"/>
              <w:right w:val="single" w:color="000000" w:sz="4"/>
            </w:tcBorders>
            <w:vAlign w:val="top"/>
          </w:tcPr>
          <w:p>
            <w:pPr>
              <w:jc w:val="center"/>
            </w:pPr>
            <w:r>
              <w:rPr>
                <w:color w:val="000000"/>
                <w:sz w:val="21"/>
              </w:rPr>
              <w:t>功能区</w:t>
            </w:r>
          </w:p>
        </w:tc>
        <w:tc>
          <w:tcPr>
            <w:tcW w:type="dxa" w:w="1245"/>
            <w:tcBorders>
              <w:top w:val="none" w:color="000000" w:sz="4"/>
              <w:left w:val="single" w:color="000000" w:sz="4"/>
              <w:bottom w:val="none" w:color="000000" w:sz="4"/>
              <w:right w:val="single" w:color="000000" w:sz="4"/>
            </w:tcBorders>
            <w:vAlign w:val="top"/>
          </w:tcPr>
          <w:p>
            <w:pPr>
              <w:jc w:val="center"/>
            </w:pPr>
            <w:r>
              <w:rPr>
                <w:color w:val="000000"/>
                <w:sz w:val="21"/>
              </w:rPr>
              <w:t>180</w:t>
            </w:r>
          </w:p>
        </w:tc>
        <w:tc>
          <w:tcPr>
            <w:tcW w:type="dxa" w:w="1156"/>
            <w:tcBorders>
              <w:top w:val="none" w:color="000000" w:sz="4"/>
              <w:left w:val="single" w:color="000000" w:sz="4"/>
              <w:bottom w:val="single" w:color="000000" w:sz="4"/>
              <w:right w:val="single" w:color="000000" w:sz="4"/>
            </w:tcBorders>
            <w:vAlign w:val="top"/>
          </w:tcPr>
          <w:p>
            <w:pPr>
              <w:jc w:val="center"/>
            </w:pPr>
            <w:r>
              <w:rPr>
                <w:color w:val="000000"/>
                <w:sz w:val="21"/>
              </w:rPr>
              <w:t>㎡</w:t>
            </w:r>
          </w:p>
        </w:tc>
      </w:tr>
      <w:tr>
        <w:tc>
          <w:tcPr>
            <w:tcW w:type="dxa" w:w="3736"/>
            <w:gridSpan w:val="2"/>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2401"/>
            <w:gridSpan w:val="2"/>
            <w:tcBorders>
              <w:top w:val="none" w:color="000000" w:sz="4"/>
              <w:left w:val="single" w:color="000000" w:sz="4"/>
              <w:bottom w:val="single" w:color="000000" w:sz="4"/>
              <w:right w:val="single" w:color="000000" w:sz="4"/>
            </w:tcBorders>
            <w:vAlign w:val="top"/>
          </w:tcPr>
          <w:p>
            <w:pPr>
              <w:jc w:val="center"/>
            </w:pPr>
            <w:r>
              <w:rPr>
                <w:color w:val="000000"/>
                <w:sz w:val="21"/>
              </w:rPr>
              <w:t>1870</w:t>
            </w:r>
            <w:r>
              <w:rPr>
                <w:color w:val="000000"/>
                <w:sz w:val="21"/>
              </w:rPr>
              <w:t>㎡</w:t>
            </w:r>
          </w:p>
        </w:tc>
      </w:tr>
    </w:tbl>
    <w:p>
      <w:pPr>
        <w:jc w:val="both"/>
      </w:pPr>
      <w:r>
        <w:rPr>
          <w:b/>
          <w:color w:val="000000"/>
          <w:sz w:val="21"/>
        </w:rPr>
        <w:t>2.2、项目具体范围：</w:t>
      </w:r>
    </w:p>
    <w:p>
      <w:pPr>
        <w:ind w:firstLine="422"/>
        <w:jc w:val="both"/>
      </w:pPr>
      <w:r>
        <w:rPr>
          <w:b/>
          <w:color w:val="000000"/>
          <w:sz w:val="21"/>
        </w:rPr>
        <w:t>（</w:t>
      </w:r>
      <w:r>
        <w:rPr>
          <w:b/>
          <w:color w:val="000000"/>
          <w:sz w:val="21"/>
        </w:rPr>
        <w:t>1）区域一：</w:t>
      </w:r>
      <w:r>
        <w:rPr>
          <w:b/>
          <w:color w:val="000000"/>
          <w:sz w:val="21"/>
        </w:rPr>
        <w:t>城市序厅</w:t>
      </w:r>
    </w:p>
    <w:p>
      <w:pPr>
        <w:ind w:firstLine="420"/>
        <w:jc w:val="both"/>
      </w:pPr>
      <w:r>
        <w:rPr>
          <w:color w:val="000000"/>
          <w:sz w:val="21"/>
        </w:rPr>
        <w:t>城市序厅位于三层，陈展面积约</w:t>
      </w:r>
      <w:r>
        <w:rPr>
          <w:color w:val="000000"/>
          <w:sz w:val="21"/>
        </w:rPr>
        <w:t>130㎡。展示阳江的城市形象、区位条件、自然地理格局等。展陈深化设计及施工一体化需求包括但不仅限于整体展陈深化设计及上墙内容图文展板、多媒体数字内容策划、常设室内装饰、场景造景及艺术品、定制展柜、专业灯光</w:t>
      </w:r>
      <w:r>
        <w:rPr>
          <w:color w:val="000000"/>
          <w:sz w:val="21"/>
        </w:rPr>
        <w:t>、数字多媒体、互动多媒体、布展及工程的施工、后期维护、二次消防、空调出风口改造等</w:t>
      </w:r>
      <w:r>
        <w:rPr>
          <w:color w:val="000000"/>
          <w:sz w:val="21"/>
        </w:rPr>
        <w:t>。</w:t>
      </w:r>
    </w:p>
    <w:p>
      <w:pPr>
        <w:jc w:val="both"/>
      </w:pPr>
      <w:r>
        <w:rPr>
          <w:b/>
          <w:color w:val="000000"/>
          <w:sz w:val="21"/>
        </w:rPr>
        <w:t xml:space="preserve">   城市序厅</w:t>
      </w:r>
      <w:r>
        <w:rPr>
          <w:b/>
          <w:color w:val="000000"/>
          <w:sz w:val="21"/>
        </w:rPr>
        <w:t>平面图：三层</w:t>
      </w:r>
    </w:p>
    <w:p>
      <w:pPr>
        <w:jc w:val="both"/>
      </w:pPr>
      <w:r>
        <w:drawing>
          <wp:inline distT="0" distR="0" distB="0" distL="0">
            <wp:extent cx="4695825" cy="41910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4695825" cy="4191000"/>
                    </a:xfrm>
                    <a:prstGeom prst="rect">
                      <a:avLst/>
                    </a:prstGeom>
                  </pic:spPr>
                </pic:pic>
              </a:graphicData>
            </a:graphic>
          </wp:inline>
        </w:drawing>
      </w:r>
    </w:p>
    <w:p>
      <w:pPr>
        <w:jc w:val="both"/>
      </w:pPr>
      <w:r>
        <w:rPr>
          <w:b/>
          <w:color w:val="000000"/>
          <w:sz w:val="21"/>
        </w:rPr>
        <w:t>（</w:t>
      </w:r>
      <w:r>
        <w:rPr>
          <w:b/>
          <w:color w:val="000000"/>
          <w:sz w:val="21"/>
        </w:rPr>
        <w:t>2）区域二：寻·探寻发展坦途</w:t>
      </w:r>
    </w:p>
    <w:p>
      <w:pPr>
        <w:ind w:firstLine="420"/>
        <w:jc w:val="both"/>
      </w:pPr>
      <w:r>
        <w:rPr>
          <w:color w:val="000000"/>
          <w:sz w:val="21"/>
        </w:rPr>
        <w:t>寻</w:t>
      </w:r>
      <w:r>
        <w:rPr>
          <w:color w:val="000000"/>
          <w:sz w:val="21"/>
        </w:rPr>
        <w:t>·探寻发展坦途位于三层，设计面积约为390㎡。主要用于展示阳江规划宏图、发展定位及机遇等。展陈深化设计及施工一体化需求包括但不仅限于整体展陈深化设计及上墙内容图文展板、多媒体数字内容策划、常设室内装饰、场景造景及艺术品、定制展柜、专业灯光</w:t>
      </w:r>
      <w:r>
        <w:rPr>
          <w:color w:val="000000"/>
          <w:sz w:val="21"/>
        </w:rPr>
        <w:t>、数字多媒体、互动多媒体、布展及工程的施工、后期维护、二次消防、空调出风口改造等</w:t>
      </w:r>
      <w:r>
        <w:rPr>
          <w:color w:val="000000"/>
          <w:sz w:val="21"/>
        </w:rPr>
        <w:t>。</w:t>
      </w:r>
    </w:p>
    <w:p>
      <w:pPr>
        <w:jc w:val="both"/>
      </w:pPr>
      <w:r>
        <w:rPr>
          <w:b/>
          <w:color w:val="000000"/>
          <w:sz w:val="21"/>
        </w:rPr>
        <w:t xml:space="preserve">   寻</w:t>
      </w:r>
      <w:r>
        <w:rPr>
          <w:b/>
          <w:color w:val="000000"/>
          <w:sz w:val="21"/>
        </w:rPr>
        <w:t>·探寻发展坦途平面图：三层</w:t>
      </w:r>
    </w:p>
    <w:p>
      <w:r>
        <w:rPr/>
        <w:t xml:space="preserve">    </w:t>
      </w:r>
      <w:r>
        <w:drawing>
          <wp:inline distT="0" distR="0" distB="0" distL="0">
            <wp:extent cx="4610100" cy="41338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4610100" cy="4133850"/>
                    </a:xfrm>
                    <a:prstGeom prst="rect">
                      <a:avLst/>
                    </a:prstGeom>
                  </pic:spPr>
                </pic:pic>
              </a:graphicData>
            </a:graphic>
          </wp:inline>
        </w:drawing>
      </w:r>
    </w:p>
    <w:p>
      <w:r>
        <w:rPr>
          <w:b/>
          <w:color w:val="000000"/>
          <w:sz w:val="21"/>
        </w:rPr>
        <w:t>（</w:t>
      </w:r>
      <w:r>
        <w:rPr>
          <w:b/>
          <w:color w:val="000000"/>
          <w:sz w:val="21"/>
        </w:rPr>
        <w:t>3）</w:t>
      </w:r>
      <w:r>
        <w:rPr>
          <w:b/>
          <w:color w:val="000000"/>
          <w:sz w:val="21"/>
        </w:rPr>
        <w:t>区域三：擘</w:t>
      </w:r>
      <w:r>
        <w:rPr>
          <w:b/>
          <w:color w:val="000000"/>
          <w:sz w:val="21"/>
        </w:rPr>
        <w:t>·擘画规划新画卷</w:t>
      </w:r>
    </w:p>
    <w:p>
      <w:pPr>
        <w:ind w:firstLine="420"/>
        <w:jc w:val="both"/>
      </w:pPr>
      <w:r>
        <w:rPr>
          <w:color w:val="000000"/>
          <w:sz w:val="21"/>
        </w:rPr>
        <w:t>擘</w:t>
      </w:r>
      <w:r>
        <w:rPr>
          <w:color w:val="000000"/>
          <w:sz w:val="21"/>
        </w:rPr>
        <w:t>·擘画规划新画卷</w:t>
      </w:r>
      <w:r>
        <w:rPr>
          <w:color w:val="000000"/>
          <w:sz w:val="21"/>
        </w:rPr>
        <w:t>位于三层，展陈面积约</w:t>
      </w:r>
      <w:r>
        <w:rPr>
          <w:color w:val="000000"/>
          <w:sz w:val="21"/>
        </w:rPr>
        <w:t>650㎡，展示阳江总体空间格局、专项规划及重点规划等内容。展陈深化设计及施工一体化需求包括但不仅限于整体展陈深化设计及上墙内容图文展板、多媒体数字内容策划、常设室内装饰、场景造景及艺术品、定制展柜、专业灯光</w:t>
      </w:r>
      <w:r>
        <w:rPr>
          <w:color w:val="000000"/>
          <w:sz w:val="21"/>
        </w:rPr>
        <w:t>、数字多媒体、互动多媒体、布展及工程的施工、后期维护、二次消防、空调出风口改造等</w:t>
      </w:r>
      <w:r>
        <w:rPr>
          <w:color w:val="000000"/>
          <w:sz w:val="21"/>
        </w:rPr>
        <w:t>。</w:t>
      </w:r>
    </w:p>
    <w:p>
      <w:pPr>
        <w:jc w:val="both"/>
      </w:pPr>
      <w:r>
        <w:rPr>
          <w:b/>
          <w:color w:val="000000"/>
          <w:sz w:val="21"/>
        </w:rPr>
        <w:t xml:space="preserve">   擘</w:t>
      </w:r>
      <w:r>
        <w:rPr>
          <w:b/>
          <w:color w:val="000000"/>
          <w:sz w:val="21"/>
        </w:rPr>
        <w:t>·擘画规划新画卷平面图：三层</w:t>
      </w:r>
    </w:p>
    <w:p>
      <w:pPr>
        <w:jc w:val="both"/>
      </w:pPr>
      <w:r>
        <w:rPr>
          <w:b/>
        </w:rPr>
        <w:t xml:space="preserve">    </w:t>
      </w:r>
      <w:r>
        <w:drawing>
          <wp:inline distT="0" distR="0" distB="0" distL="0">
            <wp:extent cx="4467225" cy="39814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4467225" cy="3981450"/>
                    </a:xfrm>
                    <a:prstGeom prst="rect">
                      <a:avLst/>
                    </a:prstGeom>
                  </pic:spPr>
                </pic:pic>
              </a:graphicData>
            </a:graphic>
          </wp:inline>
        </w:drawing>
      </w:r>
    </w:p>
    <w:p>
      <w:r>
        <w:rPr>
          <w:b/>
          <w:color w:val="000000"/>
          <w:sz w:val="21"/>
        </w:rPr>
        <w:t>（</w:t>
      </w:r>
      <w:r>
        <w:rPr>
          <w:b/>
          <w:color w:val="000000"/>
          <w:sz w:val="21"/>
        </w:rPr>
        <w:t>4）</w:t>
      </w:r>
      <w:r>
        <w:rPr>
          <w:b/>
          <w:color w:val="000000"/>
          <w:sz w:val="21"/>
        </w:rPr>
        <w:t>区域四：构</w:t>
      </w:r>
      <w:r>
        <w:rPr>
          <w:b/>
          <w:color w:val="000000"/>
          <w:sz w:val="21"/>
        </w:rPr>
        <w:t>·构筑发展新图景</w:t>
      </w:r>
    </w:p>
    <w:p>
      <w:pPr>
        <w:ind w:firstLine="420"/>
        <w:jc w:val="both"/>
      </w:pPr>
      <w:r>
        <w:rPr>
          <w:sz w:val="21"/>
        </w:rPr>
        <w:t xml:space="preserve">  </w:t>
      </w:r>
      <w:r>
        <w:rPr>
          <w:color w:val="000000"/>
          <w:sz w:val="21"/>
        </w:rPr>
        <w:t>构</w:t>
      </w:r>
      <w:r>
        <w:rPr>
          <w:color w:val="000000"/>
          <w:sz w:val="21"/>
        </w:rPr>
        <w:t>·构筑发展新图景</w:t>
      </w:r>
      <w:r>
        <w:rPr>
          <w:color w:val="000000"/>
          <w:sz w:val="21"/>
        </w:rPr>
        <w:t>位于二层，展陈面积约</w:t>
      </w:r>
      <w:r>
        <w:rPr>
          <w:color w:val="000000"/>
          <w:sz w:val="21"/>
        </w:rPr>
        <w:t>520㎡，展示绿美阳江、智慧阳江的未来发展。展陈深化设计及施工一体化需求包括但不仅限于整体展陈深化设计及上墙内容图文展板、多媒体数字内容策划、常设室内装饰、场景造景及艺术品、定制展柜、专业灯光</w:t>
      </w:r>
      <w:r>
        <w:rPr>
          <w:color w:val="000000"/>
          <w:sz w:val="21"/>
        </w:rPr>
        <w:t>、数字多媒体、互动多媒体、布展及工程的施工、后期维护、二次消防、空调出风口改造等</w:t>
      </w:r>
      <w:r>
        <w:rPr>
          <w:color w:val="000000"/>
          <w:sz w:val="21"/>
        </w:rPr>
        <w:t>。</w:t>
      </w:r>
    </w:p>
    <w:p>
      <w:pPr>
        <w:jc w:val="both"/>
      </w:pPr>
      <w:r>
        <w:rPr>
          <w:b/>
          <w:color w:val="000000"/>
          <w:sz w:val="21"/>
        </w:rPr>
        <w:t xml:space="preserve">     构</w:t>
      </w:r>
      <w:r>
        <w:rPr>
          <w:b/>
          <w:color w:val="000000"/>
          <w:sz w:val="21"/>
        </w:rPr>
        <w:t>·构筑发展新图景</w:t>
      </w:r>
      <w:r>
        <w:rPr>
          <w:b/>
          <w:color w:val="000000"/>
          <w:sz w:val="21"/>
        </w:rPr>
        <w:t>平面图：二层</w:t>
      </w:r>
    </w:p>
    <w:p>
      <w:pPr>
        <w:jc w:val="both"/>
      </w:pPr>
      <w:r>
        <w:rPr>
          <w:b/>
        </w:rPr>
        <w:t xml:space="preserve">     </w:t>
      </w:r>
      <w:r>
        <w:drawing>
          <wp:inline distT="0" distR="0" distB="0" distL="0">
            <wp:extent cx="4829175" cy="39528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4829175" cy="3952875"/>
                    </a:xfrm>
                    <a:prstGeom prst="rect">
                      <a:avLst/>
                    </a:prstGeom>
                  </pic:spPr>
                </pic:pic>
              </a:graphicData>
            </a:graphic>
          </wp:inline>
        </w:drawing>
      </w:r>
    </w:p>
    <w:p>
      <w:pPr>
        <w:jc w:val="both"/>
      </w:pPr>
      <w:r>
        <w:rPr>
          <w:b/>
          <w:color w:val="000000"/>
          <w:sz w:val="21"/>
        </w:rPr>
        <w:t>（</w:t>
      </w:r>
      <w:r>
        <w:rPr>
          <w:b/>
          <w:color w:val="000000"/>
          <w:sz w:val="21"/>
        </w:rPr>
        <w:t>5</w:t>
      </w:r>
      <w:r>
        <w:rPr>
          <w:b/>
          <w:color w:val="000000"/>
          <w:sz w:val="21"/>
        </w:rPr>
        <w:t>）</w:t>
      </w:r>
      <w:r>
        <w:rPr>
          <w:b/>
          <w:color w:val="000000"/>
          <w:sz w:val="21"/>
        </w:rPr>
        <w:t>功能区</w:t>
      </w:r>
    </w:p>
    <w:p>
      <w:pPr>
        <w:ind w:firstLine="420"/>
        <w:jc w:val="both"/>
      </w:pPr>
      <w:r>
        <w:rPr>
          <w:color w:val="000000"/>
          <w:sz w:val="21"/>
        </w:rPr>
        <w:t xml:space="preserve">  </w:t>
      </w:r>
      <w:r>
        <w:rPr>
          <w:color w:val="000000"/>
          <w:sz w:val="21"/>
        </w:rPr>
        <w:t>功能分区位于四层，展陈面积约</w:t>
      </w:r>
      <w:r>
        <w:rPr>
          <w:color w:val="000000"/>
          <w:sz w:val="21"/>
        </w:rPr>
        <w:t>180㎡，承载接待、办公、会议等功能。展陈深化设计及施工一体化需求包括但不仅限于室内装饰、专业灯光</w:t>
      </w:r>
      <w:r>
        <w:rPr>
          <w:color w:val="000000"/>
          <w:sz w:val="21"/>
        </w:rPr>
        <w:t>、工程施工、后期维护、二次消防、空调出风口改造等。</w:t>
      </w:r>
    </w:p>
    <w:p>
      <w:pPr>
        <w:jc w:val="both"/>
      </w:pPr>
      <w:r>
        <w:rPr>
          <w:b/>
          <w:color w:val="000000"/>
          <w:sz w:val="21"/>
        </w:rPr>
        <w:t xml:space="preserve">    功能区</w:t>
      </w:r>
      <w:r>
        <w:rPr>
          <w:b/>
          <w:color w:val="000000"/>
          <w:sz w:val="21"/>
        </w:rPr>
        <w:t>平面图：四层</w:t>
      </w:r>
    </w:p>
    <w:p>
      <w:pPr>
        <w:jc w:val="both"/>
      </w:pPr>
      <w:r>
        <w:rPr/>
        <w:t xml:space="preserve">     </w:t>
      </w:r>
      <w:r>
        <w:drawing>
          <wp:inline distT="0" distR="0" distB="0" distL="0">
            <wp:extent cx="4629150" cy="417195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4629150" cy="4171950"/>
                    </a:xfrm>
                    <a:prstGeom prst="rect">
                      <a:avLst/>
                    </a:prstGeom>
                  </pic:spPr>
                </pic:pic>
              </a:graphicData>
            </a:graphic>
          </wp:inline>
        </w:drawing>
      </w:r>
    </w:p>
    <w:p>
      <w:pPr>
        <w:jc w:val="both"/>
      </w:pPr>
      <w:r>
        <w:rPr/>
        <w:t xml:space="preserve"> </w:t>
      </w:r>
    </w:p>
    <w:p/>
    <w:p>
      <w:pPr>
        <w:ind w:firstLine="480"/>
      </w:pPr>
    </w:p>
    <w:p/>
    <w:p>
      <w:r>
        <w:rPr/>
        <w:t>采购包1（阳江市综合文化中心规划馆展陈深化设计及施工一体化布展服务项目）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自合同签订之日起180个日历日内完成设计、施工布展及相关服务，并完成设备安装、调试及验收合格。（超出该服务期作无效投标处理）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1期：支付比例100%,1期：支付比例30%,中标人收到中标通知书后7个工作日内向采购人提供合同总价的5%的履约保证金，履约保证金到位后，采购人于10个工作日内支付合同总价的30%； 2期：支付比例30%,中标人提交全部深化设计方案并通过采购人审核，装饰隐蔽工程完成验收合格后，采购人于10个工作日内支付合同总价的30%； 3期：支付比例30%,展馆基础主体装饰大面积施工完成，数字内容脚本及模型脚本经采购人书面确认合格后，采购人于10个工作日内支付合同总价的30%； 4期：支付比例10%,项目竣工验收合格并试运行三个月后，采购人于10个工作日内向中标人支付合同总额的10%； 注：因采购人使用的是财政资金,采购人在前款规定的付款时间内提出办理财政支付申请手续的时间(不含政府财政支付部门审核的时间),在规定时间内提出支付申请手续后即视为采购人已经按期支付。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1期：1.验收包括深化设计成果验收、材料进场验收、隐蔽工程验收、预验收、竣工验收；  2.验收采用国家（行业）、省、市现行最新相关规范和标准，若无国家标准，而采用企业、行业标准的，必须提供企业、行业标准的文本文件，及本项目设计图纸、设计说明书作为投入本项目的技术规范；  3.中标人项目实施过程中所有的项目记录和技术性资料及各种签证文件，均为原始验收有效文件，不得随意更改。 4.验收双方应严格按照本项目要求及国家有关规范依据、质量检验标准和操作规程进行。验收的内容包括现场制作效果、制作所使用材料是否符合要求及规范，设计图纸及说明书、图纸会审记录、有关变更的书面文件等内容。若经验收后发现有不符合招标文件、投标文件、合同或合同双方协议内容要求的地方，中标人必须无偿进行返工至合格为止；在材料、设备到齐时，由采购人组织人员对材料、设备等投标响应要求进行初次验收，经验收合格中标人方可实施；中标人必须按照招标要求及采购人的要求准备完整的验收材料。验收费用由中标人承担。 5.隐蔽部分项目在中标人自检后填制记录表后通知采购人进行验收，采购人接到中标人通知后2天内到场验收，双方签字确认验收合格后再进行下一工序。采购人有权提出复查，如复查合格，复查费用由采购人承担。否则，复查费及所需的返修费等完成该项目的费用由中标人承担，工期顺延，直至双方验收合格为止； 6.本项目竣工验收由采购人组织专家组进行，同时根据具体情况可以邀请主要设备厂家代表协助采购方进行验收，验收合格后双方签字确认，中标人应提供施工过程中形成的图纸 (含接口图及控制功能界面截图佐证和网络接线接口明细图)、记录、档案资料、产品说明书、原厂家安装手册、技术文件资料、安装、验收报告等原件文档汇集成册一式三份及含电子版一套，并按采购人的档案管理要求完成资料归档工作，报送采购单位留存。</w:t>
            </w:r>
          </w:p>
        </w:tc>
      </w:tr>
      <w:tr>
        <w:tc>
          <w:tcPr>
            <w:tcW w:type="dxa" w:w="4153"/>
          </w:tcPr>
          <w:p>
            <w:r>
              <w:rPr/>
              <w:t>履约保证金</w:t>
            </w:r>
          </w:p>
        </w:tc>
        <w:tc>
          <w:tcPr>
            <w:tcW w:type="dxa" w:w="4153"/>
          </w:tcPr>
          <w:p/>
          <w:p/>
          <w:p/>
          <w:p/>
          <w:p>
            <w:r>
              <w:rPr/>
              <w:t>收取比例：5%,说明：收取比例：5%,说明：（1）递交形式：以支票、汇票、本票、保函等非现金形式提交。（2）金额：合同总价的5%。（3）递交时间：中标人收到中标通知书后7个工作日内。（4）退还时间：项目正式开馆30个日历日后，10个工作日内无息退还。（5）如果中标人未按上一条款的规定提交履约担保，采购人将有权取消中标人的中标资格，且原中标人依法承担相应法律责任。原中标人给采购人造成的损失超过履约担保数额的，还应当对超过部分予以赔偿。（6）因中标人原因在项目实施期间不能履行合同内容的，采购人给予限期整改，整改期内仍不能完成的，履约保证金不予退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投标要求</w:t>
            </w:r>
          </w:p>
        </w:tc>
        <w:tc>
          <w:tcPr>
            <w:tcW w:type="dxa" w:w="2076"/>
          </w:tcPr>
          <w:p>
            <w:pPr>
              <w:jc w:val="left"/>
            </w:pPr>
            <w:r>
              <w:rPr/>
              <w:t>1.投标报价必须包括：设计费、施工费、设备费、运输费、卸装费、保险费、安装调试费、材料费、技术服务费（含专家论证费、联络费、培训费），策划、管理费，服务人员的劳务费、质保期售后服务、差旅费等，以及各项税费和不可预见费等完成本项目采购内容所需的一切费用，采购人不再另行支付任何其他费用。 ★2.请投标人认真测算，项目实施过程中所需的而在招标文件中未列出的相关辅助材料和其他一切费用应由投标人在报价时一并考虑。项目实施后中标人不得另行收取其他任何费用，但必须保证满足项目的使用要求，不足部分由中标人负责免费提供。（提供承诺函，格式自拟） 3.投标人所投货物须为全新未使用的、最新型号且近期生产的装备。装备及其辅助装置的铭牌、使用指示、警告指示应以中文或英文及易懂的通用符号来表示，应能准确无误地表示设备的型号、规格、制造商。  4.本项目内容包括展陈深化设计、展品制作及施工布展一体化，投标人须根据招标文件及其相关附件等规定的范围内容进行投标，由中标人包人、包工、包料、包工期、包质量、包安全、包文明施工，达到验收规范要求。 ★5.如中标人不具有消防相关资质，则二次消防部分应委托给具有相应资格的单位实施，实施前，承接该二次消防部分的单位须提交相关资料给采购人，经采购人审核同意后方可开始实施。（提供承诺函，格式自拟）</w:t>
            </w:r>
          </w:p>
        </w:tc>
      </w:tr>
      <w:tr>
        <w:tc>
          <w:tcPr>
            <w:tcW w:type="dxa" w:w="2076"/>
          </w:tcPr>
          <w:p>
            <w:pPr>
              <w:jc w:val="center"/>
            </w:pPr>
          </w:p>
        </w:tc>
        <w:tc>
          <w:tcPr>
            <w:tcW w:type="dxa" w:w="2076"/>
          </w:tcPr>
          <w:p>
            <w:pPr>
              <w:jc w:val="center"/>
            </w:pPr>
            <w:r>
              <w:rPr/>
              <w:t>2</w:t>
            </w:r>
          </w:p>
        </w:tc>
        <w:tc>
          <w:tcPr>
            <w:tcW w:type="dxa" w:w="2076"/>
          </w:tcPr>
          <w:p>
            <w:pPr>
              <w:jc w:val="left"/>
            </w:pPr>
            <w:r>
              <w:rPr/>
              <w:t>合同签订要求</w:t>
            </w:r>
          </w:p>
        </w:tc>
        <w:tc>
          <w:tcPr>
            <w:tcW w:type="dxa" w:w="2076"/>
          </w:tcPr>
          <w:p>
            <w:pPr>
              <w:jc w:val="left"/>
            </w:pPr>
            <w:r>
              <w:rPr/>
              <w:t>采购合同由中标人凭《中标通知书》与采购人双方签订,签订时间为《中标通知书》发出之日起30个日历日内。</w:t>
            </w:r>
          </w:p>
        </w:tc>
      </w:tr>
      <w:tr>
        <w:tc>
          <w:tcPr>
            <w:tcW w:type="dxa" w:w="2076"/>
          </w:tcPr>
          <w:p>
            <w:pPr>
              <w:jc w:val="center"/>
            </w:pPr>
          </w:p>
        </w:tc>
        <w:tc>
          <w:tcPr>
            <w:tcW w:type="dxa" w:w="2076"/>
          </w:tcPr>
          <w:p>
            <w:pPr>
              <w:jc w:val="center"/>
            </w:pPr>
            <w:r>
              <w:rPr/>
              <w:t>3</w:t>
            </w:r>
          </w:p>
        </w:tc>
        <w:tc>
          <w:tcPr>
            <w:tcW w:type="dxa" w:w="2076"/>
          </w:tcPr>
          <w:p>
            <w:pPr>
              <w:jc w:val="left"/>
            </w:pPr>
            <w:r>
              <w:rPr/>
              <w:t>结算方式</w:t>
            </w:r>
          </w:p>
        </w:tc>
        <w:tc>
          <w:tcPr>
            <w:tcW w:type="dxa" w:w="2076"/>
          </w:tcPr>
          <w:p>
            <w:pPr>
              <w:jc w:val="left"/>
            </w:pPr>
            <w:r>
              <w:rPr/>
              <w:t>1.按中标人的投标报价作为合同价，中标人依据采购人提供的图纸、采购需求及项目清单等完成深化设计和布展施工等内容，经采购人审查批准后，作为项目结算的依据。中标人提供的项目最终结算金额不得高于合同价（中标价）。 2.项目过程中如产生经采购人核准的设计及数量变更的,则费用具体调整方式为： a.投标清单内已列明的以投标报价按实结算。新增清单内未列明部分单价按市场询价及采购人认可为准再结算。 b.投标报价中没有的物品采集的结算以市场询价、专家评审，并须得到采购人同意后方认可作为结算依据。</w:t>
            </w:r>
          </w:p>
        </w:tc>
      </w:tr>
      <w:tr>
        <w:tc>
          <w:tcPr>
            <w:tcW w:type="dxa" w:w="2076"/>
          </w:tcPr>
          <w:p>
            <w:pPr>
              <w:jc w:val="center"/>
            </w:pPr>
          </w:p>
        </w:tc>
        <w:tc>
          <w:tcPr>
            <w:tcW w:type="dxa" w:w="2076"/>
          </w:tcPr>
          <w:p>
            <w:pPr>
              <w:jc w:val="center"/>
            </w:pPr>
            <w:r>
              <w:rPr/>
              <w:t>4</w:t>
            </w:r>
          </w:p>
        </w:tc>
        <w:tc>
          <w:tcPr>
            <w:tcW w:type="dxa" w:w="2076"/>
          </w:tcPr>
          <w:p>
            <w:pPr>
              <w:jc w:val="left"/>
            </w:pPr>
            <w:r>
              <w:rPr/>
              <w:t>售后服务</w:t>
            </w:r>
          </w:p>
        </w:tc>
        <w:tc>
          <w:tcPr>
            <w:tcW w:type="dxa" w:w="2076"/>
          </w:tcPr>
          <w:p>
            <w:pPr>
              <w:jc w:val="left"/>
            </w:pPr>
            <w:r>
              <w:rPr/>
              <w:t>1.项目免费维护期为一年(投标人可根据自身实力作出更长时间的质保承诺)，若国家或生产厂家对本项目所涉及货物的质量保证期的规定高于本项目的要求，应按国家或生产厂家的规定执行。保修期从项目所有产品安装调试完毕，并经验收合格之日开始计算。在此期间，投标人应免费处理因质量发生的故障，并进行正常维护保养。 2.投标人必须有可靠的售后服务保障包括但不限于有固定的维修服务点，能提供正常的技术、备品备件服务。同时对应用软件提供相应的技术资料和维护服务，并对应用软件进行免费升级。 3.投标人须保证在质保期内所供系统硬件、软件完全符合规定的要求，并没有任何缺陷。同时保修期内每半年到现场做一次巡检保养。 4.在质量保修期内，须及时对系统及设备故障进行修理，要求软件故障可远程异地处理，硬件故障能够提供4小时内响应，24小时内到现场服务，若不能现场解决，须提供同等性能、同等配置的设备替换，以确保展馆不中断使用运行，对有缺陷的设备及部件进行修理或更换，同时对该设备的质量保修期从修整后顺延。 5.设备在质量保修期内确因自身故障发生重大损坏并造成停顿事故，中标人应及时更换或维修，并赔偿经济损失，同时对该设备的质量保修期从修整后顺延。 6.在质量保修期满后，中标人应保证以合理的价格提供备件或易损零部件和保养维修服务。当设备发生故障时，中标人应按质量保修期内同样的要求进行维修处理。 7.中标人须保证提供7×24小时热线服务电话，并在接到故障询问后4小时内响应，24小时内派技术人员到场维修，中标人服务维修人员均应经过良好的技术培训，并有丰富的现场维修经验。 8.投标人应按照要求提供详细的保修期计划和售后服务方案，采购人对维修人员稳定性、服务响应时间、维修质量、服务评价及问责和展品完好率情况进行月度考核，如因中标人问题导致月度完好率低于90%，采购人有权要求中标人赔偿因此造成的损失。</w:t>
            </w:r>
          </w:p>
        </w:tc>
      </w:tr>
      <w:tr>
        <w:tc>
          <w:tcPr>
            <w:tcW w:type="dxa" w:w="2076"/>
          </w:tcPr>
          <w:p>
            <w:pPr>
              <w:jc w:val="center"/>
            </w:pPr>
          </w:p>
        </w:tc>
        <w:tc>
          <w:tcPr>
            <w:tcW w:type="dxa" w:w="2076"/>
          </w:tcPr>
          <w:p>
            <w:pPr>
              <w:jc w:val="center"/>
            </w:pPr>
            <w:r>
              <w:rPr/>
              <w:t>5</w:t>
            </w:r>
          </w:p>
        </w:tc>
        <w:tc>
          <w:tcPr>
            <w:tcW w:type="dxa" w:w="2076"/>
          </w:tcPr>
          <w:p>
            <w:pPr>
              <w:jc w:val="left"/>
            </w:pPr>
            <w:r>
              <w:rPr/>
              <w:t>知识产权</w:t>
            </w:r>
          </w:p>
        </w:tc>
        <w:tc>
          <w:tcPr>
            <w:tcW w:type="dxa" w:w="2076"/>
          </w:tcPr>
          <w:p>
            <w:pPr>
              <w:jc w:val="left"/>
            </w:pPr>
            <w:r>
              <w:rPr/>
              <w:t>中标人须保证本项目使用的任何服务（包括部分使用）时，不会产生因第三方提出侵犯其专利权、商标权或其它知识产权而引起的法律和经济纠纷，如因专利权、商标权或其它知识产权而引起法律和经济纠纷，由中标人承担所有相关责任。同时，中标人为本项目而提供的所有资料及工作成果的所有权归采购人所有(署名权除外)，中标人不得以任何形式向采购人以外的任何单位提供本项目的任何资料，如有违反，采购人有权要求赔偿因此造成的损失。</w:t>
            </w:r>
          </w:p>
        </w:tc>
      </w:tr>
      <w:tr>
        <w:tc>
          <w:tcPr>
            <w:tcW w:type="dxa" w:w="2076"/>
          </w:tcPr>
          <w:p>
            <w:pPr>
              <w:jc w:val="center"/>
            </w:pPr>
          </w:p>
        </w:tc>
        <w:tc>
          <w:tcPr>
            <w:tcW w:type="dxa" w:w="2076"/>
          </w:tcPr>
          <w:p>
            <w:pPr>
              <w:jc w:val="center"/>
            </w:pPr>
            <w:r>
              <w:rPr/>
              <w:t>6</w:t>
            </w:r>
          </w:p>
        </w:tc>
        <w:tc>
          <w:tcPr>
            <w:tcW w:type="dxa" w:w="2076"/>
          </w:tcPr>
          <w:p>
            <w:pPr>
              <w:jc w:val="left"/>
            </w:pPr>
            <w:r>
              <w:rPr/>
              <w:t>现场踏勘</w:t>
            </w:r>
          </w:p>
        </w:tc>
        <w:tc>
          <w:tcPr>
            <w:tcW w:type="dxa" w:w="2076"/>
          </w:tcPr>
          <w:p>
            <w:pPr>
              <w:jc w:val="left"/>
            </w:pPr>
            <w:r>
              <w:rPr/>
              <w:t>本项目投标人可自行进行现场踏勘，采购人不组织。</w:t>
            </w:r>
          </w:p>
        </w:tc>
      </w:tr>
      <w:tr>
        <w:tc>
          <w:tcPr>
            <w:tcW w:type="dxa" w:w="2076"/>
          </w:tcPr>
          <w:p>
            <w:pPr>
              <w:jc w:val="center"/>
            </w:pPr>
          </w:p>
        </w:tc>
        <w:tc>
          <w:tcPr>
            <w:tcW w:type="dxa" w:w="2076"/>
          </w:tcPr>
          <w:p>
            <w:pPr>
              <w:jc w:val="center"/>
            </w:pPr>
            <w:r>
              <w:rPr/>
              <w:t>7</w:t>
            </w:r>
          </w:p>
        </w:tc>
        <w:tc>
          <w:tcPr>
            <w:tcW w:type="dxa" w:w="2076"/>
          </w:tcPr>
          <w:p>
            <w:pPr>
              <w:jc w:val="left"/>
            </w:pPr>
            <w:r>
              <w:rPr/>
              <w:t>其他要求</w:t>
            </w:r>
          </w:p>
        </w:tc>
        <w:tc>
          <w:tcPr>
            <w:tcW w:type="dxa" w:w="2076"/>
          </w:tcPr>
          <w:p>
            <w:pPr>
              <w:jc w:val="left"/>
            </w:pPr>
            <w:r>
              <w:rPr/>
              <w:t>1.由中标人负责所有与项目相关的深化设计、展陈内容制作、产品设备、材料、软件、服务等采购、开发、安装调试、施工等工作，并承担全部工作责任，其所有权归采购人所有。 2.采购人在采购文件所列采购清单中，只列主要产品、设备的名称、品牌、数量、技术参数等要求，其他辅材、配套、配件、软件、服务等未详细列入，但均应包括在相应产品、设备器材中，投标人在报价时自行考虑。 如采购文件中遗漏了必须具备的设备、附件、辅材、配件、软件或服务，请投标人在投标文件中指出，并提出解决方案供采购人参考；投标人有义务保证采购人系统的完整性，如项目实施过程中因缺少设备、附件、辅材、配件、软件或服务导致采购人系统无法正常运行，中标人须免费提供，报价时自行考虑。 3.列入国家生产许可或有国家强制性要求的或3C目录的产品，在项目实施前必须取得并提供相应说明资料备查。 4.项目方案、深化设计成果、安装调试及施工方案具体在实施前须报经采购人同意后方可执行，否则后果自负，特别强调：艺术创意、（如雕塑、场景、仿真件、数字多媒体、互动多媒体）非标部分事前须得到采购人同意后方可采购。（提供承诺函，格式自拟） 深化方案须在中标后20天内按采购人意见再次进行设计，费用不再另计。材料设备、艺术创意、非标部分、项目方案等专家认证由采购人组织，费用由中标人承担，此费用在报价中自行考虑。（提供承诺函，格式自拟） 5.投标人提供的设备、材料等必须是全新的原装优质产品 (包括所有零部件、元器件、附件、备件)，符合相应的国家标准的，并须提供相关产品的产品合格证、产品说明书和安装说明等资料，所有材料设备必须环保且质量优良 (如与采购人意见相左时，以采购人意见为准) ，投标人所提供的产品在安装调试完成后，应构成一个完整的系统，能按照技术要求连续运行。所有设备须原包装到位，需要的配件必须是原包装到达采购人，未经采购人允许不得私自预先安装。 6.技术培训：为采购人培训操作技术人员，使其能够熟练掌握系统的安装、操作、维护、维修，并能独立上岗。人数及培训地址按招标人要求。 7.保密：项目实施过程和结果将严格保密，在未经采购人授权的情况下不得泄露给任何单位和个人，不得利用此信息进行任何侵害采购人权益的行为。 8.安装施工要求： 中标人须保证本次采购所有产品设备采购、安装调试和施工等一切项目相关工作顺利进行。 项目实施时不得损坏采购人财物，如有损坏需无条件修复原状，否则采购人有权在应付货款中扣除相应损失。 项目实施过程中，采购人有权对整个方案 (包括设计方案、创意方案、产品设备、材料、安装调试方案、施工方案等) 进行调整，费用不再另调整。（提供承诺函，格式自拟）。 强化安全意识、抓好安全生产，明确安全责任，杜绝事故发生，项目实施中发生安全及人身事故均由中标人负责处理，并承担全部责任和费用。 以非投标人制造的产品参加投标的，采购人有权要求在项目实施时提供该产品制造商针对本项目出具的授权书和质保函。 按采购人要求提供接口图及控制功能界面截图佐证和网络接线接口明细图。 项目实施过程中采购人有权要求中标人提供经国家认可的质量检测机构出具的产品检测报告，如不符，则验收不予通过。</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其他展览服务</w:t>
            </w:r>
          </w:p>
        </w:tc>
        <w:tc>
          <w:tcPr>
            <w:tcW w:type="dxa" w:w="933"/>
          </w:tcPr>
          <w:p>
            <w:pPr>
              <w:jc w:val="left"/>
            </w:pPr>
            <w:r>
              <w:rPr/>
              <w:t>阳江市综合文化中心规划馆展陈深化设计及施工一体化布展服务</w:t>
            </w:r>
          </w:p>
        </w:tc>
        <w:tc>
          <w:tcPr>
            <w:tcW w:type="dxa" w:w="933"/>
          </w:tcPr>
          <w:p>
            <w:pPr>
              <w:jc w:val="left"/>
            </w:pPr>
            <w:r>
              <w:rPr/>
              <w:t>项</w:t>
            </w:r>
          </w:p>
        </w:tc>
        <w:tc>
          <w:tcPr>
            <w:tcW w:type="dxa" w:w="933"/>
          </w:tcPr>
          <w:p>
            <w:pPr>
              <w:jc w:val="right"/>
            </w:pPr>
            <w:r>
              <w:rPr/>
              <w:t>1.00</w:t>
            </w:r>
          </w:p>
        </w:tc>
        <w:tc>
          <w:tcPr>
            <w:tcW w:type="dxa" w:w="933"/>
          </w:tcPr>
          <w:p>
            <w:pPr>
              <w:jc w:val="right"/>
            </w:pPr>
            <w:r>
              <w:rPr/>
              <w:t>16,049,235.58</w:t>
            </w:r>
          </w:p>
        </w:tc>
        <w:tc>
          <w:tcPr>
            <w:tcW w:type="dxa" w:w="933"/>
          </w:tcPr>
          <w:p>
            <w:pPr>
              <w:jc w:val="right"/>
            </w:pPr>
            <w:r>
              <w:rPr/>
              <w:t>16,049,235.58</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阳江市综合文化中心规划馆展陈深化设计及施工一体化布展服务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color w:val="000000"/>
                <w:sz w:val="21"/>
              </w:rPr>
              <w:t>需求清单</w:t>
            </w:r>
          </w:p>
          <w:p>
            <w:pPr>
              <w:jc w:val="both"/>
            </w:pPr>
            <w:r>
              <w:rPr>
                <w:color w:val="000000"/>
                <w:sz w:val="21"/>
              </w:rPr>
              <w:t>1.装饰工程</w:t>
            </w:r>
          </w:p>
          <w:tbl>
            <w:tblPr>
              <w:tblBorders>
                <w:top w:val="none" w:color="000000" w:sz="4"/>
                <w:left w:val="none" w:color="000000" w:sz="4"/>
                <w:bottom w:val="none" w:color="000000" w:sz="4"/>
                <w:right w:val="none" w:color="000000" w:sz="4"/>
                <w:insideH w:val="none"/>
                <w:insideV w:val="none"/>
              </w:tblBorders>
            </w:tblPr>
            <w:tblGrid>
              <w:gridCol w:w="714"/>
              <w:gridCol w:w="604"/>
              <w:gridCol w:w="1182"/>
              <w:gridCol w:w="3113"/>
              <w:gridCol w:w="825"/>
              <w:gridCol w:w="1191"/>
              <w:gridCol w:w="757"/>
            </w:tblGrid>
            <w:tr>
              <w:tc>
                <w:tcPr>
                  <w:tcW w:type="dxa" w:w="8386"/>
                  <w:gridSpan w:val="7"/>
                  <w:tcBorders>
                    <w:top w:val="single" w:color="000000" w:sz="4"/>
                    <w:left w:val="single" w:color="000000" w:sz="4"/>
                    <w:bottom w:val="single" w:color="000000" w:sz="4"/>
                    <w:right w:val="single" w:color="000000" w:sz="4"/>
                  </w:tcBorders>
                  <w:vAlign w:val="top"/>
                </w:tcPr>
                <w:p>
                  <w:pPr>
                    <w:jc w:val="left"/>
                  </w:pPr>
                  <w:r>
                    <w:rPr>
                      <w:b/>
                      <w:color w:val="000000"/>
                      <w:sz w:val="21"/>
                    </w:rPr>
                    <w:t>入口大门（三楼）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墙体拆除</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原墙面拆除</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24.00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拆除处墙体修复</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拆除处墙体修复</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大门不锈钢门套</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钢结构门框、</w:t>
                  </w:r>
                  <w:r>
                    <w:rPr>
                      <w:color w:val="000000"/>
                      <w:sz w:val="21"/>
                    </w:rPr>
                    <w:t>12mm阻燃板、304不锈钢门套</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玻璃门</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12mm钢化玻璃</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24.00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5</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玻璃门感应器</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感应轨道、感应器、电机安装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序厅（三楼）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non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non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non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non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none" w:color="000000" w:sz="4"/>
                    <w:right w:val="single" w:color="000000" w:sz="4"/>
                  </w:tcBorders>
                  <w:shd w:fill="FFFFFF"/>
                  <w:vAlign w:val="top"/>
                </w:tcPr>
                <w:p>
                  <w:pPr>
                    <w:jc w:val="center"/>
                  </w:pPr>
                  <w:r>
                    <w:rPr>
                      <w:color w:val="000000"/>
                      <w:sz w:val="21"/>
                    </w:rPr>
                    <w:t>255.00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singl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color w:val="000000"/>
                      <w:sz w:val="21"/>
                    </w:rPr>
                    <w:t>地面定制地胶</w:t>
                  </w:r>
                </w:p>
              </w:tc>
              <w:tc>
                <w:tcPr>
                  <w:tcW w:type="dxa" w:w="3113"/>
                  <w:tcBorders>
                    <w:top w:val="singl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color w:val="000000"/>
                      <w:sz w:val="21"/>
                    </w:rPr>
                    <w:t>60.75</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地面灰色地胶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1、专用水泥自流平</w:t>
                  </w:r>
                  <w:r>
                    <w:br/>
                  </w:r>
                  <w:r>
                    <w:rPr>
                      <w:color w:val="000000"/>
                      <w:sz w:val="21"/>
                    </w:rPr>
                    <w:t>2、2.0mm厚国产PVC地板，异形拼接。</w:t>
                  </w:r>
                  <w:r>
                    <w:br/>
                  </w:r>
                  <w:r>
                    <w:rPr>
                      <w:color w:val="000000"/>
                      <w:sz w:val="21"/>
                    </w:rPr>
                    <w:t>3、专用胶水</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195.00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3、12mm阻燃板；</w:t>
                  </w:r>
                  <w:r>
                    <w:br/>
                  </w:r>
                  <w:r>
                    <w:rPr>
                      <w:color w:val="000000"/>
                      <w:sz w:val="21"/>
                    </w:rPr>
                    <w:t>4、双层9.5mm石膏板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140.00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高空钢结构转换层</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从原顶</w:t>
                  </w:r>
                  <w:r>
                    <w:rPr>
                      <w:color w:val="000000"/>
                      <w:sz w:val="21"/>
                    </w:rPr>
                    <w:t>15m高至天花9m位置，40*40镀锌方通，国标5#角铁焊接，涂刷防锈漆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336.00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高空艺术天花吊顶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3、12mm阻燃板；</w:t>
                  </w:r>
                  <w:r>
                    <w:br/>
                  </w:r>
                  <w:r>
                    <w:rPr>
                      <w:color w:val="000000"/>
                      <w:sz w:val="21"/>
                    </w:rPr>
                    <w:t>4、镂空铝板造型饰面</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186.00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高空造型吊顶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3、12mm阻燃板；</w:t>
                  </w:r>
                  <w:r>
                    <w:br/>
                  </w:r>
                  <w:r>
                    <w:rPr>
                      <w:color w:val="000000"/>
                      <w:sz w:val="21"/>
                    </w:rPr>
                    <w:t>4、双层9.5mm石膏板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5</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1、木龙骨 刷防火涂料一遍</w:t>
                  </w:r>
                  <w:r>
                    <w:br/>
                  </w:r>
                  <w:r>
                    <w:rPr>
                      <w:color w:val="000000"/>
                      <w:sz w:val="21"/>
                    </w:rPr>
                    <w:t>2、阻燃夹板基层</w:t>
                  </w:r>
                  <w:r>
                    <w:br/>
                  </w:r>
                  <w:r>
                    <w:rPr>
                      <w:color w:val="000000"/>
                      <w:sz w:val="21"/>
                    </w:rPr>
                    <w:t>3、12mm石膏板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106.00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476.00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2、阻燃板基层造型、高密度板面板；</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340.00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墙面钢结构造型墙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1、100*50镀锌方通；</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480.00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墙面钢结构吊墙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1、100*50镀锌方通竖向焊接，两侧200*200镀锌方通承重柱；</w:t>
                  </w:r>
                  <w:r>
                    <w:br/>
                  </w:r>
                  <w:r>
                    <w:rPr>
                      <w:color w:val="000000"/>
                      <w:sz w:val="21"/>
                    </w:rPr>
                    <w:t>2、200*100工字钢横向梁；</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墙面冲孔铝板</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白色烤漆冲孔铝板（透光），内侧</w:t>
                  </w:r>
                  <w:r>
                    <w:rPr>
                      <w:color w:val="000000"/>
                      <w:sz w:val="21"/>
                    </w:rPr>
                    <w:t>3mm奶白色亚克力透光</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5</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墙面渐变铝板造型墙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白色烤漆冲孔铝板（透光），内侧</w:t>
                  </w:r>
                  <w:r>
                    <w:rPr>
                      <w:color w:val="000000"/>
                      <w:sz w:val="21"/>
                    </w:rPr>
                    <w:t>3mm奶白色亚克力透光</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360.00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282.00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7</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2、石膏板饰面；</w:t>
                  </w:r>
                </w:p>
                <w:p>
                  <w:pPr>
                    <w:jc w:val="left"/>
                  </w:pPr>
                  <w:r>
                    <w:rPr>
                      <w:color w:val="000000"/>
                      <w:sz w:val="21"/>
                    </w:rPr>
                    <w:t xml:space="preserve">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144.00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8</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墙面白色油漆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索白色油漆，原子灰补缝，腻子批平，人工打磨，一底两面油漆。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287.00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总体空间格局（三楼）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405.00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non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none" w:color="000000" w:sz="4"/>
                    <w:right w:val="single" w:color="000000" w:sz="4"/>
                  </w:tcBorders>
                  <w:shd w:fill="FFFFFF"/>
                  <w:vAlign w:val="top"/>
                </w:tcPr>
                <w:p>
                  <w:pPr>
                    <w:jc w:val="center"/>
                  </w:pPr>
                  <w:r>
                    <w:rPr>
                      <w:color w:val="000000"/>
                      <w:sz w:val="21"/>
                    </w:rPr>
                    <w:t>地面灰色地胶</w:t>
                  </w:r>
                </w:p>
              </w:tc>
              <w:tc>
                <w:tcPr>
                  <w:tcW w:type="dxa" w:w="3113"/>
                  <w:tcBorders>
                    <w:top w:val="none" w:color="000000" w:sz="4"/>
                    <w:left w:val="none" w:color="000000" w:sz="4"/>
                    <w:bottom w:val="non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non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none" w:color="000000" w:sz="4"/>
                    <w:right w:val="single" w:color="000000" w:sz="4"/>
                  </w:tcBorders>
                  <w:shd w:fill="FFFFFF"/>
                  <w:vAlign w:val="top"/>
                </w:tcPr>
                <w:p>
                  <w:pPr>
                    <w:jc w:val="center"/>
                  </w:pPr>
                  <w:r>
                    <w:rPr>
                      <w:color w:val="000000"/>
                      <w:sz w:val="21"/>
                    </w:rPr>
                    <w:t>405.00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singl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color w:val="000000"/>
                      <w:sz w:val="21"/>
                    </w:rPr>
                    <w:t>405.00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 xml:space="preserve">2、石膏板饰面； 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130.00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405.00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1、75mm轻钢龙骨，局部方通加固；</w:t>
                  </w:r>
                  <w:r>
                    <w:br/>
                  </w:r>
                  <w:r>
                    <w:rPr>
                      <w:color w:val="000000"/>
                      <w:sz w:val="21"/>
                    </w:rPr>
                    <w:t>2、阻燃板基层造型、高密度板面板；</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388.00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2、石膏板饰面；</w:t>
                  </w:r>
                </w:p>
                <w:p>
                  <w:pPr>
                    <w:jc w:val="left"/>
                  </w:pPr>
                  <w:r>
                    <w:rPr>
                      <w:color w:val="000000"/>
                      <w:sz w:val="21"/>
                    </w:rPr>
                    <w:t xml:space="preserve">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120.00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墙面白色油漆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索白色油漆，原子灰补缝，腻子批平，人工打磨，一底两面油漆。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340.00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84.00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宜业新动脉（三楼）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75.00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non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none" w:color="000000" w:sz="4"/>
                    <w:right w:val="single" w:color="000000" w:sz="4"/>
                  </w:tcBorders>
                  <w:shd w:fill="FFFFFF"/>
                  <w:vAlign w:val="top"/>
                </w:tcPr>
                <w:p>
                  <w:pPr>
                    <w:jc w:val="center"/>
                  </w:pPr>
                  <w:r>
                    <w:rPr>
                      <w:color w:val="000000"/>
                      <w:sz w:val="21"/>
                    </w:rPr>
                    <w:t>地面地胶</w:t>
                  </w:r>
                </w:p>
              </w:tc>
              <w:tc>
                <w:tcPr>
                  <w:tcW w:type="dxa" w:w="3113"/>
                  <w:tcBorders>
                    <w:top w:val="none" w:color="000000" w:sz="4"/>
                    <w:left w:val="none" w:color="000000" w:sz="4"/>
                    <w:bottom w:val="non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non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none" w:color="000000" w:sz="4"/>
                    <w:right w:val="single" w:color="000000" w:sz="4"/>
                  </w:tcBorders>
                  <w:shd w:fill="FFFFFF"/>
                  <w:vAlign w:val="top"/>
                </w:tcPr>
                <w:p>
                  <w:pPr>
                    <w:jc w:val="center"/>
                  </w:pPr>
                  <w:r>
                    <w:rPr>
                      <w:color w:val="000000"/>
                      <w:sz w:val="21"/>
                    </w:rPr>
                    <w:t>75.00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singl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color w:val="000000"/>
                      <w:sz w:val="21"/>
                    </w:rPr>
                    <w:t>75.00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2、石膏板饰面；</w:t>
                  </w:r>
                </w:p>
                <w:p>
                  <w:pPr>
                    <w:jc w:val="left"/>
                  </w:pPr>
                  <w:r>
                    <w:rPr>
                      <w:color w:val="000000"/>
                      <w:sz w:val="21"/>
                    </w:rPr>
                    <w:t xml:space="preserve">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60.00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75.00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墙面白色油漆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索白色油漆，原子灰补缝，腻子批平，人工打磨，一底两面油漆。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2、石膏板饰面；</w:t>
                  </w:r>
                </w:p>
                <w:p>
                  <w:pPr>
                    <w:jc w:val="left"/>
                  </w:pPr>
                  <w:r>
                    <w:rPr>
                      <w:color w:val="000000"/>
                      <w:sz w:val="21"/>
                    </w:rPr>
                    <w:t xml:space="preserve">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深蓝新起点（三楼）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78.00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地面地胶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78.00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78.00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2.石膏板饰面；</w:t>
                  </w:r>
                </w:p>
                <w:p>
                  <w:pPr>
                    <w:jc w:val="left"/>
                  </w:pPr>
                  <w:r>
                    <w:rPr>
                      <w:color w:val="000000"/>
                      <w:sz w:val="21"/>
                    </w:rPr>
                    <w:t xml:space="preserve">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78.00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136.00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墙面白色油漆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索白色油漆，原子灰补缝，腻子批平，人工打磨，一底两面油漆。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68.00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68.00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钢结构楼梯</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钢结构楼梯</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 xml:space="preserve">1、钢结构钢板踏步；                 </w:t>
                  </w:r>
                  <w:r>
                    <w:br/>
                  </w:r>
                  <w:r>
                    <w:rPr>
                      <w:color w:val="000000"/>
                      <w:sz w:val="21"/>
                    </w:rPr>
                    <w:t>2、拉丝不锈钢包边；</w:t>
                  </w:r>
                  <w:r>
                    <w:br/>
                  </w:r>
                  <w:r>
                    <w:rPr>
                      <w:color w:val="000000"/>
                      <w:sz w:val="21"/>
                    </w:rPr>
                    <w:t>3、钢结构楼梯结构。</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楼梯地毯</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楼梯扶手</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定制不锈钢扶手</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5</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墙面隔墙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阳江建设区域（二楼）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地面地胶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 xml:space="preserve">2、石膏板饰面； 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178.00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墙面白色油漆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索白色油漆，原子灰补缝，腻子批平，人工打磨，一底两面油漆。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178.00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non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none" w:color="000000" w:sz="4"/>
                    <w:right w:val="single" w:color="000000" w:sz="4"/>
                  </w:tcBorders>
                  <w:shd w:fill="FFFFFF"/>
                  <w:vAlign w:val="top"/>
                </w:tcPr>
                <w:p>
                  <w:pPr>
                    <w:jc w:val="center"/>
                  </w:pPr>
                  <w:r>
                    <w:rPr>
                      <w:color w:val="000000"/>
                      <w:sz w:val="21"/>
                    </w:rPr>
                    <w:t>墙面白色乳胶漆</w:t>
                  </w:r>
                </w:p>
              </w:tc>
              <w:tc>
                <w:tcPr>
                  <w:tcW w:type="dxa" w:w="3113"/>
                  <w:tcBorders>
                    <w:top w:val="none" w:color="000000" w:sz="4"/>
                    <w:left w:val="none" w:color="000000" w:sz="4"/>
                    <w:bottom w:val="non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non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none" w:color="000000" w:sz="4"/>
                    <w:right w:val="single" w:color="000000" w:sz="4"/>
                  </w:tcBorders>
                  <w:shd w:fill="FFFFFF"/>
                  <w:vAlign w:val="top"/>
                </w:tcPr>
                <w:p>
                  <w:pPr>
                    <w:jc w:val="center"/>
                  </w:pPr>
                  <w:r>
                    <w:rPr>
                      <w:color w:val="000000"/>
                      <w:sz w:val="21"/>
                    </w:rPr>
                    <w:t>40.00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singl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color w:val="000000"/>
                      <w:sz w:val="21"/>
                    </w:rPr>
                    <w:t>墙面灯带</w:t>
                  </w:r>
                </w:p>
              </w:tc>
              <w:tc>
                <w:tcPr>
                  <w:tcW w:type="dxa" w:w="3113"/>
                  <w:tcBorders>
                    <w:top w:val="single" w:color="000000" w:sz="4"/>
                    <w:left w:val="none" w:color="000000" w:sz="4"/>
                    <w:bottom w:val="single" w:color="000000" w:sz="4"/>
                    <w:right w:val="single" w:color="000000" w:sz="4"/>
                  </w:tcBorders>
                  <w:shd w:fill="FFFFFF"/>
                  <w:vAlign w:val="top"/>
                </w:tcPr>
                <w:p>
                  <w:pPr>
                    <w:jc w:val="left"/>
                  </w:pPr>
                  <w:r>
                    <w:rPr>
                      <w:color w:val="000000"/>
                      <w:sz w:val="21"/>
                    </w:rPr>
                    <w:t>定制线性发光灯带、安装</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color w:val="000000"/>
                      <w:sz w:val="21"/>
                    </w:rPr>
                    <w:t>200.00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绿美阳江（二楼）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47.00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地面地胶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47.00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地面发光灯带</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定制线性发光灯带、安装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47.00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天花黑色乳胶漆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88.00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墙面白色油漆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索白色油漆，原子灰补缝，腻子批平，人工打磨，一底两面油漆。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88.00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墙面投影漆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2、批灰打磨，面投影漆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66.00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22.00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宜游新场景（二楼）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地面地胶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 xml:space="preserve">2、石膏板饰面； 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non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non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non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non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none" w:color="000000" w:sz="4"/>
                    <w:right w:val="single" w:color="000000" w:sz="4"/>
                  </w:tcBorders>
                  <w:shd w:fill="FFFFFF"/>
                  <w:vAlign w:val="top"/>
                </w:tcPr>
                <w:p>
                  <w:pPr>
                    <w:jc w:val="center"/>
                  </w:pPr>
                  <w:r>
                    <w:rPr>
                      <w:color w:val="000000"/>
                      <w:sz w:val="21"/>
                    </w:rPr>
                    <w:t>60.00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singl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color w:val="000000"/>
                      <w:sz w:val="21"/>
                    </w:rPr>
                    <w:t>墙面白色油漆</w:t>
                  </w:r>
                </w:p>
              </w:tc>
              <w:tc>
                <w:tcPr>
                  <w:tcW w:type="dxa" w:w="3113"/>
                  <w:tcBorders>
                    <w:top w:val="single" w:color="000000" w:sz="4"/>
                    <w:left w:val="none" w:color="000000" w:sz="4"/>
                    <w:bottom w:val="single" w:color="000000" w:sz="4"/>
                    <w:right w:val="single" w:color="000000" w:sz="4"/>
                  </w:tcBorders>
                  <w:shd w:fill="FFFFFF"/>
                  <w:vAlign w:val="top"/>
                </w:tcPr>
                <w:p>
                  <w:pPr>
                    <w:jc w:val="left"/>
                  </w:pPr>
                  <w:r>
                    <w:rPr>
                      <w:color w:val="000000"/>
                      <w:sz w:val="21"/>
                    </w:rPr>
                    <w:t>索白色油漆，原子灰补缝，腻子批平，人工打磨，一底两面油漆。</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color w:val="000000"/>
                      <w:sz w:val="21"/>
                    </w:rPr>
                    <w:t>90.00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2、石膏板饰面；</w:t>
                  </w:r>
                </w:p>
                <w:p>
                  <w:pPr>
                    <w:jc w:val="left"/>
                  </w:pPr>
                  <w:r>
                    <w:rPr>
                      <w:color w:val="000000"/>
                      <w:sz w:val="21"/>
                    </w:rPr>
                    <w:t xml:space="preserve">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35.00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腾飞之城（二楼）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地面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33.00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地面地胶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33.00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天花</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造型天花吊顶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33.00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天花白色乳胶漆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33.00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墙面</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84.00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墙面白色投影漆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2、批灰打磨，面投影漆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84.00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办公区、设备廊道（四楼）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装饰部分</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地面找平</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12公分厚商品混凝土地面找平</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198.00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地面地毯</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198.00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天花吊顶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1、8#丝杆；</w:t>
                  </w:r>
                  <w:r>
                    <w:br/>
                  </w:r>
                  <w:r>
                    <w:rPr>
                      <w:color w:val="000000"/>
                      <w:sz w:val="21"/>
                    </w:rPr>
                    <w:t>2、U型轻钢龙骨；</w:t>
                  </w:r>
                  <w:r>
                    <w:br/>
                  </w:r>
                  <w:r>
                    <w:rPr>
                      <w:color w:val="000000"/>
                      <w:sz w:val="21"/>
                    </w:rPr>
                    <w:t>3、9mm阻燃板；</w:t>
                  </w:r>
                  <w:r>
                    <w:br/>
                  </w:r>
                  <w:r>
                    <w:rPr>
                      <w:color w:val="000000"/>
                      <w:sz w:val="21"/>
                    </w:rPr>
                    <w:t>4、9.5mm石膏板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198.00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天花灯槽</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1、9阻燃板/夹板基础造型槽制作；</w:t>
                  </w:r>
                  <w:r>
                    <w:br/>
                  </w:r>
                  <w:r>
                    <w:rPr>
                      <w:color w:val="000000"/>
                      <w:sz w:val="21"/>
                    </w:rPr>
                    <w:t xml:space="preserve">2、石膏板饰面； 3.含人工及辅材。   </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5</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天花白色乳胶漆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198.00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墙面轻钢龙骨造型墙</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1、75mm轻钢龙骨；</w:t>
                  </w:r>
                  <w:r>
                    <w:br/>
                  </w:r>
                  <w:r>
                    <w:rPr>
                      <w:color w:val="000000"/>
                      <w:sz w:val="21"/>
                    </w:rPr>
                    <w:t>2、阻燃板基层造型；</w:t>
                  </w:r>
                  <w:r>
                    <w:br/>
                  </w:r>
                  <w:r>
                    <w:rPr>
                      <w:color w:val="000000"/>
                      <w:sz w:val="21"/>
                    </w:rPr>
                    <w:t>3、人工及辅料安装；</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7</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406.00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8</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成品单开木饰面门</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依现场尺寸定制</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樘</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9</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成品双开木饰面门</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依现场尺寸定制</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樘</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10</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楼梯处楼板拆除及修补</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拆除处加工字钢辅梁</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钢结构楼梯</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 xml:space="preserve">1、钢结构钢板踏步；                 </w:t>
                  </w:r>
                  <w:r>
                    <w:br/>
                  </w:r>
                  <w:r>
                    <w:rPr>
                      <w:color w:val="000000"/>
                      <w:sz w:val="21"/>
                    </w:rPr>
                    <w:t>2、拉丝不锈钢包边；</w:t>
                  </w:r>
                  <w:r>
                    <w:br/>
                  </w:r>
                  <w:r>
                    <w:rPr>
                      <w:color w:val="000000"/>
                      <w:sz w:val="21"/>
                    </w:rPr>
                    <w:t>3、钢结构楼梯结构。</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楼梯扶手</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定制不锈钢扶手</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楼梯地毯</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根据设计纹路定制、铺贴、安装（含地面找平、自流平、铺贴安装人工、材料）</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全展厅踢脚线</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9mm阻燃板、304不锈钢踢脚线。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8386"/>
                  <w:gridSpan w:val="7"/>
                  <w:tcBorders>
                    <w:top w:val="none" w:color="000000" w:sz="4"/>
                    <w:left w:val="single" w:color="000000" w:sz="4"/>
                    <w:bottom w:val="single" w:color="000000" w:sz="4"/>
                    <w:right w:val="single" w:color="000000" w:sz="4"/>
                  </w:tcBorders>
                  <w:vAlign w:val="top"/>
                </w:tcPr>
                <w:p>
                  <w:pPr>
                    <w:jc w:val="left"/>
                  </w:pPr>
                  <w:r>
                    <w:rPr>
                      <w:b/>
                      <w:color w:val="000000"/>
                      <w:sz w:val="21"/>
                    </w:rPr>
                    <w:t>设备间、强电工程（二、三楼）</w:t>
                  </w:r>
                </w:p>
              </w:tc>
            </w:tr>
            <w:tr>
              <w:tc>
                <w:tcPr>
                  <w:tcW w:type="dxa" w:w="714"/>
                  <w:tcBorders>
                    <w:top w:val="none" w:color="000000" w:sz="4"/>
                    <w:left w:val="single" w:color="000000" w:sz="4"/>
                    <w:bottom w:val="single" w:color="000000" w:sz="4"/>
                    <w:right w:val="single" w:color="000000" w:sz="4"/>
                  </w:tcBorders>
                  <w:shd w:fill="FFFFFF"/>
                  <w:vAlign w:val="top"/>
                </w:tcPr>
                <w:p>
                  <w:pPr>
                    <w:jc w:val="center"/>
                  </w:pPr>
                  <w:r>
                    <w:rPr>
                      <w:b/>
                      <w:color w:val="000000"/>
                      <w:sz w:val="21"/>
                    </w:rPr>
                    <w:t>类别</w:t>
                  </w:r>
                </w:p>
              </w:tc>
              <w:tc>
                <w:tcPr>
                  <w:tcW w:type="dxa" w:w="604"/>
                  <w:tcBorders>
                    <w:top w:val="single" w:color="000000" w:sz="4"/>
                    <w:left w:val="none" w:color="000000" w:sz="4"/>
                    <w:bottom w:val="single" w:color="000000" w:sz="4"/>
                    <w:right w:val="single" w:color="000000" w:sz="4"/>
                  </w:tcBorders>
                  <w:shd w:fill="FFFFFF"/>
                  <w:vAlign w:val="top"/>
                </w:tcPr>
                <w:p>
                  <w:pPr>
                    <w:jc w:val="center"/>
                  </w:pPr>
                  <w:r>
                    <w:rPr>
                      <w:b/>
                      <w:color w:val="000000"/>
                      <w:sz w:val="21"/>
                    </w:rPr>
                    <w:t>序号</w:t>
                  </w:r>
                </w:p>
              </w:tc>
              <w:tc>
                <w:tcPr>
                  <w:tcW w:type="dxa" w:w="1182"/>
                  <w:tcBorders>
                    <w:top w:val="single" w:color="000000" w:sz="4"/>
                    <w:left w:val="none" w:color="000000" w:sz="4"/>
                    <w:bottom w:val="single" w:color="000000" w:sz="4"/>
                    <w:right w:val="single" w:color="000000" w:sz="4"/>
                  </w:tcBorders>
                  <w:shd w:fill="FFFFFF"/>
                  <w:vAlign w:val="top"/>
                </w:tcPr>
                <w:p>
                  <w:pPr>
                    <w:jc w:val="center"/>
                  </w:pPr>
                  <w:r>
                    <w:rPr>
                      <w:b/>
                      <w:color w:val="000000"/>
                      <w:sz w:val="21"/>
                    </w:rPr>
                    <w:t>设备名称</w:t>
                  </w:r>
                </w:p>
              </w:tc>
              <w:tc>
                <w:tcPr>
                  <w:tcW w:type="dxa" w:w="3113"/>
                  <w:tcBorders>
                    <w:top w:val="single" w:color="000000" w:sz="4"/>
                    <w:left w:val="none" w:color="000000" w:sz="4"/>
                    <w:bottom w:val="single" w:color="000000" w:sz="4"/>
                    <w:right w:val="single" w:color="000000" w:sz="4"/>
                  </w:tcBorders>
                  <w:shd w:fill="FFFFFF"/>
                  <w:vAlign w:val="top"/>
                </w:tcPr>
                <w:p>
                  <w:pPr>
                    <w:jc w:val="center"/>
                  </w:pPr>
                  <w:r>
                    <w:rPr>
                      <w:b/>
                      <w:color w:val="000000"/>
                      <w:sz w:val="21"/>
                    </w:rPr>
                    <w:t>技术参数</w:t>
                  </w:r>
                  <w:r>
                    <w:rPr>
                      <w:b/>
                      <w:color w:val="000000"/>
                      <w:sz w:val="21"/>
                    </w:rPr>
                    <w:t>/项目特征描述</w:t>
                  </w:r>
                </w:p>
              </w:tc>
              <w:tc>
                <w:tcPr>
                  <w:tcW w:type="dxa" w:w="825"/>
                  <w:tcBorders>
                    <w:top w:val="single" w:color="000000" w:sz="4"/>
                    <w:left w:val="none" w:color="000000" w:sz="4"/>
                    <w:bottom w:val="single" w:color="000000" w:sz="4"/>
                    <w:right w:val="single" w:color="000000" w:sz="4"/>
                  </w:tcBorders>
                  <w:shd w:fill="FFFFFF"/>
                  <w:vAlign w:val="top"/>
                </w:tcPr>
                <w:p>
                  <w:pPr>
                    <w:jc w:val="center"/>
                  </w:pPr>
                  <w:r>
                    <w:rPr>
                      <w:b/>
                      <w:color w:val="000000"/>
                      <w:sz w:val="21"/>
                    </w:rPr>
                    <w:t>单位</w:t>
                  </w:r>
                </w:p>
              </w:tc>
              <w:tc>
                <w:tcPr>
                  <w:tcW w:type="dxa" w:w="1191"/>
                  <w:tcBorders>
                    <w:top w:val="single" w:color="000000" w:sz="4"/>
                    <w:left w:val="none" w:color="000000" w:sz="4"/>
                    <w:bottom w:val="single" w:color="000000" w:sz="4"/>
                    <w:right w:val="single" w:color="000000" w:sz="4"/>
                  </w:tcBorders>
                  <w:shd w:fill="FFFFFF"/>
                  <w:vAlign w:val="top"/>
                </w:tcPr>
                <w:p>
                  <w:pPr>
                    <w:jc w:val="center"/>
                  </w:pPr>
                  <w:r>
                    <w:rPr>
                      <w:b/>
                      <w:color w:val="000000"/>
                      <w:sz w:val="21"/>
                    </w:rPr>
                    <w:t>数量</w:t>
                  </w:r>
                </w:p>
              </w:tc>
              <w:tc>
                <w:tcPr>
                  <w:tcW w:type="dxa" w:w="757"/>
                  <w:tcBorders>
                    <w:top w:val="single" w:color="000000" w:sz="4"/>
                    <w:left w:val="none" w:color="000000" w:sz="4"/>
                    <w:bottom w:val="single" w:color="000000" w:sz="4"/>
                    <w:right w:val="single" w:color="000000" w:sz="4"/>
                  </w:tcBorders>
                  <w:shd w:fill="FFFFFF"/>
                  <w:vAlign w:val="top"/>
                </w:tcPr>
                <w:p>
                  <w:pPr>
                    <w:jc w:val="center"/>
                  </w:pPr>
                  <w:r>
                    <w:rPr>
                      <w:b/>
                      <w:color w:val="000000"/>
                      <w:sz w:val="21"/>
                    </w:rPr>
                    <w:t>备注</w:t>
                  </w:r>
                </w:p>
              </w:tc>
            </w:tr>
            <w:tr>
              <w:tc>
                <w:tcPr>
                  <w:tcW w:type="dxa" w:w="714"/>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1"/>
                    </w:rPr>
                    <w:t>装饰部分</w:t>
                  </w: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地面防静电地板</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600*600mm钢质防静电地板</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墙面白色乳胶漆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1、腻子底基础2遍</w:t>
                  </w:r>
                  <w:r>
                    <w:br/>
                  </w:r>
                  <w:r>
                    <w:rPr>
                      <w:color w:val="000000"/>
                      <w:sz w:val="21"/>
                    </w:rPr>
                    <w:t>2、批灰打磨，一底两面乳胶漆</w:t>
                  </w:r>
                  <w:r>
                    <w:br/>
                  </w:r>
                  <w:r>
                    <w:rPr>
                      <w:color w:val="000000"/>
                      <w:sz w:val="21"/>
                    </w:rPr>
                    <w:t>3、人工及辅材</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120.00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3</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灯具安装</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筒灯、射灯、轨道灯、灯带等</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强电布管布线</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不含主电箱进线主电缆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1870.00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5</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强弱电桥架</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100*150mm铝合金桥架</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m</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强电电箱</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含电箱箱体，控制元器件</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4.00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7</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电缆</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电箱间连接电缆</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8</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设备间暗门</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定制暗门</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2.00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r>
              <w:tc>
                <w:tcPr>
                  <w:tcW w:type="dxa" w:w="71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shd w:fill="FFFFFF"/>
                  <w:vAlign w:val="top"/>
                </w:tcPr>
                <w:p>
                  <w:pPr>
                    <w:jc w:val="center"/>
                  </w:pPr>
                  <w:r>
                    <w:rPr>
                      <w:color w:val="000000"/>
                      <w:sz w:val="21"/>
                    </w:rPr>
                    <w:t>9</w:t>
                  </w:r>
                </w:p>
              </w:tc>
              <w:tc>
                <w:tcPr>
                  <w:tcW w:type="dxa" w:w="1182"/>
                  <w:tcBorders>
                    <w:top w:val="none" w:color="000000" w:sz="4"/>
                    <w:left w:val="none" w:color="000000" w:sz="4"/>
                    <w:bottom w:val="single" w:color="000000" w:sz="4"/>
                    <w:right w:val="single" w:color="000000" w:sz="4"/>
                  </w:tcBorders>
                  <w:shd w:fill="FFFFFF"/>
                  <w:vAlign w:val="top"/>
                </w:tcPr>
                <w:p>
                  <w:pPr>
                    <w:jc w:val="center"/>
                  </w:pPr>
                  <w:r>
                    <w:rPr>
                      <w:color w:val="000000"/>
                      <w:sz w:val="21"/>
                    </w:rPr>
                    <w:t>开关插座安装</w:t>
                  </w:r>
                </w:p>
              </w:tc>
              <w:tc>
                <w:tcPr>
                  <w:tcW w:type="dxa" w:w="3113"/>
                  <w:tcBorders>
                    <w:top w:val="none" w:color="000000" w:sz="4"/>
                    <w:left w:val="none" w:color="000000" w:sz="4"/>
                    <w:bottom w:val="single" w:color="000000" w:sz="4"/>
                    <w:right w:val="single" w:color="000000" w:sz="4"/>
                  </w:tcBorders>
                  <w:shd w:fill="FFFFFF"/>
                  <w:vAlign w:val="top"/>
                </w:tcPr>
                <w:p>
                  <w:pPr>
                    <w:jc w:val="left"/>
                  </w:pPr>
                  <w:r>
                    <w:rPr>
                      <w:color w:val="000000"/>
                      <w:sz w:val="21"/>
                    </w:rPr>
                    <w:t>开关、插座</w:t>
                  </w:r>
                </w:p>
              </w:tc>
              <w:tc>
                <w:tcPr>
                  <w:tcW w:type="dxa" w:w="825"/>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c>
                <w:tcPr>
                  <w:tcW w:type="dxa" w:w="1191"/>
                  <w:tcBorders>
                    <w:top w:val="none" w:color="000000" w:sz="4"/>
                    <w:left w:val="none" w:color="000000" w:sz="4"/>
                    <w:bottom w:val="single" w:color="000000" w:sz="4"/>
                    <w:right w:val="single" w:color="000000" w:sz="4"/>
                  </w:tcBorders>
                  <w:shd w:fill="FFFFFF"/>
                  <w:vAlign w:val="top"/>
                </w:tcPr>
                <w:p>
                  <w:pPr>
                    <w:jc w:val="center"/>
                  </w:pPr>
                  <w:r>
                    <w:rPr>
                      <w:color w:val="000000"/>
                      <w:sz w:val="21"/>
                    </w:rPr>
                    <w:t>1.00</w:t>
                  </w:r>
                </w:p>
              </w:tc>
              <w:tc>
                <w:tcPr>
                  <w:tcW w:type="dxa" w:w="757"/>
                  <w:tcBorders>
                    <w:top w:val="none" w:color="000000" w:sz="4"/>
                    <w:left w:val="none" w:color="000000" w:sz="4"/>
                    <w:bottom w:val="single" w:color="000000" w:sz="4"/>
                    <w:right w:val="single" w:color="000000" w:sz="4"/>
                  </w:tcBorders>
                  <w:shd w:fill="FFFFFF"/>
                  <w:vAlign w:val="top"/>
                </w:tcPr>
                <w:p>
                  <w:pPr>
                    <w:jc w:val="center"/>
                  </w:pPr>
                </w:p>
              </w:tc>
            </w:tr>
          </w:tbl>
          <w:p>
            <w:pPr>
              <w:jc w:val="both"/>
            </w:pPr>
          </w:p>
          <w:p>
            <w:r>
              <w:rPr>
                <w:color w:val="000000"/>
                <w:sz w:val="21"/>
              </w:rPr>
              <w:t>2.配套设施</w:t>
            </w:r>
          </w:p>
          <w:tbl>
            <w:tblPr>
              <w:tblBorders>
                <w:top w:val="none" w:color="000000" w:sz="4"/>
                <w:left w:val="none" w:color="000000" w:sz="4"/>
                <w:bottom w:val="none" w:color="000000" w:sz="4"/>
                <w:right w:val="none" w:color="000000" w:sz="4"/>
                <w:insideH w:val="none"/>
                <w:insideV w:val="none"/>
              </w:tblBorders>
            </w:tblPr>
            <w:tblGrid>
              <w:gridCol w:w="722"/>
              <w:gridCol w:w="594"/>
              <w:gridCol w:w="1206"/>
              <w:gridCol w:w="3109"/>
              <w:gridCol w:w="59"/>
              <w:gridCol w:w="739"/>
              <w:gridCol w:w="1197"/>
              <w:gridCol w:w="764"/>
            </w:tblGrid>
            <w:tr>
              <w:tc>
                <w:tcPr>
                  <w:tcW w:type="dxa" w:w="8390"/>
                  <w:gridSpan w:val="8"/>
                  <w:tcBorders>
                    <w:top w:val="single" w:color="000000" w:sz="4"/>
                    <w:left w:val="single" w:color="000000" w:sz="4"/>
                    <w:bottom w:val="single" w:color="000000" w:sz="4"/>
                    <w:right w:val="single" w:color="000000" w:sz="4"/>
                  </w:tcBorders>
                  <w:vAlign w:val="top"/>
                </w:tcPr>
                <w:p>
                  <w:pPr>
                    <w:jc w:val="left"/>
                  </w:pPr>
                  <w:r>
                    <w:rPr>
                      <w:b/>
                      <w:color w:val="000000"/>
                      <w:sz w:val="21"/>
                    </w:rPr>
                    <w:t>序厅（三楼）</w:t>
                  </w:r>
                </w:p>
              </w:tc>
            </w:tr>
            <w:tr>
              <w:tc>
                <w:tcPr>
                  <w:tcW w:type="dxa" w:w="722"/>
                  <w:tcBorders>
                    <w:top w:val="none" w:color="000000" w:sz="4"/>
                    <w:left w:val="single" w:color="000000" w:sz="4"/>
                    <w:bottom w:val="single" w:color="000000" w:sz="4"/>
                    <w:right w:val="single" w:color="000000" w:sz="4"/>
                  </w:tcBorders>
                  <w:vAlign w:val="top"/>
                </w:tcPr>
                <w:p>
                  <w:pPr>
                    <w:jc w:val="center"/>
                  </w:pPr>
                  <w:r>
                    <w:rPr>
                      <w:b/>
                      <w:color w:val="000000"/>
                      <w:sz w:val="21"/>
                    </w:rPr>
                    <w:t>类别</w:t>
                  </w:r>
                </w:p>
              </w:tc>
              <w:tc>
                <w:tcPr>
                  <w:tcW w:type="dxa" w:w="594"/>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206"/>
                  <w:tcBorders>
                    <w:top w:val="single" w:color="000000" w:sz="4"/>
                    <w:left w:val="none" w:color="000000" w:sz="4"/>
                    <w:bottom w:val="single" w:color="000000" w:sz="4"/>
                    <w:right w:val="single" w:color="000000" w:sz="4"/>
                  </w:tcBorders>
                  <w:vAlign w:val="top"/>
                </w:tcPr>
                <w:p>
                  <w:pPr>
                    <w:jc w:val="center"/>
                  </w:pPr>
                  <w:r>
                    <w:rPr>
                      <w:b/>
                      <w:color w:val="000000"/>
                      <w:sz w:val="21"/>
                    </w:rPr>
                    <w:t>设备名称</w:t>
                  </w:r>
                </w:p>
              </w:tc>
              <w:tc>
                <w:tcPr>
                  <w:tcW w:type="dxa" w:w="3168"/>
                  <w:gridSpan w:val="2"/>
                  <w:tcBorders>
                    <w:top w:val="single" w:color="000000" w:sz="4"/>
                    <w:left w:val="none" w:color="000000" w:sz="4"/>
                    <w:bottom w:val="single" w:color="000000" w:sz="4"/>
                    <w:right w:val="single" w:color="000000" w:sz="4"/>
                  </w:tcBorders>
                  <w:vAlign w:val="top"/>
                </w:tcPr>
                <w:p>
                  <w:pPr>
                    <w:jc w:val="center"/>
                  </w:pPr>
                  <w:r>
                    <w:rPr>
                      <w:b/>
                      <w:color w:val="000000"/>
                      <w:sz w:val="21"/>
                    </w:rPr>
                    <w:t>技术参数</w:t>
                  </w:r>
                  <w:r>
                    <w:rPr>
                      <w:b/>
                      <w:color w:val="000000"/>
                      <w:sz w:val="21"/>
                    </w:rPr>
                    <w:t>/项目特征描述</w:t>
                  </w:r>
                </w:p>
              </w:tc>
              <w:tc>
                <w:tcPr>
                  <w:tcW w:type="dxa" w:w="739"/>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197"/>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764"/>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722"/>
                  <w:vMerge w:val="restart"/>
                  <w:tcBorders>
                    <w:top w:val="none" w:color="000000" w:sz="4"/>
                    <w:left w:val="single" w:color="000000" w:sz="4"/>
                    <w:bottom w:val="none" w:color="000000" w:sz="4"/>
                    <w:right w:val="single" w:color="000000" w:sz="4"/>
                  </w:tcBorders>
                  <w:vAlign w:val="top"/>
                </w:tcPr>
                <w:p>
                  <w:pPr>
                    <w:jc w:val="center"/>
                  </w:pPr>
                  <w:r>
                    <w:rPr>
                      <w:color w:val="000000"/>
                      <w:sz w:val="21"/>
                    </w:rPr>
                    <w:t>配套设施</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看台抬高装置</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平面</w:t>
                  </w:r>
                  <w:r>
                    <w:rPr>
                      <w:color w:val="000000"/>
                      <w:sz w:val="21"/>
                    </w:rPr>
                    <w:t>100*50mm镀锌方通，立柱100*100mm镀锌方通，焊接打磨、喷黑色油漆</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70.00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看台抬高装置保护设施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双层</w:t>
                  </w:r>
                  <w:r>
                    <w:rPr>
                      <w:color w:val="000000"/>
                      <w:sz w:val="21"/>
                    </w:rPr>
                    <w:t>12mm夹胶超白玻璃</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70.00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沙盘看台抬高辅助设施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平面</w:t>
                  </w:r>
                  <w:r>
                    <w:rPr>
                      <w:color w:val="000000"/>
                      <w:sz w:val="21"/>
                    </w:rPr>
                    <w:t>100*50mm镀锌方通，立柱100*100mm镀锌方通，焊接打磨、喷黑色油漆</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沙盘看台抬高辅助保护设施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双层</w:t>
                  </w:r>
                  <w:r>
                    <w:rPr>
                      <w:color w:val="000000"/>
                      <w:sz w:val="21"/>
                    </w:rPr>
                    <w:t>12mm夹胶超白灰色烤漆玻璃</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24.00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沙盘看台抬高辅助设施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10mm厚U形钢槽焊接、打磨、喷黑色油漆</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35.00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沙盘看台抬高辅助防护设施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双层</w:t>
                  </w:r>
                  <w:r>
                    <w:rPr>
                      <w:color w:val="000000"/>
                      <w:sz w:val="21"/>
                    </w:rPr>
                    <w:t>12mm夹胶超白玻璃、黑色不锈钢边框</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42.00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8390"/>
                  <w:gridSpan w:val="8"/>
                  <w:tcBorders>
                    <w:top w:val="none" w:color="000000" w:sz="4"/>
                    <w:left w:val="single" w:color="000000" w:sz="4"/>
                    <w:bottom w:val="single" w:color="000000" w:sz="4"/>
                    <w:right w:val="single" w:color="000000" w:sz="4"/>
                  </w:tcBorders>
                  <w:vAlign w:val="top"/>
                </w:tcPr>
                <w:p>
                  <w:pPr>
                    <w:jc w:val="left"/>
                  </w:pPr>
                  <w:r>
                    <w:rPr>
                      <w:b/>
                      <w:color w:val="000000"/>
                      <w:sz w:val="21"/>
                    </w:rPr>
                    <w:t>总体空间格局（三楼）</w:t>
                  </w:r>
                </w:p>
              </w:tc>
            </w:tr>
            <w:tr>
              <w:tc>
                <w:tcPr>
                  <w:tcW w:type="dxa" w:w="722"/>
                  <w:tcBorders>
                    <w:top w:val="none" w:color="000000" w:sz="4"/>
                    <w:left w:val="single" w:color="000000" w:sz="4"/>
                    <w:bottom w:val="single" w:color="000000" w:sz="4"/>
                    <w:right w:val="single" w:color="000000" w:sz="4"/>
                  </w:tcBorders>
                  <w:vAlign w:val="top"/>
                </w:tcPr>
                <w:p>
                  <w:pPr>
                    <w:jc w:val="center"/>
                  </w:pPr>
                  <w:r>
                    <w:rPr>
                      <w:b/>
                      <w:color w:val="000000"/>
                      <w:sz w:val="21"/>
                    </w:rPr>
                    <w:t>类别</w:t>
                  </w:r>
                </w:p>
              </w:tc>
              <w:tc>
                <w:tcPr>
                  <w:tcW w:type="dxa" w:w="594"/>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206"/>
                  <w:tcBorders>
                    <w:top w:val="single" w:color="000000" w:sz="4"/>
                    <w:left w:val="none" w:color="000000" w:sz="4"/>
                    <w:bottom w:val="single" w:color="000000" w:sz="4"/>
                    <w:right w:val="single" w:color="000000" w:sz="4"/>
                  </w:tcBorders>
                  <w:vAlign w:val="top"/>
                </w:tcPr>
                <w:p>
                  <w:pPr>
                    <w:jc w:val="center"/>
                  </w:pPr>
                  <w:r>
                    <w:rPr>
                      <w:b/>
                      <w:color w:val="000000"/>
                      <w:sz w:val="21"/>
                    </w:rPr>
                    <w:t>设备名称</w:t>
                  </w:r>
                </w:p>
              </w:tc>
              <w:tc>
                <w:tcPr>
                  <w:tcW w:type="dxa" w:w="3168"/>
                  <w:gridSpan w:val="2"/>
                  <w:tcBorders>
                    <w:top w:val="single" w:color="000000" w:sz="4"/>
                    <w:left w:val="none" w:color="000000" w:sz="4"/>
                    <w:bottom w:val="single" w:color="000000" w:sz="4"/>
                    <w:right w:val="single" w:color="000000" w:sz="4"/>
                  </w:tcBorders>
                  <w:vAlign w:val="top"/>
                </w:tcPr>
                <w:p>
                  <w:pPr>
                    <w:jc w:val="center"/>
                  </w:pPr>
                  <w:r>
                    <w:rPr>
                      <w:b/>
                      <w:color w:val="000000"/>
                      <w:sz w:val="21"/>
                    </w:rPr>
                    <w:t>技术参数</w:t>
                  </w:r>
                  <w:r>
                    <w:rPr>
                      <w:b/>
                      <w:color w:val="000000"/>
                      <w:sz w:val="21"/>
                    </w:rPr>
                    <w:t>/项目特征描述</w:t>
                  </w:r>
                </w:p>
              </w:tc>
              <w:tc>
                <w:tcPr>
                  <w:tcW w:type="dxa" w:w="739"/>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197"/>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764"/>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722"/>
                  <w:vMerge w:val="restart"/>
                  <w:tcBorders>
                    <w:top w:val="none" w:color="000000" w:sz="4"/>
                    <w:left w:val="single" w:color="000000" w:sz="4"/>
                    <w:bottom w:val="none" w:color="000000" w:sz="4"/>
                    <w:right w:val="single" w:color="000000" w:sz="4"/>
                  </w:tcBorders>
                  <w:vAlign w:val="top"/>
                </w:tcPr>
                <w:p>
                  <w:pPr>
                    <w:jc w:val="center"/>
                  </w:pPr>
                  <w:r>
                    <w:rPr>
                      <w:color w:val="000000"/>
                      <w:sz w:val="21"/>
                    </w:rPr>
                    <w:t>配套设施</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城市开发沙盘异形配套设施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1、钢结构基础；</w:t>
                  </w:r>
                  <w:r>
                    <w:br/>
                  </w:r>
                  <w:r>
                    <w:rPr>
                      <w:color w:val="000000"/>
                      <w:sz w:val="21"/>
                    </w:rPr>
                    <w:t>2、阻燃板基层、高密度板面层；</w:t>
                  </w:r>
                  <w:r>
                    <w:br/>
                  </w:r>
                  <w:r>
                    <w:rPr>
                      <w:color w:val="000000"/>
                      <w:sz w:val="21"/>
                    </w:rPr>
                    <w:t>3、地面反光灯槽、喷涂白色油漆 ；</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35.00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三区三线圆形配套设施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1、钢结构基础；</w:t>
                  </w:r>
                  <w:r>
                    <w:br/>
                  </w:r>
                  <w:r>
                    <w:rPr>
                      <w:color w:val="000000"/>
                      <w:sz w:val="21"/>
                    </w:rPr>
                    <w:t>2、阻燃板基层、高密度板面层；</w:t>
                  </w:r>
                  <w:r>
                    <w:br/>
                  </w:r>
                  <w:r>
                    <w:rPr>
                      <w:color w:val="000000"/>
                      <w:sz w:val="21"/>
                    </w:rPr>
                    <w:t>3、喷涂白色油漆 ；</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9.00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城市更新沙盘椭圆配套设施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1、钢结构基础；</w:t>
                  </w:r>
                  <w:r>
                    <w:br/>
                  </w:r>
                  <w:r>
                    <w:rPr>
                      <w:color w:val="000000"/>
                      <w:sz w:val="21"/>
                    </w:rPr>
                    <w:t>2、阻燃板基层、高密度板面层；</w:t>
                  </w:r>
                  <w:r>
                    <w:br/>
                  </w:r>
                  <w:r>
                    <w:rPr>
                      <w:color w:val="000000"/>
                      <w:sz w:val="21"/>
                    </w:rPr>
                    <w:t>3、喷涂白色油漆 ；</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8390"/>
                  <w:gridSpan w:val="8"/>
                  <w:tcBorders>
                    <w:top w:val="none" w:color="000000" w:sz="4"/>
                    <w:left w:val="single" w:color="000000" w:sz="4"/>
                    <w:bottom w:val="single" w:color="000000" w:sz="4"/>
                    <w:right w:val="single" w:color="000000" w:sz="4"/>
                  </w:tcBorders>
                  <w:vAlign w:val="top"/>
                </w:tcPr>
                <w:p>
                  <w:pPr>
                    <w:jc w:val="left"/>
                  </w:pPr>
                  <w:r>
                    <w:rPr>
                      <w:b/>
                      <w:color w:val="000000"/>
                      <w:sz w:val="21"/>
                    </w:rPr>
                    <w:t>宜业新动脉（三楼）</w:t>
                  </w:r>
                </w:p>
              </w:tc>
            </w:tr>
            <w:tr>
              <w:tc>
                <w:tcPr>
                  <w:tcW w:type="dxa" w:w="722"/>
                  <w:tcBorders>
                    <w:top w:val="none" w:color="000000" w:sz="4"/>
                    <w:left w:val="single" w:color="000000" w:sz="4"/>
                    <w:bottom w:val="single" w:color="000000" w:sz="4"/>
                    <w:right w:val="single" w:color="000000" w:sz="4"/>
                  </w:tcBorders>
                  <w:vAlign w:val="top"/>
                </w:tcPr>
                <w:p>
                  <w:pPr>
                    <w:jc w:val="center"/>
                  </w:pPr>
                  <w:r>
                    <w:rPr>
                      <w:b/>
                      <w:color w:val="000000"/>
                      <w:sz w:val="21"/>
                    </w:rPr>
                    <w:t>类别</w:t>
                  </w:r>
                </w:p>
              </w:tc>
              <w:tc>
                <w:tcPr>
                  <w:tcW w:type="dxa" w:w="594"/>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206"/>
                  <w:tcBorders>
                    <w:top w:val="single" w:color="000000" w:sz="4"/>
                    <w:left w:val="none" w:color="000000" w:sz="4"/>
                    <w:bottom w:val="single" w:color="000000" w:sz="4"/>
                    <w:right w:val="single" w:color="000000" w:sz="4"/>
                  </w:tcBorders>
                  <w:vAlign w:val="top"/>
                </w:tcPr>
                <w:p>
                  <w:pPr>
                    <w:jc w:val="center"/>
                  </w:pPr>
                  <w:r>
                    <w:rPr>
                      <w:b/>
                      <w:color w:val="000000"/>
                      <w:sz w:val="21"/>
                    </w:rPr>
                    <w:t>设备名称</w:t>
                  </w:r>
                </w:p>
              </w:tc>
              <w:tc>
                <w:tcPr>
                  <w:tcW w:type="dxa" w:w="3168"/>
                  <w:gridSpan w:val="2"/>
                  <w:tcBorders>
                    <w:top w:val="single" w:color="000000" w:sz="4"/>
                    <w:left w:val="none" w:color="000000" w:sz="4"/>
                    <w:bottom w:val="single" w:color="000000" w:sz="4"/>
                    <w:right w:val="single" w:color="000000" w:sz="4"/>
                  </w:tcBorders>
                  <w:vAlign w:val="top"/>
                </w:tcPr>
                <w:p>
                  <w:pPr>
                    <w:jc w:val="center"/>
                  </w:pPr>
                  <w:r>
                    <w:rPr>
                      <w:b/>
                      <w:color w:val="000000"/>
                      <w:sz w:val="21"/>
                    </w:rPr>
                    <w:t>技术参数</w:t>
                  </w:r>
                  <w:r>
                    <w:rPr>
                      <w:b/>
                      <w:color w:val="000000"/>
                      <w:sz w:val="21"/>
                    </w:rPr>
                    <w:t>/项目特征描述</w:t>
                  </w:r>
                </w:p>
              </w:tc>
              <w:tc>
                <w:tcPr>
                  <w:tcW w:type="dxa" w:w="739"/>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197"/>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764"/>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722"/>
                  <w:tcBorders>
                    <w:top w:val="none" w:color="000000" w:sz="4"/>
                    <w:left w:val="single" w:color="000000" w:sz="4"/>
                    <w:bottom w:val="single" w:color="000000" w:sz="4"/>
                    <w:right w:val="single" w:color="000000" w:sz="4"/>
                  </w:tcBorders>
                  <w:vAlign w:val="top"/>
                </w:tcPr>
                <w:p>
                  <w:pPr>
                    <w:jc w:val="center"/>
                  </w:pPr>
                  <w:r>
                    <w:rPr>
                      <w:color w:val="000000"/>
                      <w:sz w:val="21"/>
                    </w:rPr>
                    <w:t>配套设施</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沙盘配套设施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1、钢结构基础；</w:t>
                  </w:r>
                  <w:r>
                    <w:br/>
                  </w:r>
                  <w:r>
                    <w:rPr>
                      <w:color w:val="000000"/>
                      <w:sz w:val="21"/>
                    </w:rPr>
                    <w:t>2、阻燃板基层、高密度板面层；</w:t>
                  </w:r>
                  <w:r>
                    <w:br/>
                  </w:r>
                  <w:r>
                    <w:rPr>
                      <w:color w:val="000000"/>
                      <w:sz w:val="21"/>
                    </w:rPr>
                    <w:t>3、喷涂白色油漆 ；</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764"/>
                  <w:tcBorders>
                    <w:top w:val="none" w:color="000000" w:sz="4"/>
                    <w:left w:val="none" w:color="000000" w:sz="4"/>
                    <w:bottom w:val="single" w:color="000000" w:sz="4"/>
                    <w:right w:val="single" w:color="000000" w:sz="4"/>
                  </w:tcBorders>
                  <w:vAlign w:val="top"/>
                </w:tcPr>
                <w:p>
                  <w:pPr>
                    <w:jc w:val="center"/>
                  </w:pPr>
                  <w:r>
                    <w:rPr>
                      <w:sz w:val="21"/>
                    </w:rPr>
                    <w:t xml:space="preserve"> </w:t>
                  </w:r>
                </w:p>
              </w:tc>
            </w:tr>
            <w:tr>
              <w:tc>
                <w:tcPr>
                  <w:tcW w:type="dxa" w:w="8390"/>
                  <w:gridSpan w:val="8"/>
                  <w:tcBorders>
                    <w:top w:val="none" w:color="000000" w:sz="4"/>
                    <w:left w:val="single" w:color="000000" w:sz="4"/>
                    <w:bottom w:val="single" w:color="000000" w:sz="4"/>
                    <w:right w:val="single" w:color="000000" w:sz="4"/>
                  </w:tcBorders>
                  <w:vAlign w:val="top"/>
                </w:tcPr>
                <w:p>
                  <w:pPr>
                    <w:jc w:val="left"/>
                  </w:pPr>
                  <w:r>
                    <w:rPr>
                      <w:b/>
                      <w:color w:val="000000"/>
                      <w:sz w:val="21"/>
                    </w:rPr>
                    <w:t>阳江建设区域（二楼）</w:t>
                  </w:r>
                </w:p>
              </w:tc>
            </w:tr>
            <w:tr>
              <w:tc>
                <w:tcPr>
                  <w:tcW w:type="dxa" w:w="722"/>
                  <w:tcBorders>
                    <w:top w:val="none" w:color="000000" w:sz="4"/>
                    <w:left w:val="single" w:color="000000" w:sz="4"/>
                    <w:bottom w:val="single" w:color="000000" w:sz="4"/>
                    <w:right w:val="single" w:color="000000" w:sz="4"/>
                  </w:tcBorders>
                  <w:vAlign w:val="top"/>
                </w:tcPr>
                <w:p>
                  <w:pPr>
                    <w:jc w:val="center"/>
                  </w:pPr>
                  <w:r>
                    <w:rPr>
                      <w:b/>
                      <w:color w:val="000000"/>
                      <w:sz w:val="21"/>
                    </w:rPr>
                    <w:t>类别</w:t>
                  </w:r>
                </w:p>
              </w:tc>
              <w:tc>
                <w:tcPr>
                  <w:tcW w:type="dxa" w:w="594"/>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206"/>
                  <w:tcBorders>
                    <w:top w:val="single" w:color="000000" w:sz="4"/>
                    <w:left w:val="none" w:color="000000" w:sz="4"/>
                    <w:bottom w:val="single" w:color="000000" w:sz="4"/>
                    <w:right w:val="single" w:color="000000" w:sz="4"/>
                  </w:tcBorders>
                  <w:vAlign w:val="top"/>
                </w:tcPr>
                <w:p>
                  <w:pPr>
                    <w:jc w:val="center"/>
                  </w:pPr>
                  <w:r>
                    <w:rPr>
                      <w:b/>
                      <w:color w:val="000000"/>
                      <w:sz w:val="21"/>
                    </w:rPr>
                    <w:t>设备名称</w:t>
                  </w:r>
                </w:p>
              </w:tc>
              <w:tc>
                <w:tcPr>
                  <w:tcW w:type="dxa" w:w="3168"/>
                  <w:gridSpan w:val="2"/>
                  <w:tcBorders>
                    <w:top w:val="single" w:color="000000" w:sz="4"/>
                    <w:left w:val="none" w:color="000000" w:sz="4"/>
                    <w:bottom w:val="single" w:color="000000" w:sz="4"/>
                    <w:right w:val="single" w:color="000000" w:sz="4"/>
                  </w:tcBorders>
                  <w:vAlign w:val="top"/>
                </w:tcPr>
                <w:p>
                  <w:pPr>
                    <w:jc w:val="center"/>
                  </w:pPr>
                  <w:r>
                    <w:rPr>
                      <w:b/>
                      <w:color w:val="000000"/>
                      <w:sz w:val="21"/>
                    </w:rPr>
                    <w:t>技术参数</w:t>
                  </w:r>
                  <w:r>
                    <w:rPr>
                      <w:b/>
                      <w:color w:val="000000"/>
                      <w:sz w:val="21"/>
                    </w:rPr>
                    <w:t>/项目特征描述</w:t>
                  </w:r>
                </w:p>
              </w:tc>
              <w:tc>
                <w:tcPr>
                  <w:tcW w:type="dxa" w:w="739"/>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197"/>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764"/>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722"/>
                  <w:vMerge w:val="restart"/>
                  <w:tcBorders>
                    <w:top w:val="none" w:color="000000" w:sz="4"/>
                    <w:left w:val="single" w:color="000000" w:sz="4"/>
                    <w:bottom w:val="none" w:color="000000" w:sz="4"/>
                    <w:right w:val="single" w:color="000000" w:sz="4"/>
                  </w:tcBorders>
                  <w:vAlign w:val="top"/>
                </w:tcPr>
                <w:p>
                  <w:pPr>
                    <w:jc w:val="center"/>
                  </w:pPr>
                  <w:r>
                    <w:rPr>
                      <w:color w:val="000000"/>
                      <w:sz w:val="21"/>
                    </w:rPr>
                    <w:t>配套设施</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沙盘配套设施</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1、钢结构基础；</w:t>
                  </w:r>
                  <w:r>
                    <w:br/>
                  </w:r>
                  <w:r>
                    <w:rPr>
                      <w:color w:val="000000"/>
                      <w:sz w:val="21"/>
                    </w:rPr>
                    <w:t>2、阻燃板基层、高密度板面层；</w:t>
                  </w:r>
                  <w:r>
                    <w:br/>
                  </w:r>
                  <w:r>
                    <w:rPr>
                      <w:color w:val="000000"/>
                      <w:sz w:val="21"/>
                    </w:rPr>
                    <w:t>3、地面反光灯槽、喷涂白色油漆 ；</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AR互动体验桌</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1、钢结构基础；</w:t>
                  </w:r>
                  <w:r>
                    <w:br/>
                  </w:r>
                  <w:r>
                    <w:rPr>
                      <w:color w:val="000000"/>
                      <w:sz w:val="21"/>
                    </w:rPr>
                    <w:t>2、阻燃板基层、高密度板面层；</w:t>
                  </w:r>
                  <w:r>
                    <w:br/>
                  </w:r>
                  <w:r>
                    <w:rPr>
                      <w:color w:val="000000"/>
                      <w:sz w:val="21"/>
                    </w:rPr>
                    <w:t>3、喷涂白色油漆 ；</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柱子造型树</w:t>
                  </w:r>
                </w:p>
              </w:tc>
              <w:tc>
                <w:tcPr>
                  <w:tcW w:type="dxa" w:w="3168"/>
                  <w:gridSpan w:val="2"/>
                  <w:tcBorders>
                    <w:top w:val="none" w:color="000000" w:sz="4"/>
                    <w:left w:val="none" w:color="000000" w:sz="4"/>
                    <w:bottom w:val="single" w:color="000000" w:sz="4"/>
                    <w:right w:val="single" w:color="000000" w:sz="4"/>
                  </w:tcBorders>
                  <w:vAlign w:val="top"/>
                </w:tcPr>
                <w:p>
                  <w:pPr>
                    <w:jc w:val="left"/>
                  </w:pPr>
                  <w:r>
                    <w:rPr>
                      <w:color w:val="000000"/>
                      <w:sz w:val="21"/>
                    </w:rPr>
                    <w:t>依设计效果定制、安装</w:t>
                  </w:r>
                </w:p>
              </w:tc>
              <w:tc>
                <w:tcPr>
                  <w:tcW w:type="dxa" w:w="739"/>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8390"/>
                  <w:gridSpan w:val="8"/>
                  <w:tcBorders>
                    <w:top w:val="none" w:color="000000" w:sz="4"/>
                    <w:left w:val="single" w:color="000000" w:sz="4"/>
                    <w:bottom w:val="single" w:color="000000" w:sz="4"/>
                    <w:right w:val="single" w:color="000000" w:sz="4"/>
                  </w:tcBorders>
                  <w:vAlign w:val="top"/>
                </w:tcPr>
                <w:p>
                  <w:pPr>
                    <w:jc w:val="left"/>
                  </w:pPr>
                  <w:r>
                    <w:rPr>
                      <w:b/>
                      <w:color w:val="000000"/>
                      <w:sz w:val="21"/>
                    </w:rPr>
                    <w:t>宜游新场景（二楼）</w:t>
                  </w:r>
                </w:p>
              </w:tc>
            </w:tr>
            <w:tr>
              <w:tc>
                <w:tcPr>
                  <w:tcW w:type="dxa" w:w="722"/>
                  <w:tcBorders>
                    <w:top w:val="none" w:color="000000" w:sz="4"/>
                    <w:left w:val="single" w:color="000000" w:sz="4"/>
                    <w:bottom w:val="single" w:color="000000" w:sz="4"/>
                    <w:right w:val="single" w:color="000000" w:sz="4"/>
                  </w:tcBorders>
                  <w:vAlign w:val="top"/>
                </w:tcPr>
                <w:p>
                  <w:pPr>
                    <w:jc w:val="center"/>
                  </w:pPr>
                  <w:r>
                    <w:rPr>
                      <w:b/>
                      <w:color w:val="000000"/>
                      <w:sz w:val="21"/>
                    </w:rPr>
                    <w:t>类别</w:t>
                  </w:r>
                </w:p>
              </w:tc>
              <w:tc>
                <w:tcPr>
                  <w:tcW w:type="dxa" w:w="594"/>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206"/>
                  <w:tcBorders>
                    <w:top w:val="single" w:color="000000" w:sz="4"/>
                    <w:left w:val="none" w:color="000000" w:sz="4"/>
                    <w:bottom w:val="single" w:color="000000" w:sz="4"/>
                    <w:right w:val="single" w:color="000000" w:sz="4"/>
                  </w:tcBorders>
                  <w:vAlign w:val="top"/>
                </w:tcPr>
                <w:p>
                  <w:pPr>
                    <w:jc w:val="center"/>
                  </w:pPr>
                  <w:r>
                    <w:rPr>
                      <w:b/>
                      <w:color w:val="000000"/>
                      <w:sz w:val="21"/>
                    </w:rPr>
                    <w:t>设备名称</w:t>
                  </w:r>
                </w:p>
              </w:tc>
              <w:tc>
                <w:tcPr>
                  <w:tcW w:type="dxa" w:w="3109"/>
                  <w:tcBorders>
                    <w:top w:val="single" w:color="000000" w:sz="4"/>
                    <w:left w:val="none" w:color="000000" w:sz="4"/>
                    <w:bottom w:val="single" w:color="000000" w:sz="4"/>
                    <w:right w:val="single" w:color="000000" w:sz="4"/>
                  </w:tcBorders>
                  <w:vAlign w:val="top"/>
                </w:tcPr>
                <w:p>
                  <w:pPr>
                    <w:jc w:val="center"/>
                  </w:pPr>
                  <w:r>
                    <w:rPr>
                      <w:b/>
                      <w:color w:val="000000"/>
                      <w:sz w:val="21"/>
                    </w:rPr>
                    <w:t>技术参数</w:t>
                  </w:r>
                  <w:r>
                    <w:rPr>
                      <w:b/>
                      <w:color w:val="000000"/>
                      <w:sz w:val="21"/>
                    </w:rPr>
                    <w:t>/项目特征描述</w:t>
                  </w:r>
                </w:p>
              </w:tc>
              <w:tc>
                <w:tcPr>
                  <w:tcW w:type="dxa" w:w="798"/>
                  <w:gridSpan w:val="2"/>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197"/>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764"/>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722"/>
                  <w:vMerge w:val="restart"/>
                  <w:tcBorders>
                    <w:top w:val="none" w:color="000000" w:sz="4"/>
                    <w:left w:val="single" w:color="000000" w:sz="4"/>
                    <w:bottom w:val="none" w:color="000000" w:sz="4"/>
                    <w:right w:val="single" w:color="000000" w:sz="4"/>
                  </w:tcBorders>
                  <w:vAlign w:val="top"/>
                </w:tcPr>
                <w:p>
                  <w:pPr>
                    <w:jc w:val="center"/>
                  </w:pPr>
                  <w:r>
                    <w:rPr>
                      <w:color w:val="000000"/>
                      <w:sz w:val="21"/>
                    </w:rPr>
                    <w:t>配套设施</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墙面木格栅主题艺术设施</w:t>
                  </w:r>
                </w:p>
              </w:tc>
              <w:tc>
                <w:tcPr>
                  <w:tcW w:type="dxa" w:w="3109"/>
                  <w:tcBorders>
                    <w:top w:val="none" w:color="000000" w:sz="4"/>
                    <w:left w:val="none" w:color="000000" w:sz="4"/>
                    <w:bottom w:val="single" w:color="000000" w:sz="4"/>
                    <w:right w:val="single" w:color="000000" w:sz="4"/>
                  </w:tcBorders>
                  <w:vAlign w:val="top"/>
                </w:tcPr>
                <w:p>
                  <w:pPr>
                    <w:jc w:val="left"/>
                  </w:pPr>
                  <w:r>
                    <w:rPr>
                      <w:color w:val="000000"/>
                      <w:sz w:val="21"/>
                    </w:rPr>
                    <w:t>依设计效果定制木格栅、安装</w:t>
                  </w:r>
                </w:p>
              </w:tc>
              <w:tc>
                <w:tcPr>
                  <w:tcW w:type="dxa" w:w="798"/>
                  <w:gridSpan w:val="2"/>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50.00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墙面木饰面主题艺术设施</w:t>
                  </w:r>
                </w:p>
              </w:tc>
              <w:tc>
                <w:tcPr>
                  <w:tcW w:type="dxa" w:w="3109"/>
                  <w:tcBorders>
                    <w:top w:val="none" w:color="000000" w:sz="4"/>
                    <w:left w:val="none" w:color="000000" w:sz="4"/>
                    <w:bottom w:val="single" w:color="000000" w:sz="4"/>
                    <w:right w:val="single" w:color="000000" w:sz="4"/>
                  </w:tcBorders>
                  <w:vAlign w:val="top"/>
                </w:tcPr>
                <w:p>
                  <w:pPr>
                    <w:jc w:val="left"/>
                  </w:pPr>
                  <w:r>
                    <w:rPr>
                      <w:color w:val="000000"/>
                      <w:sz w:val="21"/>
                    </w:rPr>
                    <w:t>依设计效果定制、安装</w:t>
                  </w:r>
                </w:p>
              </w:tc>
              <w:tc>
                <w:tcPr>
                  <w:tcW w:type="dxa" w:w="798"/>
                  <w:gridSpan w:val="2"/>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764"/>
                  <w:tcBorders>
                    <w:top w:val="none" w:color="000000" w:sz="4"/>
                    <w:left w:val="none" w:color="000000" w:sz="4"/>
                    <w:bottom w:val="single" w:color="000000" w:sz="4"/>
                    <w:right w:val="single" w:color="000000" w:sz="4"/>
                  </w:tcBorders>
                  <w:vAlign w:val="top"/>
                </w:tcPr>
                <w:p>
                  <w:pPr>
                    <w:jc w:val="center"/>
                  </w:pPr>
                </w:p>
              </w:tc>
            </w:tr>
            <w:tr>
              <w:tc>
                <w:tcPr>
                  <w:tcW w:type="dxa" w:w="722"/>
                  <w:vMerge/>
                  <w:tcBorders>
                    <w:top w:val="none" w:color="000000" w:sz="4"/>
                    <w:left w:val="singl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1206"/>
                  <w:tcBorders>
                    <w:top w:val="none" w:color="000000" w:sz="4"/>
                    <w:left w:val="none" w:color="000000" w:sz="4"/>
                    <w:bottom w:val="single" w:color="000000" w:sz="4"/>
                    <w:right w:val="single" w:color="000000" w:sz="4"/>
                  </w:tcBorders>
                  <w:vAlign w:val="top"/>
                </w:tcPr>
                <w:p>
                  <w:pPr>
                    <w:jc w:val="center"/>
                  </w:pPr>
                  <w:r>
                    <w:rPr>
                      <w:color w:val="000000"/>
                      <w:sz w:val="21"/>
                    </w:rPr>
                    <w:t>墙面白色主题艺术设施</w:t>
                  </w:r>
                </w:p>
              </w:tc>
              <w:tc>
                <w:tcPr>
                  <w:tcW w:type="dxa" w:w="3109"/>
                  <w:tcBorders>
                    <w:top w:val="none" w:color="000000" w:sz="4"/>
                    <w:left w:val="none" w:color="000000" w:sz="4"/>
                    <w:bottom w:val="single" w:color="000000" w:sz="4"/>
                    <w:right w:val="single" w:color="000000" w:sz="4"/>
                  </w:tcBorders>
                  <w:vAlign w:val="top"/>
                </w:tcPr>
                <w:p>
                  <w:pPr>
                    <w:jc w:val="left"/>
                  </w:pPr>
                  <w:r>
                    <w:rPr>
                      <w:color w:val="000000"/>
                      <w:sz w:val="21"/>
                    </w:rPr>
                    <w:t>依设计效果定制、白色主题艺术设施</w:t>
                  </w:r>
                </w:p>
              </w:tc>
              <w:tc>
                <w:tcPr>
                  <w:tcW w:type="dxa" w:w="798"/>
                  <w:gridSpan w:val="2"/>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97"/>
                  <w:tcBorders>
                    <w:top w:val="none" w:color="000000" w:sz="4"/>
                    <w:left w:val="none" w:color="000000" w:sz="4"/>
                    <w:bottom w:val="single" w:color="000000" w:sz="4"/>
                    <w:right w:val="single" w:color="000000" w:sz="4"/>
                  </w:tcBorders>
                  <w:vAlign w:val="top"/>
                </w:tcPr>
                <w:p>
                  <w:pPr>
                    <w:jc w:val="center"/>
                  </w:pPr>
                  <w:r>
                    <w:rPr>
                      <w:color w:val="000000"/>
                      <w:sz w:val="21"/>
                    </w:rPr>
                    <w:t>15.00</w:t>
                  </w:r>
                </w:p>
              </w:tc>
              <w:tc>
                <w:tcPr>
                  <w:tcW w:type="dxa" w:w="764"/>
                  <w:tcBorders>
                    <w:top w:val="none" w:color="000000" w:sz="4"/>
                    <w:left w:val="none" w:color="000000" w:sz="4"/>
                    <w:bottom w:val="single" w:color="000000" w:sz="4"/>
                    <w:right w:val="single" w:color="000000" w:sz="4"/>
                  </w:tcBorders>
                  <w:vAlign w:val="top"/>
                </w:tcPr>
                <w:p>
                  <w:pPr>
                    <w:jc w:val="center"/>
                  </w:pPr>
                </w:p>
              </w:tc>
            </w:tr>
          </w:tbl>
          <w:p/>
          <w:p>
            <w:r>
              <w:rPr>
                <w:color w:val="000000"/>
                <w:sz w:val="21"/>
              </w:rPr>
              <w:t>3.设备工程</w:t>
            </w:r>
          </w:p>
          <w:tbl>
            <w:tblPr>
              <w:tblBorders>
                <w:top w:val="none" w:color="000000" w:sz="4"/>
                <w:left w:val="none" w:color="000000" w:sz="4"/>
                <w:bottom w:val="none" w:color="000000" w:sz="4"/>
                <w:right w:val="none" w:color="000000" w:sz="4"/>
                <w:insideH w:val="none"/>
                <w:insideV w:val="none"/>
              </w:tblBorders>
            </w:tblPr>
            <w:tblGrid>
              <w:gridCol w:w="510"/>
              <w:gridCol w:w="353"/>
              <w:gridCol w:w="813"/>
              <w:gridCol w:w="2533"/>
              <w:gridCol w:w="420"/>
              <w:gridCol w:w="488"/>
              <w:gridCol w:w="482"/>
            </w:tblGrid>
            <w:tr>
              <w:tc>
                <w:tcPr>
                  <w:tcW w:type="dxa" w:w="510"/>
                  <w:tcBorders>
                    <w:top w:val="single" w:color="000000" w:sz="4"/>
                    <w:left w:val="single" w:color="000000" w:sz="4"/>
                    <w:bottom w:val="single" w:color="000000" w:sz="4"/>
                    <w:right w:val="single" w:color="000000" w:sz="4"/>
                  </w:tcBorders>
                  <w:vAlign w:val="top"/>
                </w:tcPr>
                <w:p>
                  <w:pPr>
                    <w:jc w:val="center"/>
                  </w:pPr>
                  <w:r>
                    <w:rPr>
                      <w:color w:val="000000"/>
                      <w:sz w:val="21"/>
                    </w:rPr>
                    <w:t>类别</w:t>
                  </w:r>
                </w:p>
              </w:tc>
              <w:tc>
                <w:tcPr>
                  <w:tcW w:type="dxa" w:w="35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813"/>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2533"/>
                  <w:tcBorders>
                    <w:top w:val="single" w:color="000000" w:sz="4"/>
                    <w:left w:val="none" w:color="000000" w:sz="4"/>
                    <w:bottom w:val="single" w:color="000000" w:sz="4"/>
                    <w:right w:val="single" w:color="000000" w:sz="4"/>
                  </w:tcBorders>
                  <w:vAlign w:val="top"/>
                </w:tcPr>
                <w:p>
                  <w:pPr>
                    <w:jc w:val="left"/>
                  </w:pPr>
                  <w:r>
                    <w:rPr>
                      <w:color w:val="000000"/>
                      <w:sz w:val="21"/>
                    </w:rPr>
                    <w:t>技术参数</w:t>
                  </w:r>
                  <w:r>
                    <w:rPr>
                      <w:color w:val="000000"/>
                      <w:sz w:val="21"/>
                    </w:rPr>
                    <w:t>/程序功能</w:t>
                  </w:r>
                </w:p>
              </w:tc>
              <w:tc>
                <w:tcPr>
                  <w:tcW w:type="dxa" w:w="420"/>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488"/>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482"/>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入口大门</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红外感应器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定制红外感应器</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控制器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定制感应门控制器</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总规沙盘、影院系统</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接收卡</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1.单卡最大带载分辨率 512×384@60Hz，支持亮度校正、快速亮暗线调节、3D、RGB 独立 Gamma 调节等功能。</w:t>
                  </w:r>
                  <w:r>
                    <w:br/>
                  </w:r>
                  <w:r>
                    <w:rPr>
                      <w:color w:val="000000"/>
                      <w:sz w:val="21"/>
                    </w:rPr>
                    <w:t>2.采用 16 个标准 HUB75E 接口进行通讯，具有高稳定性，最多支持 32 组 RGB 并行数据。</w:t>
                  </w:r>
                  <w:r>
                    <w:br/>
                  </w:r>
                  <w:r>
                    <w:rPr>
                      <w:color w:val="000000"/>
                      <w:sz w:val="21"/>
                    </w:rPr>
                    <w:t>3.采用千兆网口通信，可以连接PC。</w:t>
                  </w:r>
                  <w:r>
                    <w:br/>
                  </w:r>
                  <w:r>
                    <w:rPr>
                      <w:color w:val="000000"/>
                      <w:sz w:val="21"/>
                    </w:rPr>
                    <w:t>4.支持接收卡预存画面设置。</w:t>
                  </w:r>
                  <w:r>
                    <w:br/>
                  </w:r>
                  <w:r>
                    <w:rPr>
                      <w:color w:val="000000"/>
                      <w:sz w:val="21"/>
                    </w:rPr>
                    <w:t>5.支持温度、电压、网线通讯和视频源信号状态检测。</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张</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电源</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200W，4.5V，40A，室内超薄电源</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二合一处理器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1.产品支持双主控热备，当前主控异常后可以切换到备用主控工作，切换过程中电视墙画面无缝切换，无闪屏，无卡顿。</w:t>
                  </w:r>
                  <w:r>
                    <w:br/>
                  </w:r>
                  <w:r>
                    <w:rPr>
                      <w:color w:val="000000"/>
                      <w:sz w:val="21"/>
                    </w:rPr>
                    <w:t>2.产品输入板卡与输出板卡支持混插，具有≥8路HDMI输入源，≥20路HDMI输出源。</w:t>
                  </w:r>
                  <w:r>
                    <w:br/>
                  </w:r>
                  <w:r>
                    <w:rPr>
                      <w:color w:val="000000"/>
                      <w:sz w:val="21"/>
                    </w:rPr>
                    <w:t>3.产品输入视频分辨率支持4096*2160@30Hz、1920*1080@25Hz、1920*1080@30Hz、1920*1080@50Hz、1920*1080@60Hz、1920*1200@60Hz、3840*2160@30Hz、3840*2160@60Hz、4096*2160@30Hz、4096*2160@60Hz。</w:t>
                  </w:r>
                  <w:r>
                    <w:br/>
                  </w:r>
                  <w:r>
                    <w:rPr>
                      <w:color w:val="000000"/>
                      <w:sz w:val="21"/>
                    </w:rPr>
                    <w:t>4.产品信号从输入至输出延时≤10ms。支持裸流传输，YUV444格式传输。</w:t>
                  </w:r>
                  <w:r>
                    <w:br/>
                  </w:r>
                  <w:r>
                    <w:rPr>
                      <w:color w:val="000000"/>
                      <w:sz w:val="21"/>
                    </w:rPr>
                    <w:t>5.产品支持热插拔，在正常工作状态下，板卡插拔后，电视墙视频可自动恢复。</w:t>
                  </w:r>
                  <w:r>
                    <w:br/>
                  </w:r>
                  <w:r>
                    <w:rPr>
                      <w:color w:val="000000"/>
                      <w:sz w:val="21"/>
                    </w:rPr>
                    <w:t>6.产品支持最大8路4096*3840视频图像解码，实时解码延时≤200ms。</w:t>
                  </w:r>
                  <w:r>
                    <w:br/>
                  </w:r>
                  <w:r>
                    <w:rPr>
                      <w:color w:val="000000"/>
                      <w:sz w:val="21"/>
                    </w:rPr>
                    <w:t>7.产品具备LED发送板，支持信号直接发送至LED端，不通过发送卡。设备最大支持带载2亿像素电视墙。</w:t>
                  </w:r>
                  <w:r>
                    <w:br/>
                  </w:r>
                  <w:r>
                    <w:rPr>
                      <w:color w:val="000000"/>
                      <w:sz w:val="21"/>
                    </w:rPr>
                    <w:t>8.产品支持多客户端同时操作，布局内容实时同步。</w:t>
                  </w:r>
                  <w:r>
                    <w:br/>
                  </w:r>
                  <w:r>
                    <w:rPr>
                      <w:color w:val="000000"/>
                      <w:sz w:val="21"/>
                    </w:rPr>
                    <w:t>9.产品支持亮度、对比度、饱和度、锐度设置，图像位置上、下、左、右可调。</w:t>
                  </w:r>
                  <w:r>
                    <w:br/>
                  </w:r>
                  <w:r>
                    <w:rPr>
                      <w:color w:val="000000"/>
                      <w:sz w:val="21"/>
                    </w:rPr>
                    <w:t>10.产品支持对接入视频图像进行1/4/6/8/9/16/64画面分割显示。</w:t>
                  </w:r>
                  <w:r>
                    <w:br/>
                  </w:r>
                  <w:r>
                    <w:rPr>
                      <w:color w:val="000000"/>
                      <w:sz w:val="21"/>
                    </w:rPr>
                    <w:t>11.产品支持窗口叠加，支持调整叠加顺序，叠加窗口数≥32。支持设置窗口锁定，关闭所有窗口时，锁定窗口不关闭。</w:t>
                  </w:r>
                  <w:r>
                    <w:br/>
                  </w:r>
                  <w:r>
                    <w:rPr>
                      <w:color w:val="000000"/>
                      <w:sz w:val="21"/>
                    </w:rPr>
                    <w:t>12.支持底图叠加，最大支持叠加16384*8192分辨率的底图。</w:t>
                  </w:r>
                  <w:r>
                    <w:br/>
                  </w:r>
                  <w:r>
                    <w:rPr>
                      <w:color w:val="000000"/>
                      <w:sz w:val="21"/>
                    </w:rPr>
                    <w:t>13.支持一拖多功能，一路视频可同时被多路输出解码；支持对同一信号源在不同屏幕中进行开关、缩放、移动、切换、全屏、平铺操作。</w:t>
                  </w:r>
                  <w:r>
                    <w:br/>
                  </w:r>
                  <w:r>
                    <w:rPr>
                      <w:color w:val="000000"/>
                      <w:sz w:val="21"/>
                    </w:rPr>
                    <w:t>14.支持通过客户端对远程连接的设备进行实时抓屏，抓屏方式支持全屏抓屏和扩展屏抓屏。</w:t>
                  </w:r>
                  <w:r>
                    <w:br/>
                  </w:r>
                  <w:r>
                    <w:rPr>
                      <w:color w:val="000000"/>
                      <w:sz w:val="21"/>
                    </w:rPr>
                    <w:t>15.支持8个电视墙，支持在客户端可视化操作电视墙，客户端同步预览电视墙显示的视频画面，最大可预览64个画面。</w:t>
                  </w:r>
                  <w:r>
                    <w:br/>
                  </w:r>
                  <w:r>
                    <w:rPr>
                      <w:color w:val="000000"/>
                      <w:sz w:val="21"/>
                    </w:rPr>
                    <w:t>16.产品支持12路4K输入视频融合拼接功能。支持将窗口、底图、字符叠加信息保存成场景，可一键调用。</w:t>
                  </w:r>
                  <w:r>
                    <w:br/>
                  </w:r>
                  <w:r>
                    <w:rPr>
                      <w:color w:val="000000"/>
                      <w:sz w:val="21"/>
                    </w:rPr>
                    <w:t>17.支持电源备份，当一路电源模块出现异常时，系统可自动无缝切换到备用电源模块，电源切换过程中系统运行不受影响。</w:t>
                  </w:r>
                  <w:r>
                    <w:br/>
                  </w:r>
                  <w:r>
                    <w:rPr>
                      <w:color w:val="000000"/>
                      <w:sz w:val="21"/>
                    </w:rPr>
                    <w:t>18.支持可视化运维，实时显示内存使用量、内存总量、CPU使用率、机箱温度计异常报警。</w:t>
                  </w:r>
                  <w:r>
                    <w:br/>
                  </w:r>
                  <w:r>
                    <w:rPr>
                      <w:color w:val="000000"/>
                      <w:sz w:val="21"/>
                    </w:rPr>
                    <w:t>19.支持展示背板温度、单块解码板解码资源数。</w:t>
                  </w:r>
                  <w:r>
                    <w:br/>
                  </w:r>
                  <w:r>
                    <w:rPr>
                      <w:color w:val="000000"/>
                      <w:sz w:val="21"/>
                    </w:rPr>
                    <w:t>20.支持图形化展示机箱状态、板卡在线状态、板卡信号接入状态。</w:t>
                  </w:r>
                  <w:r>
                    <w:br/>
                  </w:r>
                  <w:r>
                    <w:rPr>
                      <w:color w:val="000000"/>
                      <w:sz w:val="21"/>
                    </w:rPr>
                    <w:t>21.支持自动保存断电前的运行参数，重新加电后可恢复到断电前状态。</w:t>
                  </w:r>
                  <w:r>
                    <w:br/>
                  </w:r>
                  <w:r>
                    <w:rPr>
                      <w:color w:val="000000"/>
                      <w:sz w:val="21"/>
                    </w:rPr>
                    <w:t>22.支持客户端搜索信号源，支持模糊检索，可查看信号源是否在线。信号源中断后，上线时自动恢复连接，网络直连环境下，回恢复连接时间≤3s。</w:t>
                  </w:r>
                  <w:r>
                    <w:br/>
                  </w:r>
                  <w:r>
                    <w:rPr>
                      <w:color w:val="000000"/>
                      <w:sz w:val="21"/>
                    </w:rPr>
                    <w:t>23.支持在客户端/IE浏览器下，设置密码时要求密码至少要求8位，并包含数字、大小写字母、特殊字符中的两种或两种以上组合。</w:t>
                  </w:r>
                  <w:r>
                    <w:br/>
                  </w:r>
                  <w:r>
                    <w:rPr>
                      <w:color w:val="000000"/>
                      <w:sz w:val="21"/>
                    </w:rPr>
                    <w:t>24.具有两个千兆网络接口，支持负载均衡、IP过滤控制，支持实时显示网络负载状态。</w:t>
                  </w:r>
                  <w:r>
                    <w:br/>
                  </w:r>
                  <w:r>
                    <w:rPr>
                      <w:color w:val="000000"/>
                      <w:sz w:val="21"/>
                    </w:rPr>
                    <w:t>25.支持智能去黑边，区域放大的画面实时处理功能。</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一体机支架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32寸一体机壁挂支架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城市形象</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接收卡</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1.单卡最大带载分辨率 512×384@60Hz，支持亮度校正、快速亮暗线调节、3D、RGB 独立 Gamma 调节等功能。</w:t>
                  </w:r>
                  <w:r>
                    <w:br/>
                  </w:r>
                  <w:r>
                    <w:rPr>
                      <w:color w:val="000000"/>
                      <w:sz w:val="21"/>
                    </w:rPr>
                    <w:t>2.采用 16 个标准 HUB75E 接口进行通讯，具有高稳定性，最多支持 32 组 RGB 并行数据。</w:t>
                  </w:r>
                  <w:r>
                    <w:br/>
                  </w:r>
                  <w:r>
                    <w:rPr>
                      <w:color w:val="000000"/>
                      <w:sz w:val="21"/>
                    </w:rPr>
                    <w:t>3.采用千兆网口通信，可以连接PC。</w:t>
                  </w:r>
                  <w:r>
                    <w:br/>
                  </w:r>
                  <w:r>
                    <w:rPr>
                      <w:color w:val="000000"/>
                      <w:sz w:val="21"/>
                    </w:rPr>
                    <w:t>4.支持接收卡预存画面设置。</w:t>
                  </w:r>
                  <w:r>
                    <w:br/>
                  </w:r>
                  <w:r>
                    <w:rPr>
                      <w:color w:val="000000"/>
                      <w:sz w:val="21"/>
                    </w:rPr>
                    <w:t>5.支持温度、电压、网线通讯和视频源信号状态检测。</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张</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电源</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200W，4.5V，40A，室内超薄电源</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二合一处理器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1.发送卡带载≥1040万像素。</w:t>
                  </w:r>
                  <w:r>
                    <w:br/>
                  </w:r>
                  <w:r>
                    <w:rPr>
                      <w:color w:val="000000"/>
                      <w:sz w:val="21"/>
                    </w:rPr>
                    <w:t>2.输入接口:HDMI 2.0  IN 2个、DVI IN 4个、Android IN1个、USB 2个、GenLock 1个、ETHERNET 1个、DEBUG 1个 输出接口:HDMI OUT 3个、DVI OUT 4个、网口 OUT 16个、3D OUT 1个、AUDIO OUT1个、GenLock 1个。</w:t>
                  </w:r>
                  <w:r>
                    <w:br/>
                  </w:r>
                  <w:r>
                    <w:rPr>
                      <w:color w:val="000000"/>
                      <w:sz w:val="21"/>
                    </w:rPr>
                    <w:t>3.内置一路HDMI安卓输入 1路HDMI 最大支持分辨率：4096*2160@60Hz 最小支持分辨率：600*600@30Hz 可自定义分辨率：极限宽度：8192，极限高度：4320  4路DVI 最大支持分辨率：1920*1200@60Hz 最小支持分辨率：600*600@30Hz 可自定义分辨率：极限宽度：3840，极限高度：2160。</w:t>
                  </w:r>
                  <w:r>
                    <w:br/>
                  </w:r>
                  <w:r>
                    <w:rPr>
                      <w:color w:val="000000"/>
                      <w:sz w:val="21"/>
                    </w:rPr>
                    <w:t>4.支持1路HDMI预监输出 最大分辨率1920*1080@60Hz 1路HDMI输出 最大分辨率4096*2160@60Hz 4路DVI输出 最大分辨率1920*1200@60Hz 16路网口  单网口带载65W，宽度范围：64~8192，高度范围：64~4320。</w:t>
                  </w:r>
                  <w:r>
                    <w:br/>
                  </w:r>
                  <w:r>
                    <w:rPr>
                      <w:color w:val="000000"/>
                      <w:sz w:val="21"/>
                    </w:rPr>
                    <w:t>5.可通过客户端、遥控器同时控制多台发送卡设备参数的调节。</w:t>
                  </w:r>
                  <w:r>
                    <w:br/>
                  </w:r>
                  <w:r>
                    <w:rPr>
                      <w:color w:val="000000"/>
                      <w:sz w:val="21"/>
                    </w:rPr>
                    <w:t>6.最大可8张发送卡级联通过自拼接可实现屏幕的拼接同步显示。</w:t>
                  </w:r>
                  <w:r>
                    <w:br/>
                  </w:r>
                  <w:r>
                    <w:rPr>
                      <w:color w:val="000000"/>
                      <w:sz w:val="21"/>
                    </w:rPr>
                    <w:t>7.支持添加图片、动画、音频、视频、文本、网页像材进行信息发布。</w:t>
                  </w:r>
                  <w:r>
                    <w:br/>
                  </w:r>
                  <w:r>
                    <w:rPr>
                      <w:color w:val="000000"/>
                      <w:sz w:val="21"/>
                    </w:rPr>
                    <w:t>8.支持PC客户端、遥控器、物理按键进行控制。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1"/>
                    </w:rPr>
                    <w:t>聚焦时刻、走进阳江</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75寸液晶电视</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电视</w:t>
                  </w:r>
                  <w:r>
                    <w:rPr>
                      <w:color w:val="000000"/>
                      <w:sz w:val="21"/>
                    </w:rPr>
                    <w:t>75A3D 75英寸</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1"/>
                    </w:rPr>
                    <w:t>发展策略</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75寸液晶电视</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电视</w:t>
                  </w:r>
                  <w:r>
                    <w:rPr>
                      <w:color w:val="000000"/>
                      <w:sz w:val="21"/>
                    </w:rPr>
                    <w:t>75A3D 75英寸</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left"/>
                  </w:pPr>
                  <w:r>
                    <w:rPr>
                      <w:color w:val="000000"/>
                      <w:sz w:val="21"/>
                    </w:rPr>
                    <w:t>城市发展轨迹</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壁挂支架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55寸一体机液压壁挂支架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left"/>
                  </w:pPr>
                  <w:r>
                    <w:rPr>
                      <w:color w:val="000000"/>
                      <w:sz w:val="21"/>
                    </w:rPr>
                    <w:t>城市发展定位</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标注壁挂支架</w:t>
                  </w:r>
                </w:p>
              </w:tc>
              <w:tc>
                <w:tcPr>
                  <w:tcW w:type="dxa" w:w="2533"/>
                  <w:tcBorders>
                    <w:top w:val="none" w:color="000000" w:sz="4"/>
                    <w:left w:val="none" w:color="000000" w:sz="4"/>
                    <w:bottom w:val="single" w:color="000000" w:sz="4"/>
                    <w:right w:val="single" w:color="000000" w:sz="4"/>
                  </w:tcBorders>
                  <w:vAlign w:val="top"/>
                </w:tcPr>
                <w:p>
                  <w:pPr>
                    <w:jc w:val="both"/>
                  </w:pPr>
                  <w:r>
                    <w:rPr>
                      <w:color w:val="000000"/>
                      <w:sz w:val="21"/>
                    </w:rPr>
                    <w:t>55寸一体机壁挂支架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1"/>
                    </w:rPr>
                    <w:t>辅材</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bottom"/>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一核三带六区</w:t>
                  </w:r>
                </w:p>
              </w:tc>
              <w:tc>
                <w:tcPr>
                  <w:tcW w:type="dxa" w:w="353"/>
                  <w:vMerge w:val="restart"/>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vMerge w:val="restart"/>
                  <w:tcBorders>
                    <w:top w:val="none" w:color="000000" w:sz="4"/>
                    <w:left w:val="none" w:color="000000" w:sz="4"/>
                    <w:bottom w:val="single" w:color="000000" w:sz="4"/>
                    <w:right w:val="single" w:color="000000" w:sz="4"/>
                  </w:tcBorders>
                  <w:vAlign w:val="top"/>
                </w:tcPr>
                <w:p>
                  <w:pPr>
                    <w:jc w:val="center"/>
                  </w:pPr>
                  <w:r>
                    <w:rPr>
                      <w:color w:val="000000"/>
                      <w:sz w:val="21"/>
                    </w:rPr>
                    <w:t>激光工程投影</w:t>
                  </w:r>
                </w:p>
              </w:tc>
              <w:tc>
                <w:tcPr>
                  <w:tcW w:type="dxa" w:w="2533"/>
                  <w:vMerge w:val="restart"/>
                  <w:tcBorders>
                    <w:top w:val="none" w:color="000000" w:sz="4"/>
                    <w:left w:val="none" w:color="000000" w:sz="4"/>
                    <w:bottom w:val="single" w:color="000000" w:sz="4"/>
                    <w:right w:val="single" w:color="000000" w:sz="4"/>
                  </w:tcBorders>
                  <w:vAlign w:val="top"/>
                </w:tcPr>
                <w:p>
                  <w:pPr>
                    <w:jc w:val="left"/>
                  </w:pPr>
                  <w:r>
                    <w:rPr>
                      <w:color w:val="000000"/>
                      <w:sz w:val="21"/>
                    </w:rPr>
                    <w:t>光源：激光</w:t>
                  </w:r>
                </w:p>
                <w:p>
                  <w:pPr>
                    <w:jc w:val="left"/>
                  </w:pPr>
                  <w:r>
                    <w:rPr>
                      <w:color w:val="000000"/>
                      <w:sz w:val="21"/>
                    </w:rPr>
                    <w:t>投影技术</w:t>
                  </w:r>
                  <w:r>
                    <w:rPr>
                      <w:color w:val="000000"/>
                      <w:sz w:val="21"/>
                    </w:rPr>
                    <w:t>:3LCD，液晶板尺寸≥0.64英寸；</w:t>
                  </w:r>
                </w:p>
                <w:p>
                  <w:pPr>
                    <w:jc w:val="left"/>
                  </w:pPr>
                  <w:r>
                    <w:rPr>
                      <w:color w:val="000000"/>
                      <w:sz w:val="21"/>
                    </w:rPr>
                    <w:t>中心亮度</w:t>
                  </w:r>
                  <w:r>
                    <w:rPr>
                      <w:color w:val="000000"/>
                      <w:sz w:val="21"/>
                    </w:rPr>
                    <w:t>≥6600流明，标准亮度≥6200流明；</w:t>
                  </w:r>
                </w:p>
                <w:p>
                  <w:pPr>
                    <w:jc w:val="left"/>
                  </w:pPr>
                  <w:r>
                    <w:rPr>
                      <w:color w:val="000000"/>
                      <w:sz w:val="21"/>
                    </w:rPr>
                    <w:t>对比度</w:t>
                  </w:r>
                  <w:r>
                    <w:rPr>
                      <w:color w:val="000000"/>
                      <w:sz w:val="21"/>
                    </w:rPr>
                    <w:t>≥3000000：1；</w:t>
                  </w:r>
                </w:p>
                <w:p>
                  <w:pPr>
                    <w:jc w:val="left"/>
                  </w:pPr>
                  <w:r>
                    <w:rPr>
                      <w:color w:val="000000"/>
                      <w:sz w:val="21"/>
                    </w:rPr>
                    <w:t>标准分辨率</w:t>
                  </w:r>
                  <w:r>
                    <w:rPr>
                      <w:color w:val="000000"/>
                      <w:sz w:val="21"/>
                    </w:rPr>
                    <w:t>1920*1200（WUXGA）；</w:t>
                  </w:r>
                </w:p>
                <w:p>
                  <w:pPr>
                    <w:jc w:val="left"/>
                  </w:pPr>
                  <w:r>
                    <w:rPr>
                      <w:color w:val="000000"/>
                      <w:sz w:val="21"/>
                    </w:rPr>
                    <w:t>整机功耗</w:t>
                  </w:r>
                  <w:r>
                    <w:rPr>
                      <w:color w:val="000000"/>
                      <w:sz w:val="21"/>
                    </w:rPr>
                    <w:t>≤370W，节能模式下待机功耗≤0.4W；</w:t>
                  </w:r>
                </w:p>
                <w:p>
                  <w:pPr>
                    <w:jc w:val="left"/>
                  </w:pPr>
                  <w:r>
                    <w:rPr>
                      <w:color w:val="000000"/>
                      <w:sz w:val="21"/>
                    </w:rPr>
                    <w:t>光源使用周期</w:t>
                  </w:r>
                  <w:r>
                    <w:rPr>
                      <w:color w:val="000000"/>
                      <w:sz w:val="21"/>
                    </w:rPr>
                    <w:t>≥20000小时 ，过滤网使用周期长达20000小时；</w:t>
                  </w:r>
                </w:p>
                <w:p>
                  <w:pPr>
                    <w:jc w:val="left"/>
                  </w:pPr>
                  <w:r>
                    <w:rPr>
                      <w:color w:val="000000"/>
                      <w:sz w:val="21"/>
                    </w:rPr>
                    <w:t>镜头：手动变焦</w:t>
                  </w:r>
                  <w:r>
                    <w:rPr>
                      <w:color w:val="000000"/>
                      <w:sz w:val="21"/>
                    </w:rPr>
                    <w:t>≥1.6倍，投射比：1.09-1.77:1；</w:t>
                  </w:r>
                </w:p>
                <w:p>
                  <w:pPr>
                    <w:jc w:val="left"/>
                  </w:pPr>
                  <w:r>
                    <w:rPr>
                      <w:color w:val="000000"/>
                      <w:sz w:val="21"/>
                    </w:rPr>
                    <w:t>光轴移动：垂直位移</w:t>
                  </w:r>
                  <w:r>
                    <w:rPr>
                      <w:color w:val="000000"/>
                      <w:sz w:val="21"/>
                    </w:rPr>
                    <w:t>≥+44%；水平位移≥±20%；</w:t>
                  </w:r>
                </w:p>
                <w:p>
                  <w:pPr>
                    <w:jc w:val="left"/>
                  </w:pPr>
                  <w:r>
                    <w:rPr>
                      <w:color w:val="000000"/>
                      <w:sz w:val="21"/>
                    </w:rPr>
                    <w:t>内置扬声器</w:t>
                  </w:r>
                  <w:r>
                    <w:rPr>
                      <w:color w:val="000000"/>
                      <w:sz w:val="21"/>
                    </w:rPr>
                    <w:t>≥10W；</w:t>
                  </w:r>
                </w:p>
                <w:p>
                  <w:pPr>
                    <w:jc w:val="left"/>
                  </w:pPr>
                  <w:r>
                    <w:rPr>
                      <w:color w:val="000000"/>
                      <w:sz w:val="21"/>
                    </w:rPr>
                    <w:t>机器重量</w:t>
                  </w:r>
                  <w:r>
                    <w:rPr>
                      <w:color w:val="000000"/>
                      <w:sz w:val="21"/>
                    </w:rPr>
                    <w:t>≤7.2KG；</w:t>
                  </w:r>
                </w:p>
                <w:p>
                  <w:pPr>
                    <w:jc w:val="left"/>
                  </w:pPr>
                  <w:r>
                    <w:rPr>
                      <w:color w:val="000000"/>
                      <w:sz w:val="21"/>
                    </w:rPr>
                    <w:t>黑色机身</w:t>
                  </w:r>
                </w:p>
                <w:p>
                  <w:pPr>
                    <w:jc w:val="left"/>
                  </w:pPr>
                  <w:r>
                    <w:rPr>
                      <w:color w:val="000000"/>
                      <w:sz w:val="21"/>
                    </w:rPr>
                    <w:t>接口：</w:t>
                  </w:r>
                </w:p>
                <w:p>
                  <w:pPr>
                    <w:jc w:val="left"/>
                  </w:pPr>
                  <w:r>
                    <w:rPr>
                      <w:color w:val="000000"/>
                      <w:sz w:val="21"/>
                    </w:rPr>
                    <w:t>RGB IN*2，HDMI*2，RJ45*1，RS-232C*1，VIDEO*1，音频输入*2，音频输出*1，USB A*1（用于记忆浏览、无线投影），DIGIAL LINK*1；</w:t>
                  </w:r>
                </w:p>
                <w:p>
                  <w:pPr>
                    <w:jc w:val="left"/>
                  </w:pPr>
                  <w:r>
                    <w:rPr>
                      <w:color w:val="000000"/>
                      <w:sz w:val="21"/>
                    </w:rPr>
                    <w:t>功能特点：</w:t>
                  </w:r>
                </w:p>
                <w:p>
                  <w:pPr>
                    <w:jc w:val="left"/>
                  </w:pPr>
                  <w:r>
                    <w:rPr>
                      <w:color w:val="000000"/>
                      <w:sz w:val="21"/>
                    </w:rPr>
                    <w:t>全中文机器面板与遥控器；</w:t>
                  </w:r>
                </w:p>
                <w:p>
                  <w:pPr>
                    <w:jc w:val="left"/>
                  </w:pPr>
                  <w:r>
                    <w:rPr>
                      <w:color w:val="000000"/>
                      <w:sz w:val="21"/>
                    </w:rPr>
                    <w:t>垂直</w:t>
                  </w:r>
                  <w:r>
                    <w:rPr>
                      <w:color w:val="000000"/>
                      <w:sz w:val="21"/>
                    </w:rPr>
                    <w:t>±25°、水平±35°梯形校正功能，四角梯形校正功能；</w:t>
                  </w:r>
                </w:p>
                <w:p>
                  <w:pPr>
                    <w:jc w:val="left"/>
                  </w:pPr>
                  <w:r>
                    <w:rPr>
                      <w:color w:val="000000"/>
                      <w:sz w:val="21"/>
                    </w:rPr>
                    <w:t>曲面校正功能，可以对投影到曲面屏幕上出现的桶状和枕状变形进行调节；</w:t>
                  </w:r>
                </w:p>
                <w:p>
                  <w:pPr>
                    <w:jc w:val="left"/>
                  </w:pPr>
                  <w:r>
                    <w:rPr>
                      <w:color w:val="000000"/>
                      <w:sz w:val="21"/>
                    </w:rPr>
                    <w:t>强光感应功能，投影机内置光线传感器可以实时测量房间亮度，并实时调节投影图像的色调和亮度，以适应周围照明条件；</w:t>
                  </w:r>
                </w:p>
                <w:p>
                  <w:pPr>
                    <w:jc w:val="left"/>
                  </w:pPr>
                  <w:r>
                    <w:rPr>
                      <w:color w:val="000000"/>
                      <w:sz w:val="21"/>
                    </w:rPr>
                    <w:t>支持</w:t>
                  </w:r>
                  <w:r>
                    <w:rPr>
                      <w:color w:val="000000"/>
                      <w:sz w:val="21"/>
                    </w:rPr>
                    <w:t>DIGITAL LINK和4K信号输入；</w:t>
                  </w:r>
                </w:p>
                <w:p>
                  <w:pPr>
                    <w:jc w:val="left"/>
                  </w:pPr>
                  <w:r>
                    <w:rPr>
                      <w:color w:val="000000"/>
                      <w:sz w:val="21"/>
                    </w:rPr>
                    <w:t>自动输入信号搜索；</w:t>
                  </w:r>
                </w:p>
                <w:p>
                  <w:pPr>
                    <w:jc w:val="left"/>
                  </w:pPr>
                  <w:r>
                    <w:rPr>
                      <w:color w:val="000000"/>
                      <w:sz w:val="21"/>
                    </w:rPr>
                    <w:t>快速开机，直接关机、断电保护；</w:t>
                  </w:r>
                </w:p>
                <w:p>
                  <w:pPr>
                    <w:jc w:val="left"/>
                  </w:pPr>
                  <w:r>
                    <w:rPr>
                      <w:color w:val="000000"/>
                      <w:sz w:val="21"/>
                    </w:rPr>
                    <w:t>彩色版和黑板模式，可在不同颜色墙体</w:t>
                  </w:r>
                  <w:r>
                    <w:rPr>
                      <w:color w:val="000000"/>
                      <w:sz w:val="21"/>
                    </w:rPr>
                    <w:t>/幕布进行投影功能；</w:t>
                  </w:r>
                </w:p>
                <w:p>
                  <w:pPr>
                    <w:jc w:val="left"/>
                  </w:pPr>
                  <w:r>
                    <w:rPr>
                      <w:color w:val="000000"/>
                      <w:sz w:val="21"/>
                    </w:rPr>
                    <w:t>记忆卡浏览功能；</w:t>
                  </w:r>
                </w:p>
                <w:p>
                  <w:pPr>
                    <w:jc w:val="left"/>
                  </w:pPr>
                  <w:r>
                    <w:rPr>
                      <w:color w:val="000000"/>
                      <w:sz w:val="21"/>
                    </w:rPr>
                    <w:t>可选配无线投影；</w:t>
                  </w:r>
                </w:p>
                <w:p>
                  <w:pPr>
                    <w:jc w:val="left"/>
                  </w:pPr>
                  <w:r>
                    <w:rPr>
                      <w:color w:val="000000"/>
                      <w:sz w:val="21"/>
                    </w:rPr>
                    <w:t>快门功能；</w:t>
                  </w:r>
                </w:p>
                <w:p>
                  <w:pPr>
                    <w:jc w:val="left"/>
                  </w:pPr>
                  <w:r>
                    <w:rPr>
                      <w:color w:val="000000"/>
                      <w:sz w:val="21"/>
                    </w:rPr>
                    <w:t>支持</w:t>
                  </w:r>
                  <w:r>
                    <w:rPr>
                      <w:color w:val="000000"/>
                      <w:sz w:val="21"/>
                    </w:rPr>
                    <w:t>360°全向投影（正投、吊装、背投、竖投、斜投、侧投）；</w:t>
                  </w:r>
                </w:p>
                <w:p>
                  <w:pPr>
                    <w:jc w:val="left"/>
                  </w:pPr>
                  <w:r>
                    <w:rPr>
                      <w:color w:val="000000"/>
                      <w:sz w:val="21"/>
                    </w:rPr>
                    <w:t>附带免费视频显示设备监控软件</w:t>
                  </w:r>
                </w:p>
              </w:tc>
              <w:tc>
                <w:tcPr>
                  <w:tcW w:type="dxa" w:w="420"/>
                  <w:vMerge w:val="restart"/>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vMerge w:val="restart"/>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vMerge w:val="restart"/>
                  <w:tcBorders>
                    <w:top w:val="none" w:color="000000" w:sz="4"/>
                    <w:left w:val="none" w:color="000000" w:sz="4"/>
                    <w:bottom w:val="single" w:color="000000" w:sz="4"/>
                    <w:right w:val="single" w:color="000000" w:sz="4"/>
                  </w:tcBorders>
                  <w:vAlign w:val="top"/>
                </w:tcPr>
                <w:p>
                  <w:pPr>
                    <w:jc w:val="center"/>
                  </w:pPr>
                </w:p>
              </w:tc>
            </w:tr>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原装短焦镜头</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原装超短选装</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投影吊架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工程投影吊架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HDMI传输器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 xml:space="preserve">HDMI视频延长放大器(2K)                                </w:t>
                  </w:r>
                  <w:r>
                    <w:br/>
                  </w:r>
                  <w:r>
                    <w:rPr>
                      <w:color w:val="000000"/>
                      <w:sz w:val="21"/>
                    </w:rPr>
                    <w:t>采用</w:t>
                  </w:r>
                  <w:r>
                    <w:rPr>
                      <w:color w:val="000000"/>
                      <w:sz w:val="21"/>
                    </w:rPr>
                    <w:t>HDBase-T技术，全数字，无压缩、无延时传输；</w:t>
                  </w:r>
                  <w:r>
                    <w:br/>
                  </w:r>
                  <w:r>
                    <w:rPr>
                      <w:color w:val="000000"/>
                      <w:sz w:val="21"/>
                    </w:rPr>
                    <w:t>传输速率高达</w:t>
                  </w:r>
                  <w:r>
                    <w:rPr>
                      <w:color w:val="000000"/>
                      <w:sz w:val="21"/>
                    </w:rPr>
                    <w:t>10Gbps；</w:t>
                  </w:r>
                  <w:r>
                    <w:br/>
                  </w:r>
                  <w:r>
                    <w:rPr>
                      <w:color w:val="000000"/>
                      <w:sz w:val="21"/>
                    </w:rPr>
                    <w:t>最高分辨率</w:t>
                  </w:r>
                  <w:r>
                    <w:rPr>
                      <w:color w:val="000000"/>
                      <w:sz w:val="21"/>
                    </w:rPr>
                    <w:t>4K×2K；</w:t>
                  </w:r>
                  <w:r>
                    <w:br/>
                  </w:r>
                  <w:r>
                    <w:rPr>
                      <w:color w:val="000000"/>
                      <w:sz w:val="21"/>
                    </w:rPr>
                    <w:t>支持</w:t>
                  </w:r>
                  <w:r>
                    <w:rPr>
                      <w:color w:val="000000"/>
                      <w:sz w:val="21"/>
                    </w:rPr>
                    <w:t>HDMI1.4及3D；</w:t>
                  </w:r>
                  <w:r>
                    <w:br/>
                  </w:r>
                  <w:r>
                    <w:rPr>
                      <w:color w:val="000000"/>
                      <w:sz w:val="21"/>
                    </w:rPr>
                    <w:t>支持</w:t>
                  </w:r>
                  <w:r>
                    <w:rPr>
                      <w:color w:val="000000"/>
                      <w:sz w:val="21"/>
                    </w:rPr>
                    <w:t>HDCP标准；</w:t>
                  </w:r>
                  <w:r>
                    <w:br/>
                  </w:r>
                  <w:r>
                    <w:rPr>
                      <w:color w:val="000000"/>
                      <w:sz w:val="21"/>
                    </w:rPr>
                    <w:t>兼容</w:t>
                  </w:r>
                  <w:r>
                    <w:rPr>
                      <w:color w:val="000000"/>
                      <w:sz w:val="21"/>
                    </w:rPr>
                    <w:t>DVI信号；</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雷达感应</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雷达交互感应器</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三区三线</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接收卡</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1.单卡最大带载分辨率 512×384@60Hz，支持亮度校正、快速亮暗线调节、3D、RGB 独立 Gamma 调节等功能。</w:t>
                  </w:r>
                  <w:r>
                    <w:br/>
                  </w:r>
                  <w:r>
                    <w:rPr>
                      <w:color w:val="000000"/>
                      <w:sz w:val="21"/>
                    </w:rPr>
                    <w:t>2.采用 16 个标准 HUB75E 接口进行通讯，具有高稳定性，最多支持 32 组 RGB 并行数据。</w:t>
                  </w:r>
                  <w:r>
                    <w:br/>
                  </w:r>
                  <w:r>
                    <w:rPr>
                      <w:color w:val="000000"/>
                      <w:sz w:val="21"/>
                    </w:rPr>
                    <w:t>3.采用千兆网口通信，可以连接PC。</w:t>
                  </w:r>
                  <w:r>
                    <w:br/>
                  </w:r>
                  <w:r>
                    <w:rPr>
                      <w:color w:val="000000"/>
                      <w:sz w:val="21"/>
                    </w:rPr>
                    <w:t>4.支持接收卡预存画面设置。</w:t>
                  </w:r>
                  <w:r>
                    <w:br/>
                  </w:r>
                  <w:r>
                    <w:rPr>
                      <w:color w:val="000000"/>
                      <w:sz w:val="21"/>
                    </w:rPr>
                    <w:t>5.支持温度、电压、网线通讯和视频源信号状态检测。</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张</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电源</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200W，4.5V，40A，室内超薄电源</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二合一处理器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1.发送卡带载≥1040万像素。</w:t>
                  </w:r>
                  <w:r>
                    <w:br/>
                  </w:r>
                  <w:r>
                    <w:rPr>
                      <w:color w:val="000000"/>
                      <w:sz w:val="21"/>
                    </w:rPr>
                    <w:t>2.输入接口:HDMI 2.0  IN 2个、DVI IN 4个、Android IN1个、USB 2个、GenLock 1个、ETHERNET 1个、DEBUG 1个 输出接口:HDMI OUT 3个、DVI OUT 4个、网口 OUT 16个、3D OUT 1个、AUDIO OUT1个、GenLock 1个。</w:t>
                  </w:r>
                  <w:r>
                    <w:br/>
                  </w:r>
                  <w:r>
                    <w:rPr>
                      <w:color w:val="000000"/>
                      <w:sz w:val="21"/>
                    </w:rPr>
                    <w:t>3.内置一路HDMI安卓输入 1路HDMI 最大支持分辨率：4096*2160@60Hz 最小支持分辨率：600*600@30Hz 可自定义分辨率：极限宽度：8192，极限高度：4320  4路DVI 最大支持分辨率：1920*1200@60Hz 最小支持分辨率：600*600@30Hz 可自定义分辨率：极限宽度：3840，极限高度：2160。</w:t>
                  </w:r>
                  <w:r>
                    <w:br/>
                  </w:r>
                  <w:r>
                    <w:rPr>
                      <w:color w:val="000000"/>
                      <w:sz w:val="21"/>
                    </w:rPr>
                    <w:t>4.支持1路HDMI预监输出 最大分辨率1920*1080@60Hz 1路HDMI输出 最大分辨率4096*2160@60Hz 4路DVI输出 最大分辨率1920*1200@60Hz 16路网口  单网口带载65W，宽度范围：64~8192，高度范围：64~4320。</w:t>
                  </w:r>
                  <w:r>
                    <w:br/>
                  </w:r>
                  <w:r>
                    <w:rPr>
                      <w:color w:val="000000"/>
                      <w:sz w:val="21"/>
                    </w:rPr>
                    <w:t>5.可通过客户端、遥控器同时控制多台发送卡设备参数的调节。</w:t>
                  </w:r>
                  <w:r>
                    <w:br/>
                  </w:r>
                  <w:r>
                    <w:rPr>
                      <w:color w:val="000000"/>
                      <w:sz w:val="21"/>
                    </w:rPr>
                    <w:t>6.最大可8张发送卡级联通过自拼接可实现屏幕的拼接同步显示。</w:t>
                  </w:r>
                  <w:r>
                    <w:br/>
                  </w:r>
                  <w:r>
                    <w:rPr>
                      <w:color w:val="000000"/>
                      <w:sz w:val="21"/>
                    </w:rPr>
                    <w:t>7.支持添加图片、动画、音频、视频、文本、网页像材进行信息发布。</w:t>
                  </w:r>
                  <w:r>
                    <w:br/>
                  </w:r>
                  <w:r>
                    <w:rPr>
                      <w:color w:val="000000"/>
                      <w:sz w:val="21"/>
                    </w:rPr>
                    <w:t>8.支持PC客户端、遥控器、物理按键进行控制。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产业空间规划</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接收卡</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1.单卡最大带载分辨率 512×384@60Hz，支持亮度校正、快速亮暗线调节、3D、RGB 独立 Gamma 调节等功能。</w:t>
                  </w:r>
                  <w:r>
                    <w:br/>
                  </w:r>
                  <w:r>
                    <w:rPr>
                      <w:color w:val="000000"/>
                      <w:sz w:val="21"/>
                    </w:rPr>
                    <w:t>2.采用 16 个标准 HUB75E 接口进行通讯，具有高稳定性，最多支持 32 组 RGB 并行数据。</w:t>
                  </w:r>
                  <w:r>
                    <w:br/>
                  </w:r>
                  <w:r>
                    <w:rPr>
                      <w:color w:val="000000"/>
                      <w:sz w:val="21"/>
                    </w:rPr>
                    <w:t>3.采用千兆网口通信，可以连接PC。</w:t>
                  </w:r>
                  <w:r>
                    <w:br/>
                  </w:r>
                  <w:r>
                    <w:rPr>
                      <w:color w:val="000000"/>
                      <w:sz w:val="21"/>
                    </w:rPr>
                    <w:t>4.支持接收卡预存画面设置。</w:t>
                  </w:r>
                  <w:r>
                    <w:br/>
                  </w:r>
                  <w:r>
                    <w:rPr>
                      <w:color w:val="000000"/>
                      <w:sz w:val="21"/>
                    </w:rPr>
                    <w:t>5.支持温度、电压、网线通讯和视频源信号状态检测。</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张</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55</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电源</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200W，4.5V，40A，室内超薄电源</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二合一处理器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1.发送卡带载≥1040万像素。</w:t>
                  </w:r>
                  <w:r>
                    <w:br/>
                  </w:r>
                  <w:r>
                    <w:rPr>
                      <w:color w:val="000000"/>
                      <w:sz w:val="21"/>
                    </w:rPr>
                    <w:t>2.输入接口:HDMI 2.0  IN 2个、DVI IN 4个、Android IN1个、USB 2个、GenLock 1个、ETHERNET 1个、DEBUG 1个 输出接口:HDMI OUT 3个、DVI OUT 4个、网口 OUT 16个、3D OUT 1个、AUDIO OUT1个、GenLock 1个。</w:t>
                  </w:r>
                  <w:r>
                    <w:br/>
                  </w:r>
                  <w:r>
                    <w:rPr>
                      <w:color w:val="000000"/>
                      <w:sz w:val="21"/>
                    </w:rPr>
                    <w:t>3.内置一路HDMI安卓输入 1路HDMI 最大支持分辨率：4096*2160@60Hz 最小支持分辨率：600*600@30Hz 可自定义分辨率：极限宽度：8192，极限高度：4320  4路DVI 最大支持分辨率：1920*1200@60Hz 最小支持分辨率：600*600@30Hz 可自定义分辨率：极限宽度：3840，极限高度：2160。</w:t>
                  </w:r>
                  <w:r>
                    <w:br/>
                  </w:r>
                  <w:r>
                    <w:rPr>
                      <w:color w:val="000000"/>
                      <w:sz w:val="21"/>
                    </w:rPr>
                    <w:t>4.支持1路HDMI预监输出 最大分辨率1920*1080@60Hz 1路HDMI输出 最大分辨率4096*2160@60Hz 4路DVI输出 最大分辨率1920*1200@60Hz 16路网口  单网口带载65W，宽度范围：64~8192，高度范围：64~4320。</w:t>
                  </w:r>
                  <w:r>
                    <w:br/>
                  </w:r>
                  <w:r>
                    <w:rPr>
                      <w:color w:val="000000"/>
                      <w:sz w:val="21"/>
                    </w:rPr>
                    <w:t>5.可通过客户端、遥控器同时控制多台发送卡设备参数的调节。</w:t>
                  </w:r>
                  <w:r>
                    <w:br/>
                  </w:r>
                  <w:r>
                    <w:rPr>
                      <w:color w:val="000000"/>
                      <w:sz w:val="21"/>
                    </w:rPr>
                    <w:t>6.最大可8张发送卡级联通过自拼接可实现屏幕的拼接同步显示。</w:t>
                  </w:r>
                  <w:r>
                    <w:br/>
                  </w:r>
                  <w:r>
                    <w:rPr>
                      <w:color w:val="000000"/>
                      <w:sz w:val="21"/>
                    </w:rPr>
                    <w:t>7.支持添加图片、动画、音频、视频、文本、网页像材进行信息发布。</w:t>
                  </w:r>
                  <w:r>
                    <w:br/>
                  </w:r>
                  <w:r>
                    <w:rPr>
                      <w:color w:val="000000"/>
                      <w:sz w:val="21"/>
                    </w:rPr>
                    <w:t>8.支持PC客户端、遥控器、物理按键进行控制。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1"/>
                    </w:rPr>
                    <w:t>辅材</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bottom"/>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宜业新动脉</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ipad</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ipad 32g/wifi）</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支架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可移动</w:t>
                  </w:r>
                  <w:r>
                    <w:rPr>
                      <w:color w:val="000000"/>
                      <w:sz w:val="21"/>
                    </w:rPr>
                    <w:t>ipad立式支架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海洋空间规划</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定制箱体</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1.定制（全钢结构，依设计尽寸冲压、焊接</w:t>
                  </w:r>
                  <w:r>
                    <w:rPr>
                      <w:color w:val="000000"/>
                      <w:sz w:val="21"/>
                    </w:rPr>
                    <w:t>)</w:t>
                  </w:r>
                  <w:r>
                    <w:rPr>
                      <w:sz w:val="21"/>
                    </w:rPr>
                    <w:t xml:space="preserve">                </w:t>
                  </w:r>
                </w:p>
                <w:p>
                  <w:pPr>
                    <w:jc w:val="left"/>
                  </w:pPr>
                  <w:r>
                    <w:rPr>
                      <w:color w:val="000000"/>
                      <w:sz w:val="21"/>
                    </w:rPr>
                    <w:t xml:space="preserve">2.用于LED模组安装                                  </w:t>
                  </w:r>
                </w:p>
                <w:p>
                  <w:pPr>
                    <w:jc w:val="left"/>
                  </w:pPr>
                  <w:r>
                    <w:rPr>
                      <w:color w:val="000000"/>
                      <w:sz w:val="21"/>
                    </w:rPr>
                    <w:t>3.防锈、防腐蚀</w:t>
                  </w:r>
                </w:p>
                <w:p>
                  <w:pPr>
                    <w:jc w:val="left"/>
                  </w:pPr>
                  <w:r>
                    <w:rPr>
                      <w:color w:val="000000"/>
                      <w:sz w:val="21"/>
                    </w:rPr>
                    <w:t>4.包边</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接收卡</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1.单卡最大带载分辨率 512×384@60Hz，支持亮度校正、快速亮暗线调节、3D、RGB 独立 Gamma 调节等功能。</w:t>
                  </w:r>
                  <w:r>
                    <w:br/>
                  </w:r>
                  <w:r>
                    <w:rPr>
                      <w:color w:val="000000"/>
                      <w:sz w:val="21"/>
                    </w:rPr>
                    <w:t>2.采用 16 个标准 HUB75E 接口进行通讯，具有高稳定性，最多支持 32 组 RGB 并行数据。</w:t>
                  </w:r>
                  <w:r>
                    <w:br/>
                  </w:r>
                  <w:r>
                    <w:rPr>
                      <w:color w:val="000000"/>
                      <w:sz w:val="21"/>
                    </w:rPr>
                    <w:t>3.采用千兆网口通信，可以连接PC。</w:t>
                  </w:r>
                  <w:r>
                    <w:br/>
                  </w:r>
                  <w:r>
                    <w:rPr>
                      <w:color w:val="000000"/>
                      <w:sz w:val="21"/>
                    </w:rPr>
                    <w:t>4.支持接收卡预存画面设置。</w:t>
                  </w:r>
                  <w:r>
                    <w:br/>
                  </w:r>
                  <w:r>
                    <w:rPr>
                      <w:color w:val="000000"/>
                      <w:sz w:val="21"/>
                    </w:rPr>
                    <w:t>5.支持温度、电压、网线通讯和视频源信号状态检测。</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张</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电源</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200W，4.5V，40A，室内超薄电源</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二合一处理器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1.发送卡带载≥1040万像素。</w:t>
                  </w:r>
                  <w:r>
                    <w:br/>
                  </w:r>
                  <w:r>
                    <w:rPr>
                      <w:color w:val="000000"/>
                      <w:sz w:val="21"/>
                    </w:rPr>
                    <w:t>2.输入接口:HDMI 2.0  IN 2个、DVI IN 4个、Android IN1个、USB 2个、GenLock 1个、ETHERNET 1个、DEBUG 1个 输出接口:HDMI OUT 3个、DVI OUT 4个、网口 OUT 16个、3D OUT 1个、AUDIO OUT1个、GenLock 1个。</w:t>
                  </w:r>
                  <w:r>
                    <w:br/>
                  </w:r>
                  <w:r>
                    <w:rPr>
                      <w:color w:val="000000"/>
                      <w:sz w:val="21"/>
                    </w:rPr>
                    <w:t>3.内置一路HDMI安卓输入 1路HDMI 最大支持分辨率：4096*2160@60Hz 最小支持分辨率：600*600@30Hz 可自定义分辨率：极限宽度：8192，极限高度：4320  4路DVI 最大支持分辨率：1920*1200@60Hz 最小支持分辨率：600*600@30Hz 可自定义分辨率：极限宽度：3840，极限高度：2160。</w:t>
                  </w:r>
                  <w:r>
                    <w:br/>
                  </w:r>
                  <w:r>
                    <w:rPr>
                      <w:color w:val="000000"/>
                      <w:sz w:val="21"/>
                    </w:rPr>
                    <w:t>4.支持1路HDMI预监输出 最大分辨率1920*1080@60Hz 1路HDMI输出 最大分辨率4096*2160@60Hz 4路DVI输出 最大分辨率1920*1200@60Hz 16路网口  单网口带载65W，宽度范围：64~8192，高度范围：64~4320。</w:t>
                  </w:r>
                  <w:r>
                    <w:br/>
                  </w:r>
                  <w:r>
                    <w:rPr>
                      <w:color w:val="000000"/>
                      <w:sz w:val="21"/>
                    </w:rPr>
                    <w:t>5.可通过客户端、遥控器同时控制多台发送卡设备参数的调节。</w:t>
                  </w:r>
                  <w:r>
                    <w:br/>
                  </w:r>
                  <w:r>
                    <w:rPr>
                      <w:color w:val="000000"/>
                      <w:sz w:val="21"/>
                    </w:rPr>
                    <w:t>6.最大可8张发送卡级联通过自拼接可实现屏幕的拼接同步显示。</w:t>
                  </w:r>
                  <w:r>
                    <w:br/>
                  </w:r>
                  <w:r>
                    <w:rPr>
                      <w:color w:val="000000"/>
                      <w:sz w:val="21"/>
                    </w:rPr>
                    <w:t>7.支持添加图片、动画、音频、视频、文本、网页像材进行信息发布。</w:t>
                  </w:r>
                  <w:r>
                    <w:br/>
                  </w:r>
                  <w:r>
                    <w:rPr>
                      <w:color w:val="000000"/>
                      <w:sz w:val="21"/>
                    </w:rPr>
                    <w:t>8.支持PC客户端、遥控器、物理按键进行控制。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绿美新阳江</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标注壁挂支架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1.55英寸-气动前维护壁挂支架。</w:t>
                  </w:r>
                  <w:r>
                    <w:br/>
                  </w:r>
                  <w:r>
                    <w:rPr>
                      <w:color w:val="000000"/>
                      <w:sz w:val="21"/>
                    </w:rPr>
                    <w:t>2.材质：冷轧钢板(SPCC)，材料厚度从T1.0-T5不等。</w:t>
                  </w:r>
                  <w:r>
                    <w:br/>
                  </w:r>
                  <w:r>
                    <w:rPr>
                      <w:color w:val="000000"/>
                      <w:sz w:val="21"/>
                    </w:rPr>
                    <w:t>3.颜色：黑色。</w:t>
                  </w:r>
                  <w:r>
                    <w:br/>
                  </w:r>
                  <w:r>
                    <w:rPr>
                      <w:color w:val="000000"/>
                      <w:sz w:val="21"/>
                    </w:rPr>
                    <w:t>4.表面处理：静电喷塑，涂层厚度＞60微米。</w:t>
                  </w:r>
                  <w:r>
                    <w:br/>
                  </w:r>
                  <w:r>
                    <w:rPr>
                      <w:color w:val="000000"/>
                      <w:sz w:val="21"/>
                    </w:rPr>
                    <w:t>5.可定制范围：厚度，颜色，四周封板。</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多媒体服务器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多媒体工程服务器</w:t>
                  </w:r>
                  <w:r>
                    <w:rPr>
                      <w:color w:val="000000"/>
                      <w:sz w:val="21"/>
                    </w:rPr>
                    <w:t xml:space="preserve">                                   </w:t>
                  </w:r>
                  <w:r>
                    <w:br/>
                  </w:r>
                  <w:r>
                    <w:rPr>
                      <w:color w:val="000000"/>
                      <w:sz w:val="21"/>
                    </w:rPr>
                    <w:t>1.支持 Windows操作系统，语言中英文可选，支持网络上多个用户同时对显示墙的控制操作；</w:t>
                  </w:r>
                  <w:r>
                    <w:br/>
                  </w:r>
                  <w:r>
                    <w:rPr>
                      <w:color w:val="000000"/>
                      <w:sz w:val="21"/>
                    </w:rPr>
                    <w:t>2.在一个软件界面下，对实现对所有信号源的定义、调度和管理；</w:t>
                  </w:r>
                  <w:r>
                    <w:br/>
                  </w:r>
                  <w:r>
                    <w:rPr>
                      <w:color w:val="000000"/>
                      <w:sz w:val="21"/>
                    </w:rPr>
                    <w:t>3.实现所有输入信号源窗口模式组合的定义、编辑；</w:t>
                  </w:r>
                  <w:r>
                    <w:br/>
                  </w:r>
                  <w:r>
                    <w:rPr>
                      <w:color w:val="000000"/>
                      <w:sz w:val="21"/>
                    </w:rPr>
                    <w:t>4.实现对显示单元、投影机、多屏处理器等系统核心设备的控制与管理，包括底层参数设置、设备故障报警与管理等；</w:t>
                  </w:r>
                  <w:r>
                    <w:br/>
                  </w:r>
                  <w:r>
                    <w:rPr>
                      <w:color w:val="000000"/>
                      <w:sz w:val="21"/>
                    </w:rPr>
                    <w:t>5.可实现对矩阵、中央集中控制系统等周边系统设备的无缝接入；                                                      CPU：≥I5；存储：≥128G；2.5英寸 SATA-3；缓存≥ 256MB ；内存：≥4GB内存 ；电源：额定功率 ≥500W</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高清分配器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1.支持2路HDMI输入，支持按键切换，支持输入自定义分辨率。</w:t>
                  </w:r>
                  <w:r>
                    <w:br/>
                  </w:r>
                  <w:r>
                    <w:rPr>
                      <w:color w:val="000000"/>
                      <w:sz w:val="21"/>
                    </w:rPr>
                    <w:t>2.支持4路HDMI输出，支持输出自定义分辨率。</w:t>
                  </w:r>
                  <w:r>
                    <w:br/>
                  </w:r>
                  <w:r>
                    <w:rPr>
                      <w:color w:val="000000"/>
                      <w:sz w:val="21"/>
                    </w:rPr>
                    <w:t>3.支持不超过4台设备级联，实现16个屏幕拼接。</w:t>
                  </w:r>
                  <w:r>
                    <w:br/>
                  </w:r>
                  <w:r>
                    <w:rPr>
                      <w:color w:val="000000"/>
                      <w:sz w:val="21"/>
                    </w:rPr>
                    <w:t>4.支持显卡多口融合输入实现超高分信号接入。</w:t>
                  </w:r>
                  <w:r>
                    <w:br/>
                  </w:r>
                  <w:r>
                    <w:rPr>
                      <w:color w:val="000000"/>
                      <w:sz w:val="21"/>
                    </w:rPr>
                    <w:t>5.网络接口：1个RJ45 10M/100M/1000Mbps自适应以太网接口。</w:t>
                  </w:r>
                  <w:r>
                    <w:br/>
                  </w:r>
                  <w:r>
                    <w:rPr>
                      <w:color w:val="000000"/>
                      <w:sz w:val="21"/>
                    </w:rPr>
                    <w:t>6.输入分辨率：4096×2160@60 Hz, 4096×2160@30Hz,3840×2160@60Hz, 3840×2160@30 Hz,1920×1080@60Hz,1920×1080@50Hz,1920×1200@60Hz,1600×1200@60Hz,1680×1050@60Hz, 1280×1024@60Hz。</w:t>
                  </w:r>
                  <w:r>
                    <w:br/>
                  </w:r>
                  <w:r>
                    <w:rPr>
                      <w:color w:val="000000"/>
                      <w:sz w:val="21"/>
                    </w:rPr>
                    <w:t>7.输出分辨率：1920×1080@60 Hz, 1920×1200@60 Hz。</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小小规划师</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标注壁挂支架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1.55英寸-气动前维护壁挂支架。</w:t>
                  </w:r>
                  <w:r>
                    <w:br/>
                  </w:r>
                  <w:r>
                    <w:rPr>
                      <w:color w:val="000000"/>
                      <w:sz w:val="21"/>
                    </w:rPr>
                    <w:t>2.材质：冷轧钢板(SPCC)，材料厚度从T1.0-T5不等。</w:t>
                  </w:r>
                  <w:r>
                    <w:br/>
                  </w:r>
                  <w:r>
                    <w:rPr>
                      <w:color w:val="000000"/>
                      <w:sz w:val="21"/>
                    </w:rPr>
                    <w:t>3.颜色：黑色。</w:t>
                  </w:r>
                  <w:r>
                    <w:br/>
                  </w:r>
                  <w:r>
                    <w:rPr>
                      <w:color w:val="000000"/>
                      <w:sz w:val="21"/>
                    </w:rPr>
                    <w:t>4.表面处理：静电喷塑，涂层厚度＞60微米。</w:t>
                  </w:r>
                  <w:r>
                    <w:br/>
                  </w:r>
                  <w:r>
                    <w:rPr>
                      <w:color w:val="000000"/>
                      <w:sz w:val="21"/>
                    </w:rPr>
                    <w:t>5.可定制范围：厚度，颜色，四周封板。</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高清分配器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1.支持2路HDMI输入，支持按键切换，支持输入自定义分辨率。</w:t>
                  </w:r>
                  <w:r>
                    <w:br/>
                  </w:r>
                  <w:r>
                    <w:rPr>
                      <w:color w:val="000000"/>
                      <w:sz w:val="21"/>
                    </w:rPr>
                    <w:t>2.支持4路HDMI输出，支持输出自定义分辨率。</w:t>
                  </w:r>
                  <w:r>
                    <w:br/>
                  </w:r>
                  <w:r>
                    <w:rPr>
                      <w:color w:val="000000"/>
                      <w:sz w:val="21"/>
                    </w:rPr>
                    <w:t>3.支持不超过4台设备级联，实现16个屏幕拼接。</w:t>
                  </w:r>
                  <w:r>
                    <w:br/>
                  </w:r>
                  <w:r>
                    <w:rPr>
                      <w:color w:val="000000"/>
                      <w:sz w:val="21"/>
                    </w:rPr>
                    <w:t>4.支持显卡多口融合输入实现超高分信号接入。</w:t>
                  </w:r>
                  <w:r>
                    <w:br/>
                  </w:r>
                  <w:r>
                    <w:rPr>
                      <w:color w:val="000000"/>
                      <w:sz w:val="21"/>
                    </w:rPr>
                    <w:t>5.网络接口：1个RJ45 10M/100M/1000Mbps自适应以太网接口。</w:t>
                  </w:r>
                  <w:r>
                    <w:br/>
                  </w:r>
                  <w:r>
                    <w:rPr>
                      <w:color w:val="000000"/>
                      <w:sz w:val="21"/>
                    </w:rPr>
                    <w:t>6.输入分辨率：4096×2160@60 Hz, 4096×2160@30Hz,3840×2160@60Hz, 3840×2160@30 Hz,1920×1080@60Hz,1920×1080@50Hz,1920×1200@60Hz,1600×1200@60Hz,1680×1050@60Hz, 1280×1024@60Hz。</w:t>
                  </w:r>
                  <w:r>
                    <w:br/>
                  </w:r>
                  <w:r>
                    <w:rPr>
                      <w:color w:val="000000"/>
                      <w:sz w:val="21"/>
                    </w:rPr>
                    <w:t>7.输出分辨率：1920×1080@60 Hz, 1920×1200@60 Hz。</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HDMI传输器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 xml:space="preserve">HDMI视频延长放大器(2K)                                </w:t>
                  </w:r>
                  <w:r>
                    <w:br/>
                  </w:r>
                  <w:r>
                    <w:rPr>
                      <w:color w:val="000000"/>
                      <w:sz w:val="21"/>
                    </w:rPr>
                    <w:t>采用</w:t>
                  </w:r>
                  <w:r>
                    <w:rPr>
                      <w:color w:val="000000"/>
                      <w:sz w:val="21"/>
                    </w:rPr>
                    <w:t>HDBase-T技术，全数字，无压缩、无延时传输；</w:t>
                  </w:r>
                  <w:r>
                    <w:br/>
                  </w:r>
                  <w:r>
                    <w:rPr>
                      <w:color w:val="000000"/>
                      <w:sz w:val="21"/>
                    </w:rPr>
                    <w:t>传输速率高达</w:t>
                  </w:r>
                  <w:r>
                    <w:rPr>
                      <w:color w:val="000000"/>
                      <w:sz w:val="21"/>
                    </w:rPr>
                    <w:t>10Gbps；</w:t>
                  </w:r>
                  <w:r>
                    <w:br/>
                  </w:r>
                  <w:r>
                    <w:rPr>
                      <w:color w:val="000000"/>
                      <w:sz w:val="21"/>
                    </w:rPr>
                    <w:t>最高分辨率</w:t>
                  </w:r>
                  <w:r>
                    <w:rPr>
                      <w:color w:val="000000"/>
                      <w:sz w:val="21"/>
                    </w:rPr>
                    <w:t>4K×2K；</w:t>
                  </w:r>
                  <w:r>
                    <w:br/>
                  </w:r>
                  <w:r>
                    <w:rPr>
                      <w:color w:val="000000"/>
                      <w:sz w:val="21"/>
                    </w:rPr>
                    <w:t>支持</w:t>
                  </w:r>
                  <w:r>
                    <w:rPr>
                      <w:color w:val="000000"/>
                      <w:sz w:val="21"/>
                    </w:rPr>
                    <w:t>HDMI1.4及3D；</w:t>
                  </w:r>
                  <w:r>
                    <w:br/>
                  </w:r>
                  <w:r>
                    <w:rPr>
                      <w:color w:val="000000"/>
                      <w:sz w:val="21"/>
                    </w:rPr>
                    <w:t>支持</w:t>
                  </w:r>
                  <w:r>
                    <w:rPr>
                      <w:color w:val="000000"/>
                      <w:sz w:val="21"/>
                    </w:rPr>
                    <w:t>HDCP标准；</w:t>
                  </w:r>
                  <w:r>
                    <w:br/>
                  </w:r>
                  <w:r>
                    <w:rPr>
                      <w:color w:val="000000"/>
                      <w:sz w:val="21"/>
                    </w:rPr>
                    <w:t>兼容</w:t>
                  </w:r>
                  <w:r>
                    <w:rPr>
                      <w:color w:val="000000"/>
                      <w:sz w:val="21"/>
                    </w:rPr>
                    <w:t>DVI信号；</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1"/>
                    </w:rPr>
                    <w:t>辅材</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绿美阳江</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定制箱体立柱</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 xml:space="preserve">1.定制（全钢结构，采用方钢现场安装焊接）                 </w:t>
                  </w:r>
                </w:p>
                <w:p>
                  <w:pPr>
                    <w:jc w:val="left"/>
                  </w:pPr>
                  <w:r>
                    <w:rPr>
                      <w:color w:val="000000"/>
                      <w:sz w:val="21"/>
                    </w:rPr>
                    <w:t xml:space="preserve">2.用于LED模组箱体安装                                  </w:t>
                  </w:r>
                </w:p>
                <w:p>
                  <w:pPr>
                    <w:jc w:val="left"/>
                  </w:pPr>
                  <w:r>
                    <w:rPr>
                      <w:color w:val="000000"/>
                      <w:sz w:val="21"/>
                    </w:rPr>
                    <w:t>3.防锈、防腐蚀</w:t>
                  </w:r>
                </w:p>
                <w:p>
                  <w:pPr>
                    <w:jc w:val="left"/>
                  </w:pPr>
                  <w:r>
                    <w:rPr>
                      <w:color w:val="000000"/>
                      <w:sz w:val="21"/>
                    </w:rPr>
                    <w:t>4.包边</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接收卡</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1.单卡最大带载分辨率 512×384@60Hz，支持亮度校正、快速亮暗线调节、3D、RGB 独立 Gamma 调节等功能。</w:t>
                  </w:r>
                  <w:r>
                    <w:br/>
                  </w:r>
                  <w:r>
                    <w:rPr>
                      <w:color w:val="000000"/>
                      <w:sz w:val="21"/>
                    </w:rPr>
                    <w:t>2.采用 16 个标准 HUB75E 接口进行通讯，具有高稳定性，最多支持 32 组 RGB 并行数据。</w:t>
                  </w:r>
                  <w:r>
                    <w:br/>
                  </w:r>
                  <w:r>
                    <w:rPr>
                      <w:color w:val="000000"/>
                      <w:sz w:val="21"/>
                    </w:rPr>
                    <w:t>3.采用千兆网口通信，可以连接PC。</w:t>
                  </w:r>
                  <w:r>
                    <w:br/>
                  </w:r>
                  <w:r>
                    <w:rPr>
                      <w:color w:val="000000"/>
                      <w:sz w:val="21"/>
                    </w:rPr>
                    <w:t>4.支持接收卡预存画面设置。</w:t>
                  </w:r>
                  <w:r>
                    <w:br/>
                  </w:r>
                  <w:r>
                    <w:rPr>
                      <w:color w:val="000000"/>
                      <w:sz w:val="21"/>
                    </w:rPr>
                    <w:t>5.支持温度、电压、网线通讯和视频源信号状态检测。</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张</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电源</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200W，4.5V，40A，室内超薄电源</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二合一处理器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1.发送卡带载≥1040万像素。</w:t>
                  </w:r>
                  <w:r>
                    <w:br/>
                  </w:r>
                  <w:r>
                    <w:rPr>
                      <w:color w:val="000000"/>
                      <w:sz w:val="21"/>
                    </w:rPr>
                    <w:t>2.输入接口:HDMI 2.0  IN 2个、DVI IN 4个、Android IN1个、USB 2个、GenLock 1个、ETHERNET 1个、DEBUG 1个 输出接口:HDMI OUT 3个、DVI OUT 4个、网口 OUT 16个、3D OUT 1个、AUDIO OUT1个、GenLock 1个。</w:t>
                  </w:r>
                  <w:r>
                    <w:br/>
                  </w:r>
                  <w:r>
                    <w:rPr>
                      <w:color w:val="000000"/>
                      <w:sz w:val="21"/>
                    </w:rPr>
                    <w:t>3.内置一路HDMI安卓输入 1路HDMI 最大支持分辨率：4096*2160@60Hz 最小支持分辨率：600*600@30Hz 可自定义分辨率：极限宽度：8192，极限高度：4320  4路DVI 最大支持分辨率：1920*1200@60Hz 最小支持分辨率：600*600@30Hz 可自定义分辨率：极限宽度：3840，极限高度：2160。</w:t>
                  </w:r>
                  <w:r>
                    <w:br/>
                  </w:r>
                  <w:r>
                    <w:rPr>
                      <w:color w:val="000000"/>
                      <w:sz w:val="21"/>
                    </w:rPr>
                    <w:t>4.支持1路HDMI预监输出 最大分辨率1920*1080@60Hz 1路HDMI输出 最大分辨率4096*2160@60Hz 4路DVI输出 最大分辨率1920*1200@60Hz 16路网口  单网口带载65W，宽度范围：64~8192，高度范围：64~4320。</w:t>
                  </w:r>
                  <w:r>
                    <w:br/>
                  </w:r>
                  <w:r>
                    <w:rPr>
                      <w:color w:val="000000"/>
                      <w:sz w:val="21"/>
                    </w:rPr>
                    <w:t>5.可通过客户端、遥控器同时控制多台发送卡设备参数的调节。</w:t>
                  </w:r>
                  <w:r>
                    <w:br/>
                  </w:r>
                  <w:r>
                    <w:rPr>
                      <w:color w:val="000000"/>
                      <w:sz w:val="21"/>
                    </w:rPr>
                    <w:t>6.最大可8张发送卡级联通过自拼接可实现屏幕的拼接同步显示。</w:t>
                  </w:r>
                  <w:r>
                    <w:br/>
                  </w:r>
                  <w:r>
                    <w:rPr>
                      <w:color w:val="000000"/>
                      <w:sz w:val="21"/>
                    </w:rPr>
                    <w:t>7.支持添加图片、动画、音频、视频、文本、网页像材进行信息发布。</w:t>
                  </w:r>
                  <w:r>
                    <w:br/>
                  </w:r>
                  <w:r>
                    <w:rPr>
                      <w:color w:val="000000"/>
                      <w:sz w:val="21"/>
                    </w:rPr>
                    <w:t>8.支持PC客户端、遥控器、物理按键进行控制。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vMerge w:val="restart"/>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813"/>
                  <w:vMerge w:val="restart"/>
                  <w:tcBorders>
                    <w:top w:val="none" w:color="000000" w:sz="4"/>
                    <w:left w:val="none" w:color="000000" w:sz="4"/>
                    <w:bottom w:val="single" w:color="000000" w:sz="4"/>
                    <w:right w:val="single" w:color="000000" w:sz="4"/>
                  </w:tcBorders>
                  <w:vAlign w:val="top"/>
                </w:tcPr>
                <w:p>
                  <w:pPr>
                    <w:jc w:val="center"/>
                  </w:pPr>
                  <w:r>
                    <w:rPr>
                      <w:color w:val="000000"/>
                      <w:sz w:val="21"/>
                    </w:rPr>
                    <w:t>激光工程投影</w:t>
                  </w:r>
                </w:p>
              </w:tc>
              <w:tc>
                <w:tcPr>
                  <w:tcW w:type="dxa" w:w="2533"/>
                  <w:vMerge w:val="restart"/>
                  <w:tcBorders>
                    <w:top w:val="none" w:color="000000" w:sz="4"/>
                    <w:left w:val="none" w:color="000000" w:sz="4"/>
                    <w:bottom w:val="single" w:color="000000" w:sz="4"/>
                    <w:right w:val="single" w:color="000000" w:sz="4"/>
                  </w:tcBorders>
                  <w:vAlign w:val="top"/>
                </w:tcPr>
                <w:p>
                  <w:pPr>
                    <w:jc w:val="left"/>
                  </w:pPr>
                  <w:r>
                    <w:rPr>
                      <w:color w:val="000000"/>
                      <w:sz w:val="21"/>
                    </w:rPr>
                    <w:t>光源：激光</w:t>
                  </w:r>
                  <w:r>
                    <w:br/>
                  </w:r>
                  <w:r>
                    <w:rPr>
                      <w:color w:val="000000"/>
                      <w:sz w:val="21"/>
                    </w:rPr>
                    <w:t>投影技术</w:t>
                  </w:r>
                  <w:r>
                    <w:rPr>
                      <w:color w:val="000000"/>
                      <w:sz w:val="21"/>
                    </w:rPr>
                    <w:t>:3LCD，液晶板尺寸≥0.64英寸；</w:t>
                  </w:r>
                  <w:r>
                    <w:br/>
                  </w:r>
                  <w:r>
                    <w:rPr>
                      <w:color w:val="000000"/>
                      <w:sz w:val="21"/>
                    </w:rPr>
                    <w:t>中心亮度</w:t>
                  </w:r>
                  <w:r>
                    <w:rPr>
                      <w:color w:val="000000"/>
                      <w:sz w:val="21"/>
                    </w:rPr>
                    <w:t>≥6600流明，标准亮度≥6200流明；</w:t>
                  </w:r>
                  <w:r>
                    <w:br/>
                  </w:r>
                  <w:r>
                    <w:rPr>
                      <w:color w:val="000000"/>
                      <w:sz w:val="21"/>
                    </w:rPr>
                    <w:t>对比度</w:t>
                  </w:r>
                  <w:r>
                    <w:rPr>
                      <w:color w:val="000000"/>
                      <w:sz w:val="21"/>
                    </w:rPr>
                    <w:t>≥3000000：1；</w:t>
                  </w:r>
                  <w:r>
                    <w:br/>
                  </w:r>
                  <w:r>
                    <w:rPr>
                      <w:color w:val="000000"/>
                      <w:sz w:val="21"/>
                    </w:rPr>
                    <w:t>标准分辨率</w:t>
                  </w:r>
                  <w:r>
                    <w:rPr>
                      <w:color w:val="000000"/>
                      <w:sz w:val="21"/>
                    </w:rPr>
                    <w:t>1920*1200（WUXGA）；</w:t>
                  </w:r>
                  <w:r>
                    <w:br/>
                  </w:r>
                  <w:r>
                    <w:rPr>
                      <w:color w:val="000000"/>
                      <w:sz w:val="21"/>
                    </w:rPr>
                    <w:t>整机功耗</w:t>
                  </w:r>
                  <w:r>
                    <w:rPr>
                      <w:color w:val="000000"/>
                      <w:sz w:val="21"/>
                    </w:rPr>
                    <w:t>≤370W，节能模式下待机功耗≤0.4W；</w:t>
                  </w:r>
                  <w:r>
                    <w:br/>
                  </w:r>
                  <w:r>
                    <w:rPr>
                      <w:color w:val="000000"/>
                      <w:sz w:val="21"/>
                    </w:rPr>
                    <w:t>光源使用周期</w:t>
                  </w:r>
                  <w:r>
                    <w:rPr>
                      <w:color w:val="000000"/>
                      <w:sz w:val="21"/>
                    </w:rPr>
                    <w:t>≥20000小时 ，过滤网使用周期长达20000小时；</w:t>
                  </w:r>
                  <w:r>
                    <w:br/>
                  </w:r>
                  <w:r>
                    <w:rPr>
                      <w:color w:val="000000"/>
                      <w:sz w:val="21"/>
                    </w:rPr>
                    <w:t>镜头：手动变焦</w:t>
                  </w:r>
                  <w:r>
                    <w:rPr>
                      <w:color w:val="000000"/>
                      <w:sz w:val="21"/>
                    </w:rPr>
                    <w:t>≥1.6倍，投射比：1.09-1.77:1；</w:t>
                  </w:r>
                  <w:r>
                    <w:br/>
                  </w:r>
                  <w:r>
                    <w:rPr>
                      <w:color w:val="000000"/>
                      <w:sz w:val="21"/>
                    </w:rPr>
                    <w:t>光轴移动：垂直位移</w:t>
                  </w:r>
                  <w:r>
                    <w:rPr>
                      <w:color w:val="000000"/>
                      <w:sz w:val="21"/>
                    </w:rPr>
                    <w:t>≥+44%；水平位移≥±20%；</w:t>
                  </w:r>
                  <w:r>
                    <w:br/>
                  </w:r>
                  <w:r>
                    <w:rPr>
                      <w:color w:val="000000"/>
                      <w:sz w:val="21"/>
                    </w:rPr>
                    <w:t>内置扬声器</w:t>
                  </w:r>
                  <w:r>
                    <w:rPr>
                      <w:color w:val="000000"/>
                      <w:sz w:val="21"/>
                    </w:rPr>
                    <w:t>≥10W；</w:t>
                  </w:r>
                  <w:r>
                    <w:br/>
                  </w:r>
                  <w:r>
                    <w:rPr>
                      <w:color w:val="000000"/>
                      <w:sz w:val="21"/>
                    </w:rPr>
                    <w:t>机器重量</w:t>
                  </w:r>
                  <w:r>
                    <w:rPr>
                      <w:color w:val="000000"/>
                      <w:sz w:val="21"/>
                    </w:rPr>
                    <w:t>≤7.2KG；</w:t>
                  </w:r>
                  <w:r>
                    <w:br/>
                  </w:r>
                  <w:r>
                    <w:rPr>
                      <w:color w:val="000000"/>
                      <w:sz w:val="21"/>
                    </w:rPr>
                    <w:t>黑色机身</w:t>
                  </w:r>
                  <w:r>
                    <w:br/>
                  </w:r>
                  <w:r>
                    <w:br/>
                  </w:r>
                  <w:r>
                    <w:rPr>
                      <w:color w:val="000000"/>
                      <w:sz w:val="21"/>
                    </w:rPr>
                    <w:t>接口：</w:t>
                  </w:r>
                  <w:r>
                    <w:br/>
                  </w:r>
                  <w:r>
                    <w:rPr>
                      <w:color w:val="000000"/>
                      <w:sz w:val="21"/>
                    </w:rPr>
                    <w:t>RGB IN*2，HDMI*2，RJ45*1，RS-232C*1，VIDEO*1，音频输入*2，音频输出*1，USB A*1（用于记忆浏览、无线投影），DIGIAL LINK*1；</w:t>
                  </w:r>
                  <w:r>
                    <w:br/>
                  </w:r>
                  <w:r>
                    <w:rPr>
                      <w:color w:val="000000"/>
                      <w:sz w:val="21"/>
                    </w:rPr>
                    <w:t>功能特点：</w:t>
                  </w:r>
                  <w:r>
                    <w:br/>
                  </w:r>
                  <w:r>
                    <w:rPr>
                      <w:color w:val="000000"/>
                      <w:sz w:val="21"/>
                    </w:rPr>
                    <w:t>全中文机器面板与遥控器；</w:t>
                  </w:r>
                  <w:r>
                    <w:br/>
                  </w:r>
                  <w:r>
                    <w:rPr>
                      <w:color w:val="000000"/>
                      <w:sz w:val="21"/>
                    </w:rPr>
                    <w:t>垂直</w:t>
                  </w:r>
                  <w:r>
                    <w:rPr>
                      <w:color w:val="000000"/>
                      <w:sz w:val="21"/>
                    </w:rPr>
                    <w:t>±25°、水平±35°梯形校正功能，四角梯形校正功能；</w:t>
                  </w:r>
                  <w:r>
                    <w:br/>
                  </w:r>
                  <w:r>
                    <w:rPr>
                      <w:color w:val="000000"/>
                      <w:sz w:val="21"/>
                    </w:rPr>
                    <w:t>曲面校正功能，可以对投影到曲面屏幕上出现的桶状和枕状变形进行调节；</w:t>
                  </w:r>
                  <w:r>
                    <w:br/>
                  </w:r>
                  <w:r>
                    <w:rPr>
                      <w:color w:val="000000"/>
                      <w:sz w:val="21"/>
                    </w:rPr>
                    <w:t>强光感应功能，投影机内置光线传感器可以实时测量房间亮度，并实时调节投影图像的色调和亮度，以适应周围照明条件；</w:t>
                  </w:r>
                  <w:r>
                    <w:br/>
                  </w:r>
                  <w:r>
                    <w:rPr>
                      <w:color w:val="000000"/>
                      <w:sz w:val="21"/>
                    </w:rPr>
                    <w:t>支持</w:t>
                  </w:r>
                  <w:r>
                    <w:rPr>
                      <w:color w:val="000000"/>
                      <w:sz w:val="21"/>
                    </w:rPr>
                    <w:t>DIGITAL LINK和4K信号输入；</w:t>
                  </w:r>
                  <w:r>
                    <w:br/>
                  </w:r>
                  <w:r>
                    <w:rPr>
                      <w:color w:val="000000"/>
                      <w:sz w:val="21"/>
                    </w:rPr>
                    <w:t>自动输入信号搜索；</w:t>
                  </w:r>
                  <w:r>
                    <w:br/>
                  </w:r>
                  <w:r>
                    <w:rPr>
                      <w:color w:val="000000"/>
                      <w:sz w:val="21"/>
                    </w:rPr>
                    <w:t>快速开机，直接关机、断电保护；</w:t>
                  </w:r>
                  <w:r>
                    <w:br/>
                  </w:r>
                  <w:r>
                    <w:rPr>
                      <w:color w:val="000000"/>
                      <w:sz w:val="21"/>
                    </w:rPr>
                    <w:t>彩色版和黑板模式，可在不同颜色墙体</w:t>
                  </w:r>
                  <w:r>
                    <w:rPr>
                      <w:color w:val="000000"/>
                      <w:sz w:val="21"/>
                    </w:rPr>
                    <w:t>/幕布进行投影功能；</w:t>
                  </w:r>
                  <w:r>
                    <w:br/>
                  </w:r>
                  <w:r>
                    <w:rPr>
                      <w:color w:val="000000"/>
                      <w:sz w:val="21"/>
                    </w:rPr>
                    <w:t>记忆卡浏览功能；</w:t>
                  </w:r>
                  <w:r>
                    <w:br/>
                  </w:r>
                  <w:r>
                    <w:rPr>
                      <w:color w:val="000000"/>
                      <w:sz w:val="21"/>
                    </w:rPr>
                    <w:t>可选配无线投影；</w:t>
                  </w:r>
                  <w:r>
                    <w:br/>
                  </w:r>
                  <w:r>
                    <w:rPr>
                      <w:color w:val="000000"/>
                      <w:sz w:val="21"/>
                    </w:rPr>
                    <w:t>快门功能；</w:t>
                  </w:r>
                  <w:r>
                    <w:br/>
                  </w:r>
                  <w:r>
                    <w:rPr>
                      <w:color w:val="000000"/>
                      <w:sz w:val="21"/>
                    </w:rPr>
                    <w:t>支持</w:t>
                  </w:r>
                  <w:r>
                    <w:rPr>
                      <w:color w:val="000000"/>
                      <w:sz w:val="21"/>
                    </w:rPr>
                    <w:t>360°全向投影（正投、吊装、背投、竖投、斜投、侧投）；</w:t>
                  </w:r>
                  <w:r>
                    <w:br/>
                  </w:r>
                  <w:r>
                    <w:rPr>
                      <w:color w:val="000000"/>
                      <w:sz w:val="21"/>
                    </w:rPr>
                    <w:t>附带免费视频显示设备监控软件</w:t>
                  </w:r>
                </w:p>
              </w:tc>
              <w:tc>
                <w:tcPr>
                  <w:tcW w:type="dxa" w:w="420"/>
                  <w:vMerge w:val="restart"/>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vMerge w:val="restart"/>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vMerge w:val="restart"/>
                  <w:tcBorders>
                    <w:top w:val="none" w:color="000000" w:sz="4"/>
                    <w:left w:val="none" w:color="000000" w:sz="4"/>
                    <w:bottom w:val="single" w:color="000000" w:sz="4"/>
                    <w:right w:val="single" w:color="000000" w:sz="4"/>
                  </w:tcBorders>
                  <w:vAlign w:val="top"/>
                </w:tcPr>
                <w:p>
                  <w:pPr>
                    <w:jc w:val="center"/>
                  </w:pPr>
                </w:p>
              </w:tc>
            </w:tr>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原装短焦镜头</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原装超短选装</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投影吊架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工程投影吊架</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HDMI传输器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 xml:space="preserve">HDMI视频延长放大器(2K)                                </w:t>
                  </w:r>
                  <w:r>
                    <w:br/>
                  </w:r>
                  <w:r>
                    <w:rPr>
                      <w:color w:val="000000"/>
                      <w:sz w:val="21"/>
                    </w:rPr>
                    <w:t>采用</w:t>
                  </w:r>
                  <w:r>
                    <w:rPr>
                      <w:color w:val="000000"/>
                      <w:sz w:val="21"/>
                    </w:rPr>
                    <w:t>HDBase-T技术，全数字，无压缩、无延时传输；</w:t>
                  </w:r>
                  <w:r>
                    <w:br/>
                  </w:r>
                  <w:r>
                    <w:rPr>
                      <w:color w:val="000000"/>
                      <w:sz w:val="21"/>
                    </w:rPr>
                    <w:t>传输速率高达</w:t>
                  </w:r>
                  <w:r>
                    <w:rPr>
                      <w:color w:val="000000"/>
                      <w:sz w:val="21"/>
                    </w:rPr>
                    <w:t>10Gbps；</w:t>
                  </w:r>
                  <w:r>
                    <w:br/>
                  </w:r>
                  <w:r>
                    <w:rPr>
                      <w:color w:val="000000"/>
                      <w:sz w:val="21"/>
                    </w:rPr>
                    <w:t>最高分辨率</w:t>
                  </w:r>
                  <w:r>
                    <w:rPr>
                      <w:color w:val="000000"/>
                      <w:sz w:val="21"/>
                    </w:rPr>
                    <w:t>4K×2K；</w:t>
                  </w:r>
                  <w:r>
                    <w:br/>
                  </w:r>
                  <w:r>
                    <w:rPr>
                      <w:color w:val="000000"/>
                      <w:sz w:val="21"/>
                    </w:rPr>
                    <w:t>支持</w:t>
                  </w:r>
                  <w:r>
                    <w:rPr>
                      <w:color w:val="000000"/>
                      <w:sz w:val="21"/>
                    </w:rPr>
                    <w:t>HDMI1.4及3D；</w:t>
                  </w:r>
                  <w:r>
                    <w:br/>
                  </w:r>
                  <w:r>
                    <w:rPr>
                      <w:color w:val="000000"/>
                      <w:sz w:val="21"/>
                    </w:rPr>
                    <w:t>支持</w:t>
                  </w:r>
                  <w:r>
                    <w:rPr>
                      <w:color w:val="000000"/>
                      <w:sz w:val="21"/>
                    </w:rPr>
                    <w:t>HDCP标准；</w:t>
                  </w:r>
                  <w:r>
                    <w:br/>
                  </w:r>
                  <w:r>
                    <w:rPr>
                      <w:color w:val="000000"/>
                      <w:sz w:val="21"/>
                    </w:rPr>
                    <w:t>兼容</w:t>
                  </w:r>
                  <w:r>
                    <w:rPr>
                      <w:color w:val="000000"/>
                      <w:sz w:val="21"/>
                    </w:rPr>
                    <w:t>DVI信号；</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多媒体音响</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1.额定功率 ：100W</w:t>
                  </w:r>
                  <w:r>
                    <w:br/>
                  </w:r>
                  <w:r>
                    <w:rPr>
                      <w:color w:val="000000"/>
                      <w:sz w:val="21"/>
                    </w:rPr>
                    <w:t>2.峰值功率：400W</w:t>
                  </w:r>
                  <w:r>
                    <w:br/>
                  </w:r>
                  <w:r>
                    <w:rPr>
                      <w:color w:val="000000"/>
                      <w:sz w:val="21"/>
                    </w:rPr>
                    <w:t>3.阻抗：黑: Com，红: 8Ω</w:t>
                  </w:r>
                  <w:r>
                    <w:br/>
                  </w:r>
                  <w:r>
                    <w:rPr>
                      <w:color w:val="000000"/>
                      <w:sz w:val="21"/>
                    </w:rPr>
                    <w:t>4.灵敏度(1W/1M)：91dB</w:t>
                  </w:r>
                  <w:r>
                    <w:br/>
                  </w:r>
                  <w:r>
                    <w:rPr>
                      <w:color w:val="000000"/>
                      <w:sz w:val="21"/>
                    </w:rPr>
                    <w:t>5.最大声压级（额定/峰值）：111dB/117dB</w:t>
                  </w:r>
                  <w:r>
                    <w:br/>
                  </w:r>
                  <w:r>
                    <w:rPr>
                      <w:color w:val="000000"/>
                      <w:sz w:val="21"/>
                    </w:rPr>
                    <w:t>6.频率响应(-10dB)：50Hz-20KHz</w:t>
                  </w:r>
                  <w:r>
                    <w:br/>
                  </w:r>
                  <w:r>
                    <w:rPr>
                      <w:color w:val="000000"/>
                      <w:sz w:val="21"/>
                    </w:rPr>
                    <w:t>7.喇叭单元：8" ×1  ，1.5" ×1</w:t>
                  </w:r>
                  <w:r>
                    <w:br/>
                  </w:r>
                  <w:r>
                    <w:rPr>
                      <w:color w:val="000000"/>
                      <w:sz w:val="21"/>
                    </w:rPr>
                    <w:t>8.安装开孔尺寸：248mm</w:t>
                  </w:r>
                  <w:r>
                    <w:br/>
                  </w:r>
                  <w:r>
                    <w:rPr>
                      <w:color w:val="000000"/>
                      <w:sz w:val="21"/>
                    </w:rPr>
                    <w:t>9.尺寸：280 ×110mm</w:t>
                  </w:r>
                  <w:r>
                    <w:br/>
                  </w:r>
                  <w:r>
                    <w:rPr>
                      <w:color w:val="000000"/>
                      <w:sz w:val="21"/>
                    </w:rPr>
                    <w:t>10.重量：3.2Kg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专业功放</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1.具备4路话筒输入、2路线路输入；并可单独调节音量、高音与低音。</w:t>
                  </w:r>
                  <w:r>
                    <w:br/>
                  </w:r>
                  <w:r>
                    <w:rPr>
                      <w:color w:val="000000"/>
                      <w:sz w:val="21"/>
                    </w:rPr>
                    <w:t>2.话筒输入MIC1-4内置48V幻象电源，并可独立控制开关。</w:t>
                  </w:r>
                  <w:r>
                    <w:br/>
                  </w:r>
                  <w:r>
                    <w:rPr>
                      <w:color w:val="000000"/>
                      <w:sz w:val="21"/>
                    </w:rPr>
                    <w:t>3.支持1路远程话筒输入，可连接分区控制话筒进行远程控制分区输出，最多可联接6台远程分区话筒。</w:t>
                  </w:r>
                  <w:r>
                    <w:br/>
                  </w:r>
                  <w:r>
                    <w:rPr>
                      <w:color w:val="000000"/>
                      <w:sz w:val="21"/>
                    </w:rPr>
                    <w:t>4.支持1路EMC紧急报警音频信号输入接口，具有最高优先级。</w:t>
                  </w:r>
                  <w:r>
                    <w:br/>
                  </w:r>
                  <w:r>
                    <w:rPr>
                      <w:color w:val="000000"/>
                      <w:sz w:val="21"/>
                    </w:rPr>
                    <w:t>5.支持1路TEL电话音频输入接口，可调节音量。</w:t>
                  </w:r>
                  <w:r>
                    <w:br/>
                  </w:r>
                  <w:r>
                    <w:rPr>
                      <w:color w:val="000000"/>
                      <w:sz w:val="21"/>
                    </w:rPr>
                    <w:t>6.配置MP3遥控器，支持断电记忆功能、MIC录音功能。</w:t>
                  </w:r>
                  <w:r>
                    <w:br/>
                  </w:r>
                  <w:r>
                    <w:rPr>
                      <w:color w:val="000000"/>
                      <w:sz w:val="21"/>
                    </w:rPr>
                    <w:t>7.带MP3功能模块，采用LCD 显示屏，可播放U盘MP3， WMA， APE，FLAC， WAV，AAC等文件格式，TF卡，支持手机蓝牙功能，可以显示歌曲名称。</w:t>
                  </w:r>
                  <w:r>
                    <w:br/>
                  </w:r>
                  <w:r>
                    <w:rPr>
                      <w:color w:val="000000"/>
                      <w:sz w:val="21"/>
                    </w:rPr>
                    <w:t>8.集成蓝牙模块，支持通过蓝牙手机播放音乐功能。</w:t>
                  </w:r>
                  <w:r>
                    <w:br/>
                  </w:r>
                  <w:r>
                    <w:rPr>
                      <w:color w:val="000000"/>
                      <w:sz w:val="21"/>
                    </w:rPr>
                    <w:t>9.集成TUNER模块，具有FM收音机天线端口。</w:t>
                  </w:r>
                  <w:r>
                    <w:br/>
                  </w:r>
                  <w:r>
                    <w:rPr>
                      <w:color w:val="000000"/>
                      <w:sz w:val="21"/>
                    </w:rPr>
                    <w:t>10.支持6路分区输出，支持定压100V输出，每路分区音量可独立调节。</w:t>
                  </w:r>
                  <w:r>
                    <w:br/>
                  </w:r>
                  <w:r>
                    <w:rPr>
                      <w:color w:val="000000"/>
                      <w:sz w:val="21"/>
                    </w:rPr>
                    <w:t>11.支持1路可选定压（70V/100V）或定阻4-16Ω输出。</w:t>
                  </w:r>
                  <w:r>
                    <w:br/>
                  </w:r>
                  <w:r>
                    <w:rPr>
                      <w:color w:val="000000"/>
                      <w:sz w:val="21"/>
                    </w:rPr>
                    <w:t>12.支持1路线路输出，可外接录音或扩声处理器等设备。</w:t>
                  </w:r>
                  <w:r>
                    <w:br/>
                  </w:r>
                  <w:r>
                    <w:rPr>
                      <w:color w:val="000000"/>
                      <w:sz w:val="21"/>
                    </w:rPr>
                    <w:t>13.内置钟声，钟声音调可选：4个音调和2个音调 （内置）、报警发生器。</w:t>
                  </w:r>
                  <w:r>
                    <w:br/>
                  </w:r>
                  <w:r>
                    <w:rPr>
                      <w:color w:val="000000"/>
                      <w:sz w:val="21"/>
                    </w:rPr>
                    <w:t>14.内置报警发生器启动时，关闭背景音乐，6路分区输出会自动打开，强切最大输出音量功能 。</w:t>
                  </w:r>
                  <w:r>
                    <w:br/>
                  </w:r>
                  <w:r>
                    <w:rPr>
                      <w:color w:val="000000"/>
                      <w:sz w:val="21"/>
                    </w:rPr>
                    <w:t>15.支持多种指示灯显示(信号、削顶、保护LED指示灯)。</w:t>
                  </w:r>
                  <w:r>
                    <w:br/>
                  </w:r>
                  <w:r>
                    <w:rPr>
                      <w:color w:val="000000"/>
                      <w:sz w:val="21"/>
                    </w:rPr>
                    <w:t>16.采用风机强制散热结构，可以让机器长期时间工作。</w:t>
                  </w:r>
                  <w:r>
                    <w:br/>
                  </w:r>
                  <w:r>
                    <w:rPr>
                      <w:color w:val="000000"/>
                      <w:sz w:val="21"/>
                    </w:rPr>
                    <w:t>17.有5级优先功能：第一级EMC优先：当EMC有报警信号输入时，关闭所有的音源，6路分区输出会自动打开；第二级TEL/REM MIC优先MIC1-4 、 LINE1-2、钟声提示音；第三级内置报警发生器优先钟声提示音、MIC1-4 、 LINE1-2，6路分区输出会自动打开；第四级内置钟声提示音优先MIC1-4 、 LINE1-2；第五级内置MIC1优先MIC2-4 、 LINE1-2。</w:t>
                  </w:r>
                  <w:r>
                    <w:br/>
                  </w:r>
                  <w:r>
                    <w:rPr>
                      <w:color w:val="000000"/>
                      <w:sz w:val="21"/>
                    </w:rPr>
                    <w:t>18.支持备用供电24V无延时切换功能，可选配。</w:t>
                  </w:r>
                  <w:r>
                    <w:br/>
                  </w:r>
                  <w:r>
                    <w:rPr>
                      <w:color w:val="000000"/>
                      <w:sz w:val="21"/>
                    </w:rPr>
                    <w:t>19.具有市电波动保护功能，支持过压保护，欠压保护，不会因为市电过高烧坏功放。</w:t>
                  </w:r>
                  <w:r>
                    <w:br/>
                  </w:r>
                  <w:r>
                    <w:br/>
                  </w:r>
                  <w:r>
                    <w:rPr>
                      <w:color w:val="000000"/>
                      <w:sz w:val="21"/>
                    </w:rPr>
                    <w:t>技术参数：</w:t>
                  </w:r>
                  <w:r>
                    <w:br/>
                  </w:r>
                  <w:r>
                    <w:rPr>
                      <w:color w:val="000000"/>
                      <w:sz w:val="21"/>
                    </w:rPr>
                    <w:t>1.额定输出功率：120W</w:t>
                  </w:r>
                  <w:r>
                    <w:br/>
                  </w:r>
                  <w:r>
                    <w:rPr>
                      <w:color w:val="000000"/>
                      <w:sz w:val="21"/>
                    </w:rPr>
                    <w:t>2.1~6分区喇叭：25W MAX</w:t>
                  </w:r>
                  <w:r>
                    <w:br/>
                  </w:r>
                  <w:r>
                    <w:rPr>
                      <w:color w:val="000000"/>
                      <w:sz w:val="21"/>
                    </w:rPr>
                    <w:t>3.MIC输入灵敏度/阻抗：5mV 600Ω/350mV 10KΩ BAL</w:t>
                  </w:r>
                  <w:r>
                    <w:br/>
                  </w:r>
                  <w:r>
                    <w:rPr>
                      <w:color w:val="000000"/>
                      <w:sz w:val="21"/>
                    </w:rPr>
                    <w:t>4.MIC输入信噪比：＞75dB</w:t>
                  </w:r>
                  <w:r>
                    <w:br/>
                  </w:r>
                  <w:r>
                    <w:rPr>
                      <w:color w:val="000000"/>
                      <w:sz w:val="21"/>
                    </w:rPr>
                    <w:t>5.MIC输入频率响应：80Hz~16KHz</w:t>
                  </w:r>
                  <w:r>
                    <w:br/>
                  </w:r>
                  <w:r>
                    <w:rPr>
                      <w:color w:val="000000"/>
                      <w:sz w:val="21"/>
                    </w:rPr>
                    <w:t>6.MIC输入音量调节：±10dB；低频:100Hz, 高频:10KHz</w:t>
                  </w:r>
                  <w:r>
                    <w:br/>
                  </w:r>
                  <w:r>
                    <w:rPr>
                      <w:color w:val="000000"/>
                      <w:sz w:val="21"/>
                    </w:rPr>
                    <w:t>7.MIC输入：支持+ 48V幻象供电</w:t>
                  </w:r>
                  <w:r>
                    <w:br/>
                  </w:r>
                  <w:r>
                    <w:rPr>
                      <w:color w:val="000000"/>
                      <w:sz w:val="21"/>
                    </w:rPr>
                    <w:t>8.线路输入灵敏度/阻抗：350mV/47KΩ</w:t>
                  </w:r>
                  <w:r>
                    <w:br/>
                  </w:r>
                  <w:r>
                    <w:rPr>
                      <w:color w:val="000000"/>
                      <w:sz w:val="21"/>
                    </w:rPr>
                    <w:t>9.线路输入信噪比：＞80dB</w:t>
                  </w:r>
                  <w:r>
                    <w:br/>
                  </w:r>
                  <w:r>
                    <w:rPr>
                      <w:color w:val="000000"/>
                      <w:sz w:val="21"/>
                    </w:rPr>
                    <w:t>10.线路输入频率响应：80Hz~16KHz</w:t>
                  </w:r>
                  <w:r>
                    <w:br/>
                  </w:r>
                  <w:r>
                    <w:rPr>
                      <w:color w:val="000000"/>
                      <w:sz w:val="21"/>
                    </w:rPr>
                    <w:t>11.线路输入音量调节：±10dB；低频:100Hz, 高频:10KHz</w:t>
                  </w:r>
                  <w:r>
                    <w:br/>
                  </w:r>
                  <w:r>
                    <w:rPr>
                      <w:color w:val="000000"/>
                      <w:sz w:val="21"/>
                    </w:rPr>
                    <w:t>12.TEL电话音频输入灵敏度/阻抗：775mV/10KΩ</w:t>
                  </w:r>
                  <w:r>
                    <w:br/>
                  </w:r>
                  <w:r>
                    <w:rPr>
                      <w:color w:val="000000"/>
                      <w:sz w:val="21"/>
                    </w:rPr>
                    <w:t>13.TEL电话音频信噪比：＞75dB</w:t>
                  </w:r>
                  <w:r>
                    <w:br/>
                  </w:r>
                  <w:r>
                    <w:rPr>
                      <w:color w:val="000000"/>
                      <w:sz w:val="21"/>
                    </w:rPr>
                    <w:t>14.TEL电话音频频率响应：50Hz~16KHz</w:t>
                  </w:r>
                  <w:r>
                    <w:br/>
                  </w:r>
                  <w:r>
                    <w:rPr>
                      <w:color w:val="000000"/>
                      <w:sz w:val="21"/>
                    </w:rPr>
                    <w:t>15.EMC输入灵敏度/阻抗：775mV/10KΩ</w:t>
                  </w:r>
                  <w:r>
                    <w:br/>
                  </w:r>
                  <w:r>
                    <w:rPr>
                      <w:color w:val="000000"/>
                      <w:sz w:val="21"/>
                    </w:rPr>
                    <w:t>16.EMC输入信噪比：＞75dB</w:t>
                  </w:r>
                  <w:r>
                    <w:br/>
                  </w:r>
                  <w:r>
                    <w:rPr>
                      <w:color w:val="000000"/>
                      <w:sz w:val="21"/>
                    </w:rPr>
                    <w:t>17.EMC输入频率响应：80Hz~16KHz</w:t>
                  </w:r>
                  <w:r>
                    <w:br/>
                  </w:r>
                  <w:r>
                    <w:rPr>
                      <w:color w:val="000000"/>
                      <w:sz w:val="21"/>
                    </w:rPr>
                    <w:t>18.远程话筒灵敏度/阻抗：775mV/10KΩ</w:t>
                  </w:r>
                  <w:r>
                    <w:br/>
                  </w:r>
                  <w:r>
                    <w:rPr>
                      <w:color w:val="000000"/>
                      <w:sz w:val="21"/>
                    </w:rPr>
                    <w:t>19.前级输出：1V/600Ω；Mic 1~4, Line 1~2, Tel In, Remote In</w:t>
                  </w:r>
                  <w:r>
                    <w:br/>
                  </w:r>
                  <w:r>
                    <w:rPr>
                      <w:color w:val="000000"/>
                      <w:sz w:val="21"/>
                    </w:rPr>
                    <w:t>20.THD：≤0.1% at 1KHz, 1/3 rated power</w:t>
                  </w:r>
                  <w:r>
                    <w:br/>
                  </w:r>
                  <w:r>
                    <w:rPr>
                      <w:color w:val="000000"/>
                      <w:sz w:val="21"/>
                    </w:rPr>
                    <w:t>21.工作电源：~110V/60Hz or ~230V/50Hz ；支持DC 24V备用电源输入</w:t>
                  </w:r>
                  <w:r>
                    <w:br/>
                  </w:r>
                  <w:r>
                    <w:rPr>
                      <w:color w:val="000000"/>
                      <w:sz w:val="21"/>
                    </w:rPr>
                    <w:t>22.尺寸：484x310x88 mm</w:t>
                  </w:r>
                  <w:r>
                    <w:br/>
                  </w:r>
                  <w:r>
                    <w:rPr>
                      <w:color w:val="000000"/>
                      <w:sz w:val="21"/>
                    </w:rPr>
                    <w:t>23.功耗：210W</w:t>
                  </w:r>
                  <w:r>
                    <w:br/>
                  </w:r>
                  <w:r>
                    <w:rPr>
                      <w:color w:val="000000"/>
                      <w:sz w:val="21"/>
                    </w:rPr>
                    <w:t>24.重量：6.7Kg</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1"/>
                    </w:rPr>
                    <w:t>办公区、设备廊道（四楼）</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color w:val="000000"/>
                      <w:sz w:val="21"/>
                    </w:rPr>
                    <w:t>硬件</w:t>
                  </w: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无线</w:t>
                  </w:r>
                  <w:r>
                    <w:rPr>
                      <w:color w:val="000000"/>
                      <w:sz w:val="21"/>
                    </w:rPr>
                    <w:t>AP</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H3C WAP622</w:t>
                  </w:r>
                  <w:r>
                    <w:br/>
                  </w:r>
                  <w:r>
                    <w:rPr>
                      <w:color w:val="000000"/>
                      <w:sz w:val="21"/>
                    </w:rPr>
                    <w:t>双频</w:t>
                  </w:r>
                  <w:r>
                    <w:rPr>
                      <w:color w:val="000000"/>
                      <w:sz w:val="21"/>
                    </w:rPr>
                    <w:t>1200M放装AP，Wi-Fi5，内置全向天线，上行：1*GE，频段：2.4G&amp;5G，供电方式：PoE/48V DC，功耗：11.5W</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百兆交换机</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H3C US1750-28P</w:t>
                  </w:r>
                  <w:r>
                    <w:br/>
                  </w:r>
                  <w:r>
                    <w:rPr>
                      <w:color w:val="000000"/>
                      <w:sz w:val="21"/>
                    </w:rPr>
                    <w:t>Web网管交换机,24*GE+4*SFP，交换容量：336Gbps，包转发率：78Mpps</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千兆</w:t>
                  </w:r>
                  <w:r>
                    <w:rPr>
                      <w:color w:val="000000"/>
                      <w:sz w:val="21"/>
                    </w:rPr>
                    <w:t>POE供电交换机</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H3C US1750-28P-HPWR</w:t>
                  </w:r>
                  <w:r>
                    <w:br/>
                  </w:r>
                  <w:r>
                    <w:rPr>
                      <w:color w:val="000000"/>
                      <w:sz w:val="21"/>
                    </w:rPr>
                    <w:t>Web网管交换机,24*GE+4*SFP，交换容量：336Gbps，包转发率：78Mpps，PoE功率：370W</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82"/>
                  <w:tcBorders>
                    <w:top w:val="none" w:color="000000" w:sz="4"/>
                    <w:left w:val="non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路由器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H3C UR7208-P</w:t>
                  </w:r>
                  <w:r>
                    <w:br/>
                  </w:r>
                  <w:r>
                    <w:rPr>
                      <w:color w:val="000000"/>
                      <w:sz w:val="21"/>
                    </w:rPr>
                    <w:t>PoE路由器，最高支持5WAN，带机量200，NAT会话数：4万，适用带宽：1000M,AP管理200，8口PoE,75W</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bottom"/>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机柜</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机柜尺寸</w:t>
                  </w:r>
                  <w:r>
                    <w:rPr>
                      <w:color w:val="000000"/>
                      <w:sz w:val="21"/>
                    </w:rPr>
                    <w:t>:32U \600*800</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482"/>
                  <w:tcBorders>
                    <w:top w:val="none" w:color="000000" w:sz="4"/>
                    <w:left w:val="none" w:color="000000" w:sz="4"/>
                    <w:bottom w:val="single" w:color="000000" w:sz="4"/>
                    <w:right w:val="single" w:color="000000" w:sz="4"/>
                  </w:tcBorders>
                  <w:vAlign w:val="bottom"/>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显示器</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尺寸：</w:t>
                  </w:r>
                  <w:r>
                    <w:rPr>
                      <w:color w:val="000000"/>
                      <w:sz w:val="21"/>
                    </w:rPr>
                    <w:t>21.5英寸  分辨率：1920*1080（全高清） IPS面板</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bottom"/>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无线键鼠</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无线光电键鼠套装</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bottom"/>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线材及配件</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类别：高清信号线，电源线，控制线，串口线等</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批</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bottom"/>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353"/>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3"/>
                  <w:tcBorders>
                    <w:top w:val="none" w:color="000000" w:sz="4"/>
                    <w:left w:val="none" w:color="000000" w:sz="4"/>
                    <w:bottom w:val="single" w:color="000000" w:sz="4"/>
                    <w:right w:val="single" w:color="000000" w:sz="4"/>
                  </w:tcBorders>
                  <w:vAlign w:val="top"/>
                </w:tcPr>
                <w:p>
                  <w:pPr>
                    <w:jc w:val="center"/>
                  </w:pPr>
                  <w:r>
                    <w:rPr>
                      <w:color w:val="000000"/>
                      <w:sz w:val="21"/>
                    </w:rPr>
                    <w:t>PAD</w:t>
                  </w:r>
                </w:p>
              </w:tc>
              <w:tc>
                <w:tcPr>
                  <w:tcW w:type="dxa" w:w="2533"/>
                  <w:tcBorders>
                    <w:top w:val="none" w:color="000000" w:sz="4"/>
                    <w:left w:val="none" w:color="000000" w:sz="4"/>
                    <w:bottom w:val="single" w:color="000000" w:sz="4"/>
                    <w:right w:val="single" w:color="000000" w:sz="4"/>
                  </w:tcBorders>
                  <w:vAlign w:val="top"/>
                </w:tcPr>
                <w:p>
                  <w:pPr>
                    <w:jc w:val="left"/>
                  </w:pPr>
                  <w:r>
                    <w:rPr>
                      <w:color w:val="000000"/>
                      <w:sz w:val="21"/>
                    </w:rPr>
                    <w:t>平板</w:t>
                  </w:r>
                  <w:r>
                    <w:rPr>
                      <w:color w:val="000000"/>
                      <w:sz w:val="21"/>
                    </w:rPr>
                    <w:t>10.4/10.8英寸八核处理器10.4丨4+64G/WiFi/</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2"/>
                  <w:tcBorders>
                    <w:top w:val="none" w:color="000000" w:sz="4"/>
                    <w:left w:val="none" w:color="000000" w:sz="4"/>
                    <w:bottom w:val="single" w:color="000000" w:sz="4"/>
                    <w:right w:val="single" w:color="000000" w:sz="4"/>
                  </w:tcBorders>
                  <w:vAlign w:val="top"/>
                </w:tcPr>
                <w:p>
                  <w:pPr>
                    <w:jc w:val="both"/>
                  </w:pPr>
                </w:p>
              </w:tc>
            </w:tr>
          </w:tbl>
          <w:p/>
          <w:p/>
          <w:p>
            <w:r>
              <w:rPr>
                <w:color w:val="000000"/>
                <w:sz w:val="21"/>
              </w:rPr>
              <w:t>3.数字内容</w:t>
            </w:r>
          </w:p>
          <w:tbl>
            <w:tblPr>
              <w:tblBorders>
                <w:top w:val="none" w:color="000000" w:sz="4"/>
                <w:left w:val="none" w:color="000000" w:sz="4"/>
                <w:bottom w:val="none" w:color="000000" w:sz="4"/>
                <w:right w:val="none" w:color="000000" w:sz="4"/>
                <w:insideH w:val="none"/>
                <w:insideV w:val="none"/>
              </w:tblBorders>
            </w:tblPr>
            <w:tblGrid>
              <w:gridCol w:w="590"/>
              <w:gridCol w:w="413"/>
              <w:gridCol w:w="825"/>
              <w:gridCol w:w="2189"/>
              <w:gridCol w:w="435"/>
              <w:gridCol w:w="607"/>
              <w:gridCol w:w="539"/>
            </w:tblGrid>
            <w:tr>
              <w:tc>
                <w:tcPr>
                  <w:tcW w:type="dxa" w:w="590"/>
                  <w:tcBorders>
                    <w:top w:val="single" w:color="000000" w:sz="4"/>
                    <w:left w:val="single" w:color="000000" w:sz="4"/>
                    <w:bottom w:val="single" w:color="000000" w:sz="4"/>
                    <w:right w:val="single" w:color="000000" w:sz="4"/>
                  </w:tcBorders>
                  <w:vAlign w:val="top"/>
                </w:tcPr>
                <w:p>
                  <w:pPr>
                    <w:jc w:val="center"/>
                  </w:pPr>
                  <w:r>
                    <w:rPr>
                      <w:color w:val="000000"/>
                      <w:sz w:val="21"/>
                    </w:rPr>
                    <w:t>设备名称</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技术参数</w:t>
                  </w:r>
                  <w:r>
                    <w:rPr>
                      <w:color w:val="000000"/>
                      <w:sz w:val="21"/>
                    </w:rPr>
                    <w:t>/程序功能</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53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1.序厅（三楼）</w:t>
                  </w: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总规沙盘、影院系统</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多媒体交互程序</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交互程序开发制作</w:t>
                  </w:r>
                  <w:r>
                    <w:br/>
                  </w:r>
                  <w:r>
                    <w:rPr>
                      <w:color w:val="000000"/>
                      <w:sz w:val="21"/>
                    </w:rPr>
                    <w:t>1、用户体验及操作流程设计、包含低保真的输出，确定界面内容、布局、交互方式、信息架构</w:t>
                  </w:r>
                  <w:r>
                    <w:br/>
                  </w:r>
                  <w:r>
                    <w:rPr>
                      <w:color w:val="000000"/>
                      <w:sz w:val="21"/>
                    </w:rPr>
                    <w:t>2、根据目标设备的载体不同，以及输入源不同如 触摸，体感、雷达感应等</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singl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UI设计</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界面设计</w:t>
                  </w:r>
                  <w:r>
                    <w:rPr>
                      <w:color w:val="000000"/>
                      <w:sz w:val="21"/>
                    </w:rPr>
                    <w:t xml:space="preserve">                                                     </w:t>
                  </w:r>
                  <w:r>
                    <w:rPr>
                      <w:color w:val="000000"/>
                      <w:sz w:val="21"/>
                    </w:rPr>
                    <w:t>1、显示分辨率：超高清</w:t>
                  </w:r>
                  <w:r>
                    <w:br/>
                  </w:r>
                  <w:r>
                    <w:rPr>
                      <w:color w:val="000000"/>
                      <w:sz w:val="21"/>
                    </w:rPr>
                    <w:t>2、对资料内容或界面经过理解后进行创意美化设计（包括动画关键帧、界面设计等）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360</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城市形象</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聚焦时刻、走进阳江</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发展策略</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城市发展轨迹</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城市发展定位</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53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2.总体空间格局（三楼）</w:t>
                  </w: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城市开发格局</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多媒体交互程序</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交互程序开发制作</w:t>
                  </w:r>
                  <w:r>
                    <w:br/>
                  </w:r>
                  <w:r>
                    <w:rPr>
                      <w:color w:val="000000"/>
                      <w:sz w:val="21"/>
                    </w:rPr>
                    <w:t>1、用户体验及操作流程设计、包含低保真的输出，确定界面内容、布局、交互方式、信息架构</w:t>
                  </w:r>
                  <w:r>
                    <w:br/>
                  </w:r>
                  <w:r>
                    <w:rPr>
                      <w:color w:val="000000"/>
                      <w:sz w:val="21"/>
                    </w:rPr>
                    <w:t>2、根据目标设备的载体不同，以及输入源不同如 触摸，体感、雷达感应等</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singl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UI设计</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界面设计</w:t>
                  </w:r>
                  <w:r>
                    <w:rPr>
                      <w:color w:val="000000"/>
                      <w:sz w:val="21"/>
                    </w:rPr>
                    <w:t xml:space="preserve">                                                     </w:t>
                  </w:r>
                  <w:r>
                    <w:rPr>
                      <w:color w:val="000000"/>
                      <w:sz w:val="21"/>
                    </w:rPr>
                    <w:t>1、显示分辨率：超高清</w:t>
                  </w:r>
                  <w:r>
                    <w:br/>
                  </w:r>
                  <w:r>
                    <w:rPr>
                      <w:color w:val="000000"/>
                      <w:sz w:val="21"/>
                    </w:rPr>
                    <w:t>2、对资料内容或界面经过理解后进行创意美化设计（包括动画关键帧、界面设计等）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一核三带六区</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多媒体交互程序</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交互程序开发制作</w:t>
                  </w:r>
                  <w:r>
                    <w:br/>
                  </w:r>
                  <w:r>
                    <w:rPr>
                      <w:color w:val="000000"/>
                      <w:sz w:val="21"/>
                    </w:rPr>
                    <w:t>1、用户体验及操作流程设计、包含低保真的输出，确定界面内容、布局、交互方式、信息架构</w:t>
                  </w:r>
                  <w:r>
                    <w:br/>
                  </w:r>
                  <w:r>
                    <w:rPr>
                      <w:color w:val="000000"/>
                      <w:sz w:val="21"/>
                    </w:rPr>
                    <w:t>2、根据目标设备的载体不同，以及输入源不同如 触摸，体感、雷达感应等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UI设计</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界面设计</w:t>
                  </w:r>
                  <w:r>
                    <w:rPr>
                      <w:color w:val="000000"/>
                      <w:sz w:val="21"/>
                    </w:rPr>
                    <w:t xml:space="preserve">                                                     </w:t>
                  </w:r>
                  <w:r>
                    <w:rPr>
                      <w:color w:val="000000"/>
                      <w:sz w:val="21"/>
                    </w:rPr>
                    <w:t>1、显示分辨率：超高清</w:t>
                  </w:r>
                  <w:r>
                    <w:br/>
                  </w:r>
                  <w:r>
                    <w:rPr>
                      <w:color w:val="000000"/>
                      <w:sz w:val="21"/>
                    </w:rPr>
                    <w:t>2、对资料内容或界面经过理解后进行创意美化设计（包括动画关键帧、界面设计等）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融合软件</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3通道融合软件</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三区三线</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3.宜业新动脉（三楼）</w:t>
                  </w: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宜业新动脉</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多媒体</w:t>
                  </w:r>
                  <w:r>
                    <w:rPr>
                      <w:color w:val="000000"/>
                      <w:sz w:val="21"/>
                    </w:rPr>
                    <w:t>AI程序</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交互程序开发制作</w:t>
                  </w:r>
                  <w:r>
                    <w:br/>
                  </w:r>
                  <w:r>
                    <w:rPr>
                      <w:color w:val="000000"/>
                      <w:sz w:val="21"/>
                    </w:rPr>
                    <w:t>1、用户体验及操作流程设计、包含低保真的输出，确定界面内容、布局、交互方式、信息架构</w:t>
                  </w:r>
                  <w:r>
                    <w:br/>
                  </w:r>
                  <w:r>
                    <w:rPr>
                      <w:color w:val="000000"/>
                      <w:sz w:val="21"/>
                    </w:rPr>
                    <w:t>2、根据目标设备的载体不同，以及输入源不同如 触摸，体感、雷达感应等</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singl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UI设计</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界面设计</w:t>
                  </w:r>
                  <w:r>
                    <w:rPr>
                      <w:color w:val="000000"/>
                      <w:sz w:val="21"/>
                    </w:rPr>
                    <w:t xml:space="preserve">                                                     </w:t>
                  </w:r>
                  <w:r>
                    <w:rPr>
                      <w:color w:val="000000"/>
                      <w:sz w:val="21"/>
                    </w:rPr>
                    <w:t>1、显示分辨率：超高清</w:t>
                  </w:r>
                  <w:r>
                    <w:br/>
                  </w:r>
                  <w:r>
                    <w:rPr>
                      <w:color w:val="000000"/>
                      <w:sz w:val="21"/>
                    </w:rPr>
                    <w:t>2、对资料内容或界面经过理解后进行创意美化设计（包括动画关键帧、界面设计等）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90</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4.深蓝新起点（三楼）</w:t>
                  </w: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海洋空间规划</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singl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5.阳江建设区域（二楼）</w:t>
                  </w: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绿美新阳江</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多媒体交互程序</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交互程序开发制作</w:t>
                  </w:r>
                  <w:r>
                    <w:br/>
                  </w:r>
                  <w:r>
                    <w:rPr>
                      <w:color w:val="000000"/>
                      <w:sz w:val="21"/>
                    </w:rPr>
                    <w:t>1、用户体验及操作流程设计、包含低保真的输出，确定界面内容、布局、交互方式、信息架构</w:t>
                  </w:r>
                  <w:r>
                    <w:br/>
                  </w:r>
                  <w:r>
                    <w:rPr>
                      <w:color w:val="000000"/>
                      <w:sz w:val="21"/>
                    </w:rPr>
                    <w:t>2、根据目标设备的载体不同，以及输入源不同如 触摸，体感、雷达感应等</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singl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UI设计</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界面设计</w:t>
                  </w:r>
                  <w:r>
                    <w:rPr>
                      <w:color w:val="000000"/>
                      <w:sz w:val="21"/>
                    </w:rPr>
                    <w:t xml:space="preserve">                                                     </w:t>
                  </w:r>
                  <w:r>
                    <w:rPr>
                      <w:color w:val="000000"/>
                      <w:sz w:val="21"/>
                    </w:rPr>
                    <w:t>1、显示分辨率：超高清</w:t>
                  </w:r>
                  <w:r>
                    <w:br/>
                  </w:r>
                  <w:r>
                    <w:rPr>
                      <w:color w:val="000000"/>
                      <w:sz w:val="21"/>
                    </w:rPr>
                    <w:t>2、对资料内容或界面经过理解后进行创意美化设计（包括动画关键帧、界面设计等）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智慧新未来</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90</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小小规划师</w:t>
                  </w: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AR互动绘画程序开发</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交互程序开发制作</w:t>
                  </w:r>
                  <w:r>
                    <w:br/>
                  </w:r>
                  <w:r>
                    <w:rPr>
                      <w:color w:val="000000"/>
                      <w:sz w:val="21"/>
                    </w:rPr>
                    <w:t>1、用户体验及操作流程设计、包含低保真的输出，确定界面内容、布局、交互方式、信息架构</w:t>
                  </w:r>
                  <w:r>
                    <w:br/>
                  </w:r>
                  <w:r>
                    <w:rPr>
                      <w:color w:val="000000"/>
                      <w:sz w:val="21"/>
                    </w:rPr>
                    <w:t>2、根据目标设备的载体不同，以及输入源不同如 触摸，体感、雷达感应等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UI设计</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界面设计</w:t>
                  </w:r>
                  <w:r>
                    <w:rPr>
                      <w:color w:val="000000"/>
                      <w:sz w:val="21"/>
                    </w:rPr>
                    <w:t xml:space="preserve">                                                     </w:t>
                  </w:r>
                  <w:r>
                    <w:rPr>
                      <w:color w:val="000000"/>
                      <w:sz w:val="21"/>
                    </w:rPr>
                    <w:t>1、显示分辨率：超高清</w:t>
                  </w:r>
                  <w:r>
                    <w:br/>
                  </w:r>
                  <w:r>
                    <w:rPr>
                      <w:color w:val="000000"/>
                      <w:sz w:val="21"/>
                    </w:rPr>
                    <w:t>2、对资料内容或界面经过理解后进行创意美化设计（包括动画关键帧、界面设计等）</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6.绿美阳江（二楼）</w:t>
                  </w: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绿美阳江</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定制脚本</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影片资料的收集和整理，进行策划、创意、影片脚本编写、文案制作创意影片内容层级详细说明的分镜脚本；脚本需由业主确认通过。</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539"/>
                  <w:tcBorders>
                    <w:top w:val="singl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动画制作</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动画制作，粒子特效</w:t>
                  </w:r>
                  <w:r>
                    <w:br/>
                  </w:r>
                  <w:r>
                    <w:rPr>
                      <w:color w:val="000000"/>
                      <w:sz w:val="21"/>
                    </w:rPr>
                    <w:t>1、显示分辨率：超高清</w:t>
                  </w:r>
                  <w:r>
                    <w:br/>
                  </w:r>
                  <w:r>
                    <w:rPr>
                      <w:color w:val="000000"/>
                      <w:sz w:val="21"/>
                    </w:rPr>
                    <w:t xml:space="preserve">2、采用特效、渲染、后期等方式制作并合成为视频                                                           3、背景音乐 配音     </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s</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9"/>
                  <w:tcBorders>
                    <w:top w:val="none" w:color="000000" w:sz="4"/>
                    <w:left w:val="none" w:color="000000" w:sz="4"/>
                    <w:bottom w:val="single" w:color="000000" w:sz="4"/>
                    <w:right w:val="single" w:color="000000" w:sz="4"/>
                  </w:tcBorders>
                  <w:vAlign w:val="bottom"/>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7.设备间</w:t>
                  </w:r>
                </w:p>
              </w:tc>
            </w:tr>
            <w:tr>
              <w:tc>
                <w:tcPr>
                  <w:tcW w:type="dxa" w:w="590"/>
                  <w:vMerge w:val="restart"/>
                  <w:tcBorders>
                    <w:top w:val="none" w:color="000000" w:sz="4"/>
                    <w:left w:val="single" w:color="000000" w:sz="4"/>
                    <w:bottom w:val="single" w:color="000000" w:sz="4"/>
                    <w:right w:val="single" w:color="000000" w:sz="4"/>
                  </w:tcBorders>
                  <w:vAlign w:val="top"/>
                </w:tcPr>
                <w:p>
                  <w:pPr>
                    <w:jc w:val="center"/>
                  </w:pPr>
                  <w:r>
                    <w:rPr>
                      <w:color w:val="000000"/>
                      <w:sz w:val="21"/>
                    </w:rPr>
                    <w:t>绿美阳江</w:t>
                  </w:r>
                </w:p>
              </w:tc>
              <w:tc>
                <w:tcPr>
                  <w:tcW w:type="dxa" w:w="413"/>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825"/>
                  <w:tcBorders>
                    <w:top w:val="single" w:color="000000" w:sz="4"/>
                    <w:left w:val="none" w:color="000000" w:sz="4"/>
                    <w:bottom w:val="single" w:color="000000" w:sz="4"/>
                    <w:right w:val="single" w:color="000000" w:sz="4"/>
                  </w:tcBorders>
                  <w:vAlign w:val="top"/>
                </w:tcPr>
                <w:p>
                  <w:pPr>
                    <w:jc w:val="center"/>
                  </w:pPr>
                  <w:r>
                    <w:rPr>
                      <w:color w:val="000000"/>
                      <w:sz w:val="21"/>
                    </w:rPr>
                    <w:t>智能中控系统程序</w:t>
                  </w:r>
                </w:p>
              </w:tc>
              <w:tc>
                <w:tcPr>
                  <w:tcW w:type="dxa" w:w="2189"/>
                  <w:tcBorders>
                    <w:top w:val="single" w:color="000000" w:sz="4"/>
                    <w:left w:val="none" w:color="000000" w:sz="4"/>
                    <w:bottom w:val="single" w:color="000000" w:sz="4"/>
                    <w:right w:val="single" w:color="000000" w:sz="4"/>
                  </w:tcBorders>
                  <w:vAlign w:val="top"/>
                </w:tcPr>
                <w:p>
                  <w:pPr>
                    <w:jc w:val="left"/>
                  </w:pPr>
                  <w:r>
                    <w:rPr>
                      <w:color w:val="000000"/>
                      <w:sz w:val="21"/>
                    </w:rPr>
                    <w:t>SM-IPADControl定制开发，前台运行在IPAD平板电脑上，iOS系统，菜单式操作，通过WIFI与控制主机通讯，控制沙盘灯光、投影动画与大屏播放多媒体展示软件同步工作。展厅灯光控制，背景音乐控制。含平面美工UI控制界面，多功能集成控制系统,支持Win7/Win8/WIN10系统环境</w:t>
                  </w:r>
                  <w:r>
                    <w:br/>
                  </w:r>
                  <w:r>
                    <w:rPr>
                      <w:color w:val="000000"/>
                      <w:sz w:val="21"/>
                    </w:rPr>
                    <w:t>功能含主机唤醒，关闭，影片控制播放</w:t>
                  </w:r>
                </w:p>
              </w:tc>
              <w:tc>
                <w:tcPr>
                  <w:tcW w:type="dxa" w:w="435"/>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single" w:color="000000" w:sz="4"/>
                    <w:left w:val="none" w:color="000000" w:sz="4"/>
                    <w:bottom w:val="single" w:color="000000" w:sz="4"/>
                    <w:right w:val="single" w:color="000000" w:sz="4"/>
                  </w:tcBorders>
                  <w:vAlign w:val="top"/>
                </w:tcPr>
                <w:p>
                  <w:pPr>
                    <w:jc w:val="center"/>
                  </w:pPr>
                  <w:r>
                    <w:rPr>
                      <w:color w:val="000000"/>
                      <w:sz w:val="21"/>
                    </w:rPr>
                    <w:t>2</w:t>
                  </w:r>
                </w:p>
              </w:tc>
              <w:tc>
                <w:tcPr>
                  <w:tcW w:type="dxa" w:w="539"/>
                  <w:tcBorders>
                    <w:top w:val="single" w:color="000000" w:sz="4"/>
                    <w:left w:val="none" w:color="000000" w:sz="4"/>
                    <w:bottom w:val="single" w:color="000000" w:sz="4"/>
                    <w:right w:val="single" w:color="000000" w:sz="4"/>
                  </w:tcBorders>
                  <w:vAlign w:val="bottom"/>
                </w:tcPr>
                <w:p>
                  <w:pPr>
                    <w:jc w:val="both"/>
                  </w:pPr>
                </w:p>
              </w:tc>
            </w:tr>
            <w:tr>
              <w:tc>
                <w:tcPr>
                  <w:tcW w:type="dxa" w:w="590"/>
                  <w:vMerge/>
                  <w:tcBorders>
                    <w:top w:val="none" w:color="000000" w:sz="4"/>
                    <w:left w:val="singl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中控系统转化模块</w:t>
                  </w:r>
                </w:p>
              </w:tc>
              <w:tc>
                <w:tcPr>
                  <w:tcW w:type="dxa" w:w="2189"/>
                  <w:tcBorders>
                    <w:top w:val="none" w:color="000000" w:sz="4"/>
                    <w:left w:val="none" w:color="000000" w:sz="4"/>
                    <w:bottom w:val="single" w:color="000000" w:sz="4"/>
                    <w:right w:val="single" w:color="000000" w:sz="4"/>
                  </w:tcBorders>
                  <w:vAlign w:val="top"/>
                </w:tcPr>
                <w:p>
                  <w:pPr>
                    <w:jc w:val="left"/>
                  </w:pPr>
                  <w:r>
                    <w:rPr>
                      <w:color w:val="000000"/>
                      <w:sz w:val="21"/>
                    </w:rPr>
                    <w:t>SM-IPAD定制开发版，后台运行在控制主机上，底层代码协议转换模块,支持Win7/Win8/WIN10系统环境，支持开机自启动，可接收无线网络数据，协调IPAD控制软件、多媒体播放软件、大屏幕播放控制、舞台灯光控制软件等同步工作。加密狗授权运行。</w:t>
                  </w:r>
                </w:p>
              </w:tc>
              <w:tc>
                <w:tcPr>
                  <w:tcW w:type="dxa" w:w="43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0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39"/>
                  <w:tcBorders>
                    <w:top w:val="none" w:color="000000" w:sz="4"/>
                    <w:left w:val="none" w:color="000000" w:sz="4"/>
                    <w:bottom w:val="single" w:color="000000" w:sz="4"/>
                    <w:right w:val="single" w:color="000000" w:sz="4"/>
                  </w:tcBorders>
                  <w:vAlign w:val="bottom"/>
                </w:tcPr>
                <w:p>
                  <w:pPr>
                    <w:jc w:val="both"/>
                  </w:pPr>
                </w:p>
              </w:tc>
            </w:tr>
          </w:tbl>
          <w:p/>
          <w:p>
            <w:r>
              <w:rPr>
                <w:color w:val="000000"/>
                <w:sz w:val="21"/>
              </w:rPr>
              <w:t>5.美工工程（装饰部分）</w:t>
            </w:r>
          </w:p>
          <w:tbl>
            <w:tblPr>
              <w:tblBorders>
                <w:top w:val="none" w:color="000000" w:sz="4"/>
                <w:left w:val="none" w:color="000000" w:sz="4"/>
                <w:bottom w:val="none" w:color="000000" w:sz="4"/>
                <w:right w:val="none" w:color="000000" w:sz="4"/>
                <w:insideH w:val="none"/>
                <w:insideV w:val="none"/>
              </w:tblBorders>
            </w:tblPr>
            <w:tblGrid>
              <w:gridCol w:w="668"/>
              <w:gridCol w:w="563"/>
              <w:gridCol w:w="912"/>
              <w:gridCol w:w="1585"/>
              <w:gridCol w:w="511"/>
              <w:gridCol w:w="610"/>
              <w:gridCol w:w="749"/>
            </w:tblGrid>
            <w:tr>
              <w:tc>
                <w:tcPr>
                  <w:tcW w:type="dxa" w:w="5598"/>
                  <w:gridSpan w:val="7"/>
                  <w:tcBorders>
                    <w:top w:val="single" w:color="000000" w:sz="4"/>
                    <w:left w:val="single" w:color="000000" w:sz="4"/>
                    <w:bottom w:val="single" w:color="000000" w:sz="4"/>
                    <w:right w:val="single" w:color="000000" w:sz="4"/>
                  </w:tcBorders>
                  <w:vAlign w:val="top"/>
                </w:tcPr>
                <w:p>
                  <w:pPr>
                    <w:jc w:val="left"/>
                  </w:pPr>
                  <w:r>
                    <w:rPr>
                      <w:b/>
                      <w:color w:val="000000"/>
                      <w:sz w:val="21"/>
                    </w:rPr>
                    <w:t>1.入口大门（三楼）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设备名称</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left"/>
                  </w:pPr>
                  <w:r>
                    <w:rPr>
                      <w:color w:val="000000"/>
                      <w:sz w:val="21"/>
                    </w:rPr>
                    <w:t>技术参数</w:t>
                  </w:r>
                  <w:r>
                    <w:rPr>
                      <w:color w:val="000000"/>
                      <w:sz w:val="21"/>
                    </w:rPr>
                    <w:t>/程序功能</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2.序厅（三楼）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墙面软膜灯箱</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定制软膜灯箱</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墙面不干胶</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依设计内容雕刻不干胶字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墙面油画布喷绘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依设计内容定制、专业胶水粘贴</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定制圆形吊装背雕图案</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直径</w:t>
                  </w:r>
                  <w:r>
                    <w:rPr>
                      <w:color w:val="000000"/>
                      <w:sz w:val="21"/>
                    </w:rPr>
                    <w:t>1m发光</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总规光电沙盘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沙盘尺寸：</w:t>
                  </w:r>
                  <w:r>
                    <w:rPr>
                      <w:color w:val="000000"/>
                      <w:sz w:val="21"/>
                    </w:rPr>
                    <w:t>19.6*9.5m</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186</w:t>
                  </w:r>
                </w:p>
              </w:tc>
              <w:tc>
                <w:tcPr>
                  <w:tcW w:type="dxa" w:w="749"/>
                  <w:vMerge w:val="restart"/>
                  <w:tcBorders>
                    <w:top w:val="none" w:color="000000" w:sz="4"/>
                    <w:left w:val="none" w:color="000000" w:sz="4"/>
                    <w:bottom w:val="single" w:color="000000" w:sz="4"/>
                    <w:right w:val="single" w:color="000000" w:sz="4"/>
                  </w:tcBorders>
                  <w:vAlign w:val="top"/>
                </w:tcPr>
                <w:p>
                  <w:pPr>
                    <w:jc w:val="center"/>
                  </w:pPr>
                  <w:r>
                    <w:rPr>
                      <w:color w:val="000000"/>
                      <w:sz w:val="21"/>
                    </w:rPr>
                    <w:t>序厅</w:t>
                  </w: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灯光控制系统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1.电子沙盘灯光控制系统，包括用于切换自动演示模式与手动演示模式的切换装置，特征：包括用于检测是否有按压并将物力按压情况转换成压力信号的压力传感器、预设有压力基准值信号且耦接于压力传感器以接收压力信号并输出比较信号的比较装置、耦接于比较装置并响应于比较信号以控制切换装置的供电回路通断的控制装置；当压力信号大于压力基准值信号，则所述控制装置控制切换装置的供电回路闭合。</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墙面电子沙盘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墙面电子沙盘</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749"/>
                  <w:tcBorders>
                    <w:top w:val="none" w:color="000000" w:sz="4"/>
                    <w:left w:val="none" w:color="000000" w:sz="4"/>
                    <w:bottom w:val="single" w:color="000000" w:sz="4"/>
                    <w:right w:val="single" w:color="000000" w:sz="4"/>
                  </w:tcBorders>
                  <w:vAlign w:val="top"/>
                </w:tcPr>
                <w:p>
                  <w:pPr>
                    <w:jc w:val="left"/>
                  </w:pPr>
                  <w:r>
                    <w:rPr>
                      <w:color w:val="000000"/>
                      <w:sz w:val="21"/>
                    </w:rPr>
                    <w:t>走进阳江</w:t>
                  </w: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智能控制器</w:t>
                  </w:r>
                </w:p>
              </w:tc>
              <w:tc>
                <w:tcPr>
                  <w:tcW w:type="dxa" w:w="1585"/>
                  <w:tcBorders>
                    <w:top w:val="none" w:color="000000" w:sz="4"/>
                    <w:left w:val="none" w:color="000000" w:sz="4"/>
                    <w:bottom w:val="single" w:color="000000" w:sz="4"/>
                    <w:right w:val="single" w:color="000000" w:sz="4"/>
                  </w:tcBorders>
                  <w:vAlign w:val="top"/>
                </w:tcPr>
                <w:p>
                  <w:pPr>
                    <w:jc w:val="center"/>
                  </w:pPr>
                  <w:r>
                    <w:rPr>
                      <w:color w:val="000000"/>
                      <w:sz w:val="21"/>
                    </w:rPr>
                    <w:t>定制开发控制器。作为主要信号数据的接收与中转使用。</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749"/>
                  <w:tcBorders>
                    <w:top w:val="none" w:color="000000" w:sz="4"/>
                    <w:left w:val="none" w:color="000000" w:sz="4"/>
                    <w:bottom w:val="single" w:color="000000" w:sz="4"/>
                    <w:right w:val="single" w:color="000000" w:sz="4"/>
                  </w:tcBorders>
                  <w:vAlign w:val="top"/>
                </w:tcPr>
                <w:p>
                  <w:pPr>
                    <w:jc w:val="left"/>
                  </w:pPr>
                  <w:r>
                    <w:rPr>
                      <w:color w:val="000000"/>
                      <w:sz w:val="21"/>
                    </w:rPr>
                    <w:t>城市发展轨迹</w:t>
                  </w: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地图模型雕刻</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依设计尺寸定制</w:t>
                  </w:r>
                  <w:r>
                    <w:rPr>
                      <w:color w:val="000000"/>
                      <w:sz w:val="21"/>
                    </w:rPr>
                    <w:t>PVC地图雕刻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3.总体空间格局（三楼）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地面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墙面软膜灯箱</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定制软膜灯箱</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墙面不干胶</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依设计内容雕刻不干胶字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墙面油画布喷绘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依设计内容定制、专业胶水粘贴</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定制背雕图案</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PVC板雕刻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素模沙盘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底层黑色镜面玻璃，模型结构采用磨砂亚克力定制结构造型，摆放在相应位置，底部预留灯路灯带。触摸式实景电子沙盘系统以传统沙盘为基础，为其增加红外感应设备、计算机、音响设备、显示设备</w:t>
                  </w:r>
                  <w:r>
                    <w:rPr>
                      <w:color w:val="000000"/>
                      <w:sz w:val="21"/>
                    </w:rPr>
                    <w:t>(可选)。观众可以用手指或长杆指点沙盘上的各个位置，红外感应设备可以立刻将被点击的位置坐标信息传送至计算机，计算机会将该位置的介绍性内容 以声音、视频的方式进行播放，为观众提供详细的点对点的说明介绍。触摸式实景电子沙盘系统具有可重复使用的特点，同一套系统可以反复应用于不同的实景电子沙盘;对于每一套沙盘，只需要将沙盘中各关键点的坐标输入计算机，然后再将与每一个关键点相对应的介绍内容(声音、视频)输入计算机即可。对于每一个关键点的介绍可以方便的进行修改。</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控制系统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定制开发控制器。作为主要信号数据的接收与中转使用。</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墙面模型定制</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定制亚克力、</w:t>
                  </w:r>
                  <w:r>
                    <w:rPr>
                      <w:color w:val="000000"/>
                      <w:sz w:val="21"/>
                    </w:rPr>
                    <w:t>PVC板模型</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49"/>
                  <w:tcBorders>
                    <w:top w:val="none" w:color="000000" w:sz="4"/>
                    <w:left w:val="none" w:color="000000" w:sz="4"/>
                    <w:bottom w:val="single" w:color="000000" w:sz="4"/>
                    <w:right w:val="single" w:color="000000" w:sz="4"/>
                  </w:tcBorders>
                  <w:vAlign w:val="top"/>
                </w:tcPr>
                <w:p>
                  <w:pPr>
                    <w:jc w:val="left"/>
                  </w:pPr>
                  <w:r>
                    <w:rPr>
                      <w:color w:val="000000"/>
                      <w:sz w:val="21"/>
                    </w:rPr>
                    <w:t>宜居新家园</w:t>
                  </w: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素模沙盘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底层黑色镜面玻璃，模型结构采用磨砂亚克力定制结构造型，摆放在相应位置，底部预留灯路灯带。触摸式实景电子沙盘系统以传统沙盘为基础，为其增加红外感应设备、计算机、音响设备、显示设备</w:t>
                  </w:r>
                  <w:r>
                    <w:rPr>
                      <w:color w:val="000000"/>
                      <w:sz w:val="21"/>
                    </w:rPr>
                    <w:t>(可选)。观众可以用手指或长杆指点沙盘上的各个位置，红外感应设备可以立刻将被点击的位置坐标信息传送至计算机，计算机会将该位置的介绍性内容 以声音、视频的方式进行播放，为观众提供详细的点对点的说明介绍。触摸式实景电子沙盘系统具有可重复使用的特点，同一套系统可以反复应用于不同的实景电子沙盘;对于每一套沙盘，只需要将沙盘中各关键点的坐标输入计算机，然后再将与每一个关键点相对应的介绍内容(声音、视频)输入计算机即可。对于每一个关键点的介绍可以方便的进行修改。</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749"/>
                  <w:vMerge w:val="restart"/>
                  <w:tcBorders>
                    <w:top w:val="none" w:color="000000" w:sz="4"/>
                    <w:left w:val="none" w:color="000000" w:sz="4"/>
                    <w:bottom w:val="single" w:color="000000" w:sz="4"/>
                    <w:right w:val="single" w:color="000000" w:sz="4"/>
                  </w:tcBorders>
                  <w:vAlign w:val="top"/>
                </w:tcPr>
                <w:p>
                  <w:pPr>
                    <w:jc w:val="center"/>
                  </w:pPr>
                  <w:r>
                    <w:rPr>
                      <w:color w:val="000000"/>
                      <w:sz w:val="21"/>
                    </w:rPr>
                    <w:t>城市更新</w:t>
                  </w: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控制器</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定制开发控制器。作为主要信号数据的接收与中转使用。</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地图模型雕刻</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依设计尺寸定制</w:t>
                  </w:r>
                  <w:r>
                    <w:rPr>
                      <w:color w:val="000000"/>
                      <w:sz w:val="21"/>
                    </w:rPr>
                    <w:t>PVC地图雕刻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4.宜业新动脉（三楼）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墙面不干胶</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依设计内容雕刻不干胶字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素模沙盘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底层黑色镜面玻璃，模型结构采用磨砂亚克力定制结构造型，摆放在相应位置，底部预留灯路灯带。触摸式实景电子沙盘系统以传统沙盘为基础，为其增加红外感应设备、计算机、音响设备、显示设备</w:t>
                  </w:r>
                  <w:r>
                    <w:rPr>
                      <w:color w:val="000000"/>
                      <w:sz w:val="21"/>
                    </w:rPr>
                    <w:t>(可选)。观众可以用手指或长杆指点沙盘上的各个位置，红外感应设备可以立刻将被点击的位置坐标信息传送至计算机，计算机会将该位置的介绍性内容 以声音、视频的方式进行播放，为观众提供详细的点对点的说明介绍。触摸式实景电子沙盘系统具有可重复使用的特点，同一套系统可以反复应用于不同的实景电子沙盘;对于每一套沙盘，只需要将沙盘中各关键点的坐标输入计算机，然后再将与每一个关键点相对应的介绍内容(声音、视频)输入计算机即可。对于每一个关键点的介绍可以方便的进行修改。</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地图模型雕刻</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依设计尺寸定制</w:t>
                  </w:r>
                  <w:r>
                    <w:rPr>
                      <w:color w:val="000000"/>
                      <w:sz w:val="21"/>
                    </w:rPr>
                    <w:t>PVC地图雕刻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5.深蓝新起点（三楼）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墙面不干胶</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依设计内容雕刻不干胶字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墙面油画布喷绘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依设计内容定制、专业胶水粘贴</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定制背雕图案</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PVC板雕刻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地图模型雕刻</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依设计尺寸定制</w:t>
                  </w:r>
                  <w:r>
                    <w:rPr>
                      <w:color w:val="000000"/>
                      <w:sz w:val="21"/>
                    </w:rPr>
                    <w:t>PVC地图雕刻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6.阳江建设区域（二楼）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墙面软膜灯箱</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定制软膜灯箱</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墙面不干胶</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依设计内容雕刻不干胶字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地图模型雕刻</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依设计尺寸定制</w:t>
                  </w:r>
                  <w:r>
                    <w:rPr>
                      <w:color w:val="000000"/>
                      <w:sz w:val="21"/>
                    </w:rPr>
                    <w:t>PVC地图雕刻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7.绿美阳江（二楼）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素模沙盘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底层黑色镜面玻璃，模型结构采用磨砂亚克力定制结构造型，摆放在相应位置，底部预留灯路灯带。触摸式实景电子沙盘系统以传统沙盘为基础，为其增加红外感应设备、计算机、音响设备、显示设备</w:t>
                  </w:r>
                  <w:r>
                    <w:rPr>
                      <w:color w:val="000000"/>
                      <w:sz w:val="21"/>
                    </w:rPr>
                    <w:t>(可选)。观众可以用手指或长杆指点沙盘上的各个位置，红外感应设备可以立刻将被点击的位置坐标信息传送至计算机，计算机会将该位置的介绍性内容 以声音、视频的方式进行播放，为观众提供详细的点对点的说明介绍。触摸式实景电子沙盘系统具有可重复使用的特点，同一套系统可以反复应用于不同的实景电子沙盘;对于每一套沙盘，只需要将沙盘中各关键点的坐标输入计算机，然后再将与每一个关键点相对应的介绍内容(声音、视频)输入计算机即可。对于每一个关键点的介绍可以方便的进行修改。</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定制地面</w:t>
                  </w:r>
                  <w:r>
                    <w:rPr>
                      <w:color w:val="000000"/>
                      <w:sz w:val="21"/>
                    </w:rPr>
                    <w:t>LED发光灯柱</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可随着场景不同变换灯光颜色</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墙面油画布喷绘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依设计内容定制、专业胶水粘贴</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8.宜游新场景（二楼）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吊装电子沙盘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依现场尺寸定制电子电路沙盘</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墙面油画布喷绘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依设计内容定制、专业胶水粘贴</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5598"/>
                  <w:gridSpan w:val="7"/>
                  <w:tcBorders>
                    <w:top w:val="none" w:color="000000" w:sz="4"/>
                    <w:left w:val="single" w:color="000000" w:sz="4"/>
                    <w:bottom w:val="single" w:color="000000" w:sz="4"/>
                    <w:right w:val="single" w:color="000000" w:sz="4"/>
                  </w:tcBorders>
                  <w:vAlign w:val="top"/>
                </w:tcPr>
                <w:p>
                  <w:pPr>
                    <w:jc w:val="both"/>
                  </w:pPr>
                  <w:r>
                    <w:rPr>
                      <w:b/>
                      <w:color w:val="000000"/>
                      <w:sz w:val="21"/>
                    </w:rPr>
                    <w:t>9.腾飞之城（二楼）</w:t>
                  </w:r>
                </w:p>
              </w:tc>
            </w:tr>
            <w:tr>
              <w:tc>
                <w:tcPr>
                  <w:tcW w:type="dxa" w:w="668"/>
                  <w:tcBorders>
                    <w:top w:val="none" w:color="000000" w:sz="4"/>
                    <w:left w:val="single" w:color="000000" w:sz="4"/>
                    <w:bottom w:val="single" w:color="000000" w:sz="4"/>
                    <w:right w:val="single" w:color="000000" w:sz="4"/>
                  </w:tcBorders>
                  <w:vAlign w:val="top"/>
                </w:tcPr>
                <w:p>
                  <w:pPr>
                    <w:jc w:val="center"/>
                  </w:pPr>
                  <w:r>
                    <w:rPr>
                      <w:color w:val="000000"/>
                      <w:sz w:val="21"/>
                    </w:rPr>
                    <w:t>类别</w:t>
                  </w:r>
                </w:p>
              </w:tc>
              <w:tc>
                <w:tcPr>
                  <w:tcW w:type="dxa" w:w="563"/>
                  <w:tcBorders>
                    <w:top w:val="single" w:color="000000" w:sz="4"/>
                    <w:left w:val="none" w:color="000000" w:sz="4"/>
                    <w:bottom w:val="single" w:color="000000" w:sz="4"/>
                    <w:right w:val="single" w:color="000000" w:sz="4"/>
                  </w:tcBorders>
                  <w:vAlign w:val="top"/>
                </w:tcPr>
                <w:p>
                  <w:pPr>
                    <w:jc w:val="center"/>
                  </w:pPr>
                  <w:r>
                    <w:rPr>
                      <w:color w:val="000000"/>
                      <w:sz w:val="21"/>
                    </w:rPr>
                    <w:t>序号</w:t>
                  </w:r>
                </w:p>
              </w:tc>
              <w:tc>
                <w:tcPr>
                  <w:tcW w:type="dxa" w:w="912"/>
                  <w:tcBorders>
                    <w:top w:val="single" w:color="000000" w:sz="4"/>
                    <w:left w:val="none" w:color="000000" w:sz="4"/>
                    <w:bottom w:val="single" w:color="000000" w:sz="4"/>
                    <w:right w:val="single" w:color="000000" w:sz="4"/>
                  </w:tcBorders>
                  <w:vAlign w:val="top"/>
                </w:tcPr>
                <w:p>
                  <w:pPr>
                    <w:jc w:val="center"/>
                  </w:pPr>
                  <w:r>
                    <w:rPr>
                      <w:color w:val="000000"/>
                      <w:sz w:val="21"/>
                    </w:rPr>
                    <w:t>设备名称</w:t>
                  </w:r>
                </w:p>
              </w:tc>
              <w:tc>
                <w:tcPr>
                  <w:tcW w:type="dxa" w:w="1585"/>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1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10"/>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74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68"/>
                  <w:vMerge w:val="restart"/>
                  <w:tcBorders>
                    <w:top w:val="none" w:color="000000" w:sz="4"/>
                    <w:left w:val="single" w:color="000000" w:sz="4"/>
                    <w:bottom w:val="single" w:color="000000" w:sz="4"/>
                    <w:right w:val="single" w:color="000000" w:sz="4"/>
                  </w:tcBorders>
                  <w:vAlign w:val="top"/>
                </w:tcPr>
                <w:p>
                  <w:pPr>
                    <w:jc w:val="center"/>
                  </w:pPr>
                  <w:r>
                    <w:rPr>
                      <w:color w:val="000000"/>
                      <w:sz w:val="21"/>
                    </w:rPr>
                    <w:t>墙面</w:t>
                  </w: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墙面发光字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亚克力背发光字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墙面立体字</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PVC立体字</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墙面写真</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墙面贴背胶写真</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墙面油画布喷绘</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依设计内容定制、专业胶水粘贴</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r>
              <w:tc>
                <w:tcPr>
                  <w:tcW w:type="dxa" w:w="668"/>
                  <w:vMerge/>
                  <w:tcBorders>
                    <w:top w:val="none" w:color="000000" w:sz="4"/>
                    <w:left w:val="single" w:color="000000" w:sz="4"/>
                    <w:bottom w:val="single" w:color="000000" w:sz="4"/>
                    <w:right w:val="single" w:color="000000" w:sz="4"/>
                  </w:tcBorders>
                </w:tcPr>
                <w:p/>
              </w:tc>
              <w:tc>
                <w:tcPr>
                  <w:tcW w:type="dxa" w:w="56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912"/>
                  <w:tcBorders>
                    <w:top w:val="none" w:color="000000" w:sz="4"/>
                    <w:left w:val="none" w:color="000000" w:sz="4"/>
                    <w:bottom w:val="single" w:color="000000" w:sz="4"/>
                    <w:right w:val="single" w:color="000000" w:sz="4"/>
                  </w:tcBorders>
                  <w:vAlign w:val="top"/>
                </w:tcPr>
                <w:p>
                  <w:pPr>
                    <w:jc w:val="center"/>
                  </w:pPr>
                  <w:r>
                    <w:rPr>
                      <w:color w:val="000000"/>
                      <w:sz w:val="21"/>
                    </w:rPr>
                    <w:t>定制背雕图案</w:t>
                  </w:r>
                </w:p>
              </w:tc>
              <w:tc>
                <w:tcPr>
                  <w:tcW w:type="dxa" w:w="1585"/>
                  <w:tcBorders>
                    <w:top w:val="none" w:color="000000" w:sz="4"/>
                    <w:left w:val="none" w:color="000000" w:sz="4"/>
                    <w:bottom w:val="single" w:color="000000" w:sz="4"/>
                    <w:right w:val="single" w:color="000000" w:sz="4"/>
                  </w:tcBorders>
                  <w:vAlign w:val="top"/>
                </w:tcPr>
                <w:p>
                  <w:pPr>
                    <w:jc w:val="left"/>
                  </w:pPr>
                  <w:r>
                    <w:rPr>
                      <w:color w:val="000000"/>
                      <w:sz w:val="21"/>
                    </w:rPr>
                    <w:t>PVC板雕刻</w:t>
                  </w:r>
                </w:p>
              </w:tc>
              <w:tc>
                <w:tcPr>
                  <w:tcW w:type="dxa" w:w="51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49"/>
                  <w:tcBorders>
                    <w:top w:val="none" w:color="000000" w:sz="4"/>
                    <w:left w:val="none" w:color="000000" w:sz="4"/>
                    <w:bottom w:val="single" w:color="000000" w:sz="4"/>
                    <w:right w:val="single" w:color="000000" w:sz="4"/>
                  </w:tcBorders>
                  <w:vAlign w:val="top"/>
                </w:tcPr>
                <w:p>
                  <w:pPr>
                    <w:jc w:val="both"/>
                  </w:pPr>
                </w:p>
              </w:tc>
            </w:tr>
          </w:tbl>
          <w:p/>
          <w:p/>
          <w:p>
            <w:r>
              <w:rPr>
                <w:color w:val="000000"/>
                <w:sz w:val="21"/>
              </w:rPr>
              <w:t>6.消防空调改造</w:t>
            </w:r>
          </w:p>
          <w:tbl>
            <w:tblPr>
              <w:tblBorders>
                <w:top w:val="none" w:color="000000" w:sz="4"/>
                <w:left w:val="none" w:color="000000" w:sz="4"/>
                <w:bottom w:val="none" w:color="000000" w:sz="4"/>
                <w:right w:val="none" w:color="000000" w:sz="4"/>
                <w:insideH w:val="none"/>
                <w:insideV w:val="none"/>
              </w:tblBorders>
            </w:tblPr>
            <w:tblGrid>
              <w:gridCol w:w="577"/>
              <w:gridCol w:w="1067"/>
              <w:gridCol w:w="2163"/>
              <w:gridCol w:w="625"/>
              <w:gridCol w:w="572"/>
              <w:gridCol w:w="595"/>
            </w:tblGrid>
            <w:tr>
              <w:tc>
                <w:tcPr>
                  <w:tcW w:type="dxa" w:w="577"/>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067"/>
                  <w:tcBorders>
                    <w:top w:val="single" w:color="000000" w:sz="4"/>
                    <w:left w:val="none" w:color="000000" w:sz="4"/>
                    <w:bottom w:val="single" w:color="000000" w:sz="4"/>
                    <w:right w:val="single" w:color="000000" w:sz="4"/>
                  </w:tcBorders>
                  <w:vAlign w:val="top"/>
                </w:tcPr>
                <w:p>
                  <w:pPr>
                    <w:jc w:val="left"/>
                  </w:pPr>
                  <w:r>
                    <w:rPr>
                      <w:color w:val="000000"/>
                      <w:sz w:val="21"/>
                    </w:rPr>
                    <w:t>工程名称</w:t>
                  </w:r>
                </w:p>
              </w:tc>
              <w:tc>
                <w:tcPr>
                  <w:tcW w:type="dxa" w:w="2163"/>
                  <w:tcBorders>
                    <w:top w:val="single" w:color="000000" w:sz="4"/>
                    <w:left w:val="none" w:color="000000" w:sz="4"/>
                    <w:bottom w:val="single" w:color="000000" w:sz="4"/>
                    <w:right w:val="single" w:color="000000" w:sz="4"/>
                  </w:tcBorders>
                  <w:vAlign w:val="top"/>
                </w:tcPr>
                <w:p>
                  <w:pPr>
                    <w:jc w:val="center"/>
                  </w:pPr>
                  <w:r>
                    <w:rPr>
                      <w:color w:val="000000"/>
                      <w:sz w:val="21"/>
                    </w:rPr>
                    <w:t>包含内容</w:t>
                  </w:r>
                </w:p>
              </w:tc>
              <w:tc>
                <w:tcPr>
                  <w:tcW w:type="dxa" w:w="625"/>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572"/>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595"/>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577"/>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067"/>
                  <w:tcBorders>
                    <w:top w:val="none" w:color="000000" w:sz="4"/>
                    <w:left w:val="none" w:color="000000" w:sz="4"/>
                    <w:bottom w:val="single" w:color="000000" w:sz="4"/>
                    <w:right w:val="single" w:color="000000" w:sz="4"/>
                  </w:tcBorders>
                  <w:vAlign w:val="top"/>
                </w:tcPr>
                <w:p>
                  <w:pPr>
                    <w:jc w:val="left"/>
                  </w:pPr>
                  <w:r>
                    <w:rPr>
                      <w:color w:val="000000"/>
                      <w:sz w:val="21"/>
                    </w:rPr>
                    <w:t>空调改造</w:t>
                  </w:r>
                </w:p>
              </w:tc>
              <w:tc>
                <w:tcPr>
                  <w:tcW w:type="dxa" w:w="2163"/>
                  <w:tcBorders>
                    <w:top w:val="none" w:color="000000" w:sz="4"/>
                    <w:left w:val="none" w:color="000000" w:sz="4"/>
                    <w:bottom w:val="single" w:color="000000" w:sz="4"/>
                    <w:right w:val="single" w:color="000000" w:sz="4"/>
                  </w:tcBorders>
                  <w:vAlign w:val="top"/>
                </w:tcPr>
                <w:p>
                  <w:pPr>
                    <w:jc w:val="center"/>
                  </w:pPr>
                  <w:r>
                    <w:rPr>
                      <w:color w:val="000000"/>
                      <w:sz w:val="21"/>
                    </w:rPr>
                    <w:t>规划馆二、三、四层空调改造</w:t>
                  </w:r>
                </w:p>
              </w:tc>
              <w:tc>
                <w:tcPr>
                  <w:tcW w:type="dxa" w:w="62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595"/>
                  <w:tcBorders>
                    <w:top w:val="none" w:color="000000" w:sz="4"/>
                    <w:left w:val="none" w:color="000000" w:sz="4"/>
                    <w:bottom w:val="single" w:color="000000" w:sz="4"/>
                    <w:right w:val="single" w:color="000000" w:sz="4"/>
                  </w:tcBorders>
                  <w:vAlign w:val="top"/>
                </w:tcPr>
                <w:p>
                  <w:pPr>
                    <w:jc w:val="center"/>
                  </w:pPr>
                </w:p>
              </w:tc>
            </w:tr>
            <w:tr>
              <w:tc>
                <w:tcPr>
                  <w:tcW w:type="dxa" w:w="577"/>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067"/>
                  <w:tcBorders>
                    <w:top w:val="none" w:color="000000" w:sz="4"/>
                    <w:left w:val="none" w:color="000000" w:sz="4"/>
                    <w:bottom w:val="single" w:color="000000" w:sz="4"/>
                    <w:right w:val="single" w:color="000000" w:sz="4"/>
                  </w:tcBorders>
                  <w:vAlign w:val="top"/>
                </w:tcPr>
                <w:p>
                  <w:pPr>
                    <w:jc w:val="left"/>
                  </w:pPr>
                  <w:r>
                    <w:rPr>
                      <w:color w:val="000000"/>
                      <w:sz w:val="21"/>
                    </w:rPr>
                    <w:t>二次消防改造</w:t>
                  </w:r>
                </w:p>
              </w:tc>
              <w:tc>
                <w:tcPr>
                  <w:tcW w:type="dxa" w:w="2163"/>
                  <w:tcBorders>
                    <w:top w:val="none" w:color="000000" w:sz="4"/>
                    <w:left w:val="none" w:color="000000" w:sz="4"/>
                    <w:bottom w:val="single" w:color="000000" w:sz="4"/>
                    <w:right w:val="single" w:color="000000" w:sz="4"/>
                  </w:tcBorders>
                  <w:vAlign w:val="top"/>
                </w:tcPr>
                <w:p>
                  <w:pPr>
                    <w:jc w:val="center"/>
                  </w:pPr>
                  <w:r>
                    <w:rPr>
                      <w:color w:val="000000"/>
                      <w:sz w:val="21"/>
                    </w:rPr>
                    <w:t>规划馆二、三、四层二次消防改造</w:t>
                  </w:r>
                </w:p>
              </w:tc>
              <w:tc>
                <w:tcPr>
                  <w:tcW w:type="dxa" w:w="62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595"/>
                  <w:tcBorders>
                    <w:top w:val="none" w:color="000000" w:sz="4"/>
                    <w:left w:val="none" w:color="000000" w:sz="4"/>
                    <w:bottom w:val="single" w:color="000000" w:sz="4"/>
                    <w:right w:val="single" w:color="000000" w:sz="4"/>
                  </w:tcBorders>
                  <w:vAlign w:val="top"/>
                </w:tcPr>
                <w:p>
                  <w:pPr>
                    <w:jc w:val="center"/>
                  </w:pPr>
                </w:p>
              </w:tc>
            </w:tr>
          </w:tbl>
          <w:p/>
          <w:p>
            <w:r>
              <w:rPr>
                <w:color w:val="000000"/>
                <w:sz w:val="21"/>
              </w:rPr>
              <w:t>7.深化设计</w:t>
            </w:r>
          </w:p>
          <w:tbl>
            <w:tblPr>
              <w:tblBorders>
                <w:top w:val="none" w:color="000000" w:sz="4"/>
                <w:left w:val="none" w:color="000000" w:sz="4"/>
                <w:bottom w:val="none" w:color="000000" w:sz="4"/>
                <w:right w:val="none" w:color="000000" w:sz="4"/>
                <w:insideH w:val="none"/>
                <w:insideV w:val="none"/>
              </w:tblBorders>
            </w:tblPr>
            <w:tblGrid>
              <w:gridCol w:w="539"/>
              <w:gridCol w:w="743"/>
              <w:gridCol w:w="772"/>
              <w:gridCol w:w="1891"/>
              <w:gridCol w:w="505"/>
              <w:gridCol w:w="609"/>
              <w:gridCol w:w="539"/>
            </w:tblGrid>
            <w:tr>
              <w:tc>
                <w:tcPr>
                  <w:tcW w:type="dxa" w:w="539"/>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743"/>
                  <w:tcBorders>
                    <w:top w:val="single" w:color="000000" w:sz="4"/>
                    <w:left w:val="none" w:color="000000" w:sz="4"/>
                    <w:bottom w:val="single" w:color="000000" w:sz="4"/>
                    <w:right w:val="single" w:color="000000" w:sz="4"/>
                  </w:tcBorders>
                  <w:vAlign w:val="top"/>
                </w:tcPr>
                <w:p>
                  <w:pPr>
                    <w:jc w:val="center"/>
                  </w:pPr>
                  <w:r>
                    <w:rPr>
                      <w:color w:val="000000"/>
                      <w:sz w:val="21"/>
                    </w:rPr>
                    <w:t>项目名称</w:t>
                  </w:r>
                </w:p>
              </w:tc>
              <w:tc>
                <w:tcPr>
                  <w:tcW w:type="dxa" w:w="772"/>
                  <w:tcBorders>
                    <w:top w:val="single" w:color="000000" w:sz="4"/>
                    <w:left w:val="none" w:color="000000" w:sz="4"/>
                    <w:bottom w:val="single" w:color="000000" w:sz="4"/>
                    <w:right w:val="single" w:color="000000" w:sz="4"/>
                  </w:tcBorders>
                  <w:vAlign w:val="top"/>
                </w:tcPr>
                <w:p>
                  <w:pPr>
                    <w:jc w:val="center"/>
                  </w:pPr>
                  <w:r>
                    <w:rPr>
                      <w:color w:val="000000"/>
                      <w:sz w:val="21"/>
                    </w:rPr>
                    <w:t>工程名称</w:t>
                  </w:r>
                </w:p>
              </w:tc>
              <w:tc>
                <w:tcPr>
                  <w:tcW w:type="dxa" w:w="1891"/>
                  <w:tcBorders>
                    <w:top w:val="single" w:color="000000" w:sz="4"/>
                    <w:left w:val="none" w:color="000000" w:sz="4"/>
                    <w:bottom w:val="single" w:color="000000" w:sz="4"/>
                    <w:right w:val="single" w:color="000000" w:sz="4"/>
                  </w:tcBorders>
                  <w:vAlign w:val="top"/>
                </w:tcPr>
                <w:p>
                  <w:pPr>
                    <w:jc w:val="center"/>
                  </w:pPr>
                  <w:r>
                    <w:rPr>
                      <w:color w:val="000000"/>
                      <w:sz w:val="21"/>
                    </w:rPr>
                    <w:t>技术参数</w:t>
                  </w:r>
                  <w:r>
                    <w:rPr>
                      <w:color w:val="000000"/>
                      <w:sz w:val="21"/>
                    </w:rPr>
                    <w:t>/项目特征描述</w:t>
                  </w:r>
                </w:p>
              </w:tc>
              <w:tc>
                <w:tcPr>
                  <w:tcW w:type="dxa" w:w="505"/>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21"/>
                    </w:rPr>
                    <w:t>数量</w:t>
                  </w:r>
                  <w:r>
                    <w:rPr>
                      <w:color w:val="000000"/>
                      <w:sz w:val="21"/>
                    </w:rPr>
                    <w:t>/面积</w:t>
                  </w:r>
                </w:p>
              </w:tc>
              <w:tc>
                <w:tcPr>
                  <w:tcW w:type="dxa" w:w="539"/>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53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43"/>
                  <w:vMerge w:val="restart"/>
                  <w:tcBorders>
                    <w:top w:val="none" w:color="000000" w:sz="4"/>
                    <w:left w:val="none" w:color="000000" w:sz="4"/>
                    <w:bottom w:val="single" w:color="000000" w:sz="4"/>
                    <w:right w:val="single" w:color="000000" w:sz="4"/>
                  </w:tcBorders>
                  <w:vAlign w:val="top"/>
                </w:tcPr>
                <w:p>
                  <w:pPr>
                    <w:jc w:val="center"/>
                  </w:pPr>
                  <w:r>
                    <w:rPr>
                      <w:color w:val="000000"/>
                      <w:sz w:val="21"/>
                    </w:rPr>
                    <w:t>深化设计</w:t>
                  </w:r>
                </w:p>
              </w:tc>
              <w:tc>
                <w:tcPr>
                  <w:tcW w:type="dxa" w:w="772"/>
                  <w:tcBorders>
                    <w:top w:val="none" w:color="000000" w:sz="4"/>
                    <w:left w:val="none" w:color="000000" w:sz="4"/>
                    <w:bottom w:val="single" w:color="000000" w:sz="4"/>
                    <w:right w:val="single" w:color="000000" w:sz="4"/>
                  </w:tcBorders>
                  <w:vAlign w:val="top"/>
                </w:tcPr>
                <w:p>
                  <w:pPr>
                    <w:jc w:val="center"/>
                  </w:pPr>
                  <w:r>
                    <w:rPr>
                      <w:color w:val="000000"/>
                      <w:sz w:val="21"/>
                    </w:rPr>
                    <w:t>内容策划</w:t>
                  </w:r>
                </w:p>
              </w:tc>
              <w:tc>
                <w:tcPr>
                  <w:tcW w:type="dxa" w:w="1891"/>
                  <w:tcBorders>
                    <w:top w:val="none" w:color="000000" w:sz="4"/>
                    <w:left w:val="none" w:color="000000" w:sz="4"/>
                    <w:bottom w:val="single" w:color="000000" w:sz="4"/>
                    <w:right w:val="single" w:color="000000" w:sz="4"/>
                  </w:tcBorders>
                  <w:vAlign w:val="top"/>
                </w:tcPr>
                <w:p>
                  <w:pPr>
                    <w:jc w:val="center"/>
                  </w:pPr>
                  <w:r>
                    <w:rPr>
                      <w:color w:val="000000"/>
                      <w:sz w:val="21"/>
                    </w:rPr>
                    <w:t>包含展陈大纲深化设计、上墙文字、图片等内容编辑整理，及多媒体内容文字、图片、视频编辑整理</w:t>
                  </w: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609"/>
                  <w:tcBorders>
                    <w:top w:val="none" w:color="000000" w:sz="4"/>
                    <w:left w:val="none" w:color="000000" w:sz="4"/>
                    <w:bottom w:val="single" w:color="000000" w:sz="4"/>
                    <w:right w:val="single" w:color="000000" w:sz="4"/>
                  </w:tcBorders>
                  <w:vAlign w:val="top"/>
                </w:tcPr>
                <w:p>
                  <w:pPr>
                    <w:jc w:val="center"/>
                  </w:pPr>
                  <w:r>
                    <w:rPr>
                      <w:color w:val="000000"/>
                      <w:sz w:val="21"/>
                    </w:rPr>
                    <w:t>1870</w:t>
                  </w:r>
                </w:p>
              </w:tc>
              <w:tc>
                <w:tcPr>
                  <w:tcW w:type="dxa" w:w="539"/>
                  <w:tcBorders>
                    <w:top w:val="none" w:color="000000" w:sz="4"/>
                    <w:left w:val="none" w:color="000000" w:sz="4"/>
                    <w:bottom w:val="single" w:color="000000" w:sz="4"/>
                    <w:right w:val="single" w:color="000000" w:sz="4"/>
                  </w:tcBorders>
                  <w:vAlign w:val="top"/>
                </w:tcPr>
                <w:p>
                  <w:pPr>
                    <w:jc w:val="center"/>
                  </w:pPr>
                </w:p>
              </w:tc>
            </w:tr>
            <w:tr>
              <w:tc>
                <w:tcPr>
                  <w:tcW w:type="dxa" w:w="53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743"/>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vAlign w:val="top"/>
                </w:tcPr>
                <w:p>
                  <w:pPr>
                    <w:jc w:val="center"/>
                  </w:pPr>
                  <w:r>
                    <w:rPr>
                      <w:color w:val="000000"/>
                      <w:sz w:val="21"/>
                    </w:rPr>
                    <w:t>空间设计</w:t>
                  </w:r>
                </w:p>
              </w:tc>
              <w:tc>
                <w:tcPr>
                  <w:tcW w:type="dxa" w:w="1891"/>
                  <w:tcBorders>
                    <w:top w:val="none" w:color="000000" w:sz="4"/>
                    <w:left w:val="none" w:color="000000" w:sz="4"/>
                    <w:bottom w:val="single" w:color="000000" w:sz="4"/>
                    <w:right w:val="single" w:color="000000" w:sz="4"/>
                  </w:tcBorders>
                  <w:vAlign w:val="top"/>
                </w:tcPr>
                <w:p>
                  <w:pPr>
                    <w:jc w:val="center"/>
                  </w:pPr>
                  <w:r>
                    <w:rPr>
                      <w:color w:val="000000"/>
                      <w:sz w:val="21"/>
                    </w:rPr>
                    <w:t>包含展厅三维建模设计、色彩元素搭配设计，视觉效果设计</w:t>
                  </w: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609"/>
                  <w:tcBorders>
                    <w:top w:val="none" w:color="000000" w:sz="4"/>
                    <w:left w:val="none" w:color="000000" w:sz="4"/>
                    <w:bottom w:val="single" w:color="000000" w:sz="4"/>
                    <w:right w:val="single" w:color="000000" w:sz="4"/>
                  </w:tcBorders>
                  <w:vAlign w:val="top"/>
                </w:tcPr>
                <w:p>
                  <w:pPr>
                    <w:jc w:val="center"/>
                  </w:pPr>
                  <w:r>
                    <w:rPr>
                      <w:color w:val="000000"/>
                      <w:sz w:val="21"/>
                    </w:rPr>
                    <w:t>1870</w:t>
                  </w:r>
                </w:p>
              </w:tc>
              <w:tc>
                <w:tcPr>
                  <w:tcW w:type="dxa" w:w="539"/>
                  <w:tcBorders>
                    <w:top w:val="none" w:color="000000" w:sz="4"/>
                    <w:left w:val="none" w:color="000000" w:sz="4"/>
                    <w:bottom w:val="single" w:color="000000" w:sz="4"/>
                    <w:right w:val="single" w:color="000000" w:sz="4"/>
                  </w:tcBorders>
                  <w:vAlign w:val="top"/>
                </w:tcPr>
                <w:p>
                  <w:pPr>
                    <w:jc w:val="center"/>
                  </w:pPr>
                </w:p>
              </w:tc>
            </w:tr>
            <w:tr>
              <w:tc>
                <w:tcPr>
                  <w:tcW w:type="dxa" w:w="53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743"/>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vAlign w:val="top"/>
                </w:tcPr>
                <w:p>
                  <w:pPr>
                    <w:jc w:val="center"/>
                  </w:pPr>
                  <w:r>
                    <w:rPr>
                      <w:color w:val="000000"/>
                      <w:sz w:val="21"/>
                    </w:rPr>
                    <w:t>平面设计</w:t>
                  </w:r>
                </w:p>
              </w:tc>
              <w:tc>
                <w:tcPr>
                  <w:tcW w:type="dxa" w:w="1891"/>
                  <w:tcBorders>
                    <w:top w:val="none" w:color="000000" w:sz="4"/>
                    <w:left w:val="none" w:color="000000" w:sz="4"/>
                    <w:bottom w:val="single" w:color="000000" w:sz="4"/>
                    <w:right w:val="single" w:color="000000" w:sz="4"/>
                  </w:tcBorders>
                  <w:vAlign w:val="top"/>
                </w:tcPr>
                <w:p>
                  <w:pPr>
                    <w:jc w:val="center"/>
                  </w:pPr>
                  <w:r>
                    <w:rPr>
                      <w:color w:val="000000"/>
                      <w:sz w:val="21"/>
                    </w:rPr>
                    <w:t>依现场墙面尺寸进行上墙内容排版设计</w:t>
                  </w: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609"/>
                  <w:tcBorders>
                    <w:top w:val="none" w:color="000000" w:sz="4"/>
                    <w:left w:val="none" w:color="000000" w:sz="4"/>
                    <w:bottom w:val="single" w:color="000000" w:sz="4"/>
                    <w:right w:val="single" w:color="000000" w:sz="4"/>
                  </w:tcBorders>
                  <w:vAlign w:val="top"/>
                </w:tcPr>
                <w:p>
                  <w:pPr>
                    <w:jc w:val="center"/>
                  </w:pPr>
                  <w:r>
                    <w:rPr>
                      <w:color w:val="000000"/>
                      <w:sz w:val="21"/>
                    </w:rPr>
                    <w:t>1870</w:t>
                  </w:r>
                </w:p>
              </w:tc>
              <w:tc>
                <w:tcPr>
                  <w:tcW w:type="dxa" w:w="539"/>
                  <w:tcBorders>
                    <w:top w:val="none" w:color="000000" w:sz="4"/>
                    <w:left w:val="none" w:color="000000" w:sz="4"/>
                    <w:bottom w:val="single" w:color="000000" w:sz="4"/>
                    <w:right w:val="single" w:color="000000" w:sz="4"/>
                  </w:tcBorders>
                  <w:vAlign w:val="top"/>
                </w:tcPr>
                <w:p>
                  <w:pPr>
                    <w:jc w:val="center"/>
                  </w:pPr>
                </w:p>
              </w:tc>
            </w:tr>
            <w:tr>
              <w:tc>
                <w:tcPr>
                  <w:tcW w:type="dxa" w:w="53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743"/>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vAlign w:val="top"/>
                </w:tcPr>
                <w:p>
                  <w:pPr>
                    <w:jc w:val="center"/>
                  </w:pPr>
                  <w:r>
                    <w:rPr>
                      <w:color w:val="000000"/>
                      <w:sz w:val="21"/>
                    </w:rPr>
                    <w:t>施工图设计</w:t>
                  </w:r>
                </w:p>
              </w:tc>
              <w:tc>
                <w:tcPr>
                  <w:tcW w:type="dxa" w:w="1891"/>
                  <w:tcBorders>
                    <w:top w:val="none" w:color="000000" w:sz="4"/>
                    <w:left w:val="none" w:color="000000" w:sz="4"/>
                    <w:bottom w:val="single" w:color="000000" w:sz="4"/>
                    <w:right w:val="single" w:color="000000" w:sz="4"/>
                  </w:tcBorders>
                  <w:vAlign w:val="top"/>
                </w:tcPr>
                <w:p>
                  <w:pPr>
                    <w:jc w:val="center"/>
                  </w:pPr>
                  <w:r>
                    <w:rPr>
                      <w:color w:val="000000"/>
                      <w:sz w:val="21"/>
                    </w:rPr>
                    <w:t>包含平面图（平面布置图、地面材质图、天花尺寸图、综合天花布置图等）、立面图（各立面墙面设计图）、剖面图、电气图、点位图等</w:t>
                  </w: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609"/>
                  <w:tcBorders>
                    <w:top w:val="none" w:color="000000" w:sz="4"/>
                    <w:left w:val="none" w:color="000000" w:sz="4"/>
                    <w:bottom w:val="single" w:color="000000" w:sz="4"/>
                    <w:right w:val="single" w:color="000000" w:sz="4"/>
                  </w:tcBorders>
                  <w:vAlign w:val="top"/>
                </w:tcPr>
                <w:p>
                  <w:pPr>
                    <w:jc w:val="center"/>
                  </w:pPr>
                  <w:r>
                    <w:rPr>
                      <w:color w:val="000000"/>
                      <w:sz w:val="21"/>
                    </w:rPr>
                    <w:t>1870</w:t>
                  </w:r>
                </w:p>
              </w:tc>
              <w:tc>
                <w:tcPr>
                  <w:tcW w:type="dxa" w:w="539"/>
                  <w:tcBorders>
                    <w:top w:val="none" w:color="000000" w:sz="4"/>
                    <w:left w:val="none" w:color="000000" w:sz="4"/>
                    <w:bottom w:val="single" w:color="000000" w:sz="4"/>
                    <w:right w:val="single" w:color="000000" w:sz="4"/>
                  </w:tcBorders>
                  <w:vAlign w:val="top"/>
                </w:tcPr>
                <w:p>
                  <w:pPr>
                    <w:jc w:val="center"/>
                  </w:pPr>
                </w:p>
              </w:tc>
            </w:tr>
          </w:tbl>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1.采购代理机构：本项目是指广东业信招标有限公司，负责整个采购活动的组织，依法负责编制和发布招标文件，对招标文件拥有最终的解释权，不以任何身份出任评标委员会成员。</w:t>
      </w:r>
    </w:p>
    <w:p>
      <w:pPr>
        <w:ind w:firstLine="480"/>
      </w:pPr>
      <w:r>
        <w:rPr/>
        <w:t>2.采购人：本项目是指</w:t>
      </w:r>
      <w:r>
        <w:rPr/>
        <w:t>阳江市档案馆</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采购包1：保证金人民币：160,000.00元整。</w:t>
            </w:r>
          </w:p>
          <w:p>
            <w:r>
              <w:rPr/>
              <w:t>开户单位：</w:t>
            </w:r>
            <w:r>
              <w:rPr/>
              <w:t>广东业信招标有限公司</w:t>
            </w:r>
          </w:p>
          <w:p>
            <w:r>
              <w:rPr/>
              <w:t>开户账号：</w:t>
            </w:r>
            <w:r>
              <w:rPr/>
              <w:t>80020000016804642</w:t>
            </w:r>
          </w:p>
          <w:p>
            <w:r>
              <w:rPr/>
              <w:t>开户银行：</w:t>
            </w:r>
            <w:r>
              <w:rPr/>
              <w:t>阳江农村商业银行股份有限公司营业部</w:t>
            </w:r>
          </w:p>
          <w:p>
            <w:r>
              <w:rPr/>
              <w:t>支票提交方式：</w:t>
            </w:r>
            <w:r>
              <w:rPr/>
              <w:t>现场提交</w:t>
            </w:r>
          </w:p>
          <w:p>
            <w:r>
              <w:rPr/>
              <w:t>汇票、本票提交方式：</w:t>
            </w:r>
            <w:r>
              <w:rPr/>
              <w:t>现场提交</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不收取。</w:t>
            </w:r>
          </w:p>
        </w:tc>
      </w:tr>
      <w:tr>
        <w:tc>
          <w:tcPr>
            <w:tcW w:type="dxa" w:w="1051"/>
          </w:tcPr>
          <w:p>
            <w:r>
              <w:rPr/>
              <w:t>17</w:t>
            </w:r>
          </w:p>
        </w:tc>
        <w:tc>
          <w:tcPr>
            <w:tcW w:type="dxa" w:w="2252"/>
          </w:tcPr>
          <w:p>
            <w:r>
              <w:rPr/>
              <w:t>代理服务费收取方式</w:t>
            </w:r>
          </w:p>
        </w:tc>
        <w:tc>
          <w:tcPr>
            <w:tcW w:type="dxa" w:w="5004"/>
          </w:tcPr>
          <w:p>
            <w:r>
              <w:rPr/>
              <w:t>不收取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广东业信招标有限公司</w:t>
      </w:r>
      <w:r>
        <w:rPr/>
        <w:t>代收。具体操作要求详见</w:t>
      </w:r>
      <w:r>
        <w:rPr/>
        <w:t>广东业信招标有限公司</w:t>
      </w:r>
      <w:r>
        <w:rPr/>
        <w:t>有关指引，递交事宜请自行咨询</w:t>
      </w:r>
      <w:r>
        <w:rPr/>
        <w:t>广东业信招标有限公司</w:t>
      </w:r>
      <w:r>
        <w:rPr/>
        <w:t>；请各投标人在投标文件递交截止时间前按须知前附表规定的金额递交至</w:t>
      </w:r>
      <w:r>
        <w:rPr/>
        <w:t>广东业信招标有限公司</w:t>
      </w:r>
      <w:r>
        <w:rPr/>
        <w:t>，到账情况以开标时</w:t>
      </w:r>
      <w:r>
        <w:rPr/>
        <w:t>广东业信招标有限公司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谢小姐</w:t>
      </w:r>
    </w:p>
    <w:p>
      <w:pPr>
        <w:ind w:firstLine="480"/>
      </w:pPr>
      <w:r>
        <w:rPr/>
        <w:t>电话：</w:t>
      </w:r>
      <w:r>
        <w:rPr/>
        <w:t>0662-3167266</w:t>
      </w:r>
    </w:p>
    <w:p>
      <w:pPr>
        <w:ind w:firstLine="480"/>
      </w:pPr>
      <w:r>
        <w:rPr/>
        <w:t>传真：</w:t>
      </w:r>
      <w:r>
        <w:rPr/>
        <w:t>0662-2669666</w:t>
      </w:r>
    </w:p>
    <w:p>
      <w:pPr>
        <w:ind w:firstLine="480"/>
      </w:pPr>
      <w:r>
        <w:rPr/>
        <w:t>邮箱：</w:t>
      </w:r>
      <w:r>
        <w:rPr/>
        <w:t>gdyxcg@126.com</w:t>
      </w:r>
    </w:p>
    <w:p>
      <w:pPr>
        <w:ind w:firstLine="480"/>
      </w:pPr>
      <w:r>
        <w:rPr/>
        <w:t>地址：</w:t>
      </w:r>
      <w:r>
        <w:rPr/>
        <w:t>阳江市江城区猫山四街33号A座2楼</w:t>
      </w:r>
    </w:p>
    <w:p>
      <w:pPr>
        <w:ind w:firstLine="480"/>
      </w:pPr>
      <w:r>
        <w:rPr/>
        <w:t>邮编：</w:t>
      </w:r>
      <w:r>
        <w:rPr/>
        <w:t>529500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政府采购监督管理机构名称：广东省阳江市政府采购管理办公室</w:t>
      </w:r>
    </w:p>
    <w:p>
      <w:r>
        <w:rPr/>
        <w:t>地  址：阳江市江城区石湾北路225号</w:t>
      </w:r>
    </w:p>
    <w:p>
      <w:r>
        <w:rPr/>
        <w:t>电  话：0662-3418693</w:t>
      </w:r>
    </w:p>
    <w:p>
      <w:r>
        <w:rPr/>
        <w:t>邮  编：529500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阳江市综合文化中心规划馆展陈深化设计及施工一体化布展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广东业信招标有限公司</w:t>
      </w:r>
      <w:r>
        <w:rPr/>
        <w:t>统一对外发布。</w:t>
      </w:r>
    </w:p>
    <w:p>
      <w:pPr>
        <w:ind w:firstLine="480"/>
      </w:pPr>
      <w:r>
        <w:rPr/>
        <w:t>（2）对</w:t>
      </w:r>
      <w:r>
        <w:rPr/>
        <w:t>广东业信招标有限公司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采购包1（阳江市综合文化中心规划馆展陈深化设计及施工一体化布展服务项目）：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采购包1（阳江市综合文化中心规划馆展陈深化设计及施工一体化布展服务项目）：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供应商必须具有良好的商业信誉和健全的财务会计制度（提供2022年度财务状况报告或2023年任意一个月的财务报表或基本开户行出具的资信证明）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
      <w:pPr>
        <w:ind w:firstLine="480"/>
      </w:pPr>
      <w:r>
        <w:rPr/>
        <w:t>表二符合性审查表：</w:t>
      </w:r>
    </w:p>
    <w:p>
      <w:pPr>
        <w:ind w:firstLine="480"/>
      </w:pPr>
    </w:p>
    <w:p/>
    <w:p>
      <w:r>
        <w:rPr/>
        <w:t>采购包1（阳江市综合文化中心规划馆展陈深化设计及施工一体化布展服务项目）：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须满足带“★”号要求</w:t>
            </w:r>
          </w:p>
        </w:tc>
        <w:tc>
          <w:tcPr>
            <w:tcW w:type="dxa" w:w="4238"/>
          </w:tcPr>
          <w:p>
            <w:r>
              <w:rPr/>
              <w:t>1.★请投标人认真测算，项目实施过程中所需的而在招标文件中未列出的相关辅助材料和其他一切费用应由投标人在报价时一并考虑。项目实施后中标人不得另行收取其他任何费用，但必须保证满足项目的使用要求，不足部分由中标人负责免费提供。（提供承诺函，格式自拟） 2.★如中标供应商不具有消防相关资质，则二次消防部分应委托给具有相应资格的单位实施，实施前，承接该二次消防部分的单位须提交相关资料给采购人，经采购人审核同意后方可开始实施。（提供承诺函，格式自拟）</w:t>
            </w:r>
          </w:p>
        </w:tc>
      </w:tr>
      <w:tr>
        <w:tc>
          <w:tcPr>
            <w:tcW w:type="dxa" w:w="890"/>
          </w:tcPr>
          <w:p>
            <w:r>
              <w:rPr/>
              <w:t>2</w:t>
            </w:r>
          </w:p>
        </w:tc>
        <w:tc>
          <w:tcPr>
            <w:tcW w:type="dxa" w:w="3178"/>
          </w:tcPr>
          <w:p>
            <w:r>
              <w:rPr/>
              <w:t>完工期须满足要求</w:t>
            </w:r>
          </w:p>
        </w:tc>
        <w:tc>
          <w:tcPr>
            <w:tcW w:type="dxa" w:w="4238"/>
          </w:tcPr>
          <w:p>
            <w:r>
              <w:rPr/>
              <w:t>自合同签订之日起180个日历日内完成设计、施工布展及相关服务，并完成设备安装、调试及验收合格。（超出于该完工期将作为无效投标处理）</w:t>
            </w:r>
          </w:p>
        </w:tc>
      </w:tr>
      <w:tr>
        <w:tc>
          <w:tcPr>
            <w:tcW w:type="dxa" w:w="890"/>
          </w:tcPr>
          <w:p>
            <w:r>
              <w:rPr/>
              <w:t>3</w:t>
            </w:r>
          </w:p>
        </w:tc>
        <w:tc>
          <w:tcPr>
            <w:tcW w:type="dxa" w:w="3178"/>
          </w:tcPr>
          <w:p>
            <w:r>
              <w:rPr/>
              <w:t>投标报价未超出报价上限</w:t>
            </w:r>
          </w:p>
        </w:tc>
        <w:tc>
          <w:tcPr>
            <w:tcW w:type="dxa" w:w="4238"/>
          </w:tcPr>
          <w:p>
            <w:r>
              <w:rPr/>
              <w:t>人民币16049235.58元（超出该上限的投标报价将作为无效投标处理）</w:t>
            </w:r>
          </w:p>
        </w:tc>
      </w:tr>
      <w:tr>
        <w:tc>
          <w:tcPr>
            <w:tcW w:type="dxa" w:w="890"/>
          </w:tcPr>
          <w:p>
            <w:r>
              <w:rPr/>
              <w:t>4</w:t>
            </w:r>
          </w:p>
        </w:tc>
        <w:tc>
          <w:tcPr>
            <w:tcW w:type="dxa" w:w="3178"/>
          </w:tcPr>
          <w:p>
            <w:r>
              <w:rPr/>
              <w:t>保证金须满足要求</w:t>
            </w:r>
          </w:p>
        </w:tc>
        <w:tc>
          <w:tcPr>
            <w:tcW w:type="dxa" w:w="4238"/>
          </w:tcPr>
          <w:p>
            <w:r>
              <w:rPr/>
              <w:t>提供保证金缴纳凭证（保证金人民币：160000.00元整）</w:t>
            </w:r>
          </w:p>
        </w:tc>
      </w:tr>
      <w:tr>
        <w:tc>
          <w:tcPr>
            <w:tcW w:type="dxa" w:w="890"/>
          </w:tcPr>
          <w:p>
            <w:r>
              <w:rPr/>
              <w:t>5</w:t>
            </w:r>
          </w:p>
        </w:tc>
        <w:tc>
          <w:tcPr>
            <w:tcW w:type="dxa" w:w="3178"/>
          </w:tcPr>
          <w:p>
            <w:r>
              <w:rPr/>
              <w:t>法定代表人/负责人资格证明书及授权委托书</w:t>
            </w:r>
          </w:p>
        </w:tc>
        <w:tc>
          <w:tcPr>
            <w:tcW w:type="dxa" w:w="4238"/>
          </w:tcPr>
          <w:p>
            <w:r>
              <w:rPr/>
              <w:t>提供法定代表人/负责人资格证明书及授权委托书</w:t>
            </w:r>
          </w:p>
        </w:tc>
      </w:tr>
      <w:tr>
        <w:tc>
          <w:tcPr>
            <w:tcW w:type="dxa" w:w="890"/>
          </w:tcPr>
          <w:p>
            <w:r>
              <w:rPr/>
              <w:t>6</w:t>
            </w:r>
          </w:p>
        </w:tc>
        <w:tc>
          <w:tcPr>
            <w:tcW w:type="dxa" w:w="3178"/>
          </w:tcPr>
          <w:p>
            <w:r>
              <w:rPr/>
              <w:t>其他要求</w:t>
            </w:r>
          </w:p>
        </w:tc>
        <w:tc>
          <w:tcPr>
            <w:tcW w:type="dxa" w:w="4238"/>
          </w:tcPr>
          <w:p>
            <w:r>
              <w:rPr/>
              <w:t>按投标资料清单中规定提供“必须提交”的文件资料</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采购包1(阳江市综合文化中心规划馆展陈深化设计及施工一体化布展服务项目):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项目理解 (5.0分)</w:t>
            </w:r>
            <w:r>
              <w:rPr/>
              <w:t>，（等次分值选择：</w:t>
            </w:r>
            <w:r>
              <w:rPr/>
              <w:t>0.0;</w:t>
            </w:r>
            <w:r>
              <w:rPr/>
              <w:t>1.0;</w:t>
            </w:r>
            <w:r>
              <w:rPr/>
              <w:t>3.0;</w:t>
            </w:r>
            <w:r>
              <w:rPr/>
              <w:t>5.0;</w:t>
            </w:r>
            <w:r>
              <w:rPr/>
              <w:t>）</w:t>
            </w:r>
          </w:p>
        </w:tc>
        <w:tc>
          <w:tcPr>
            <w:tcW w:type="dxa" w:w="5076"/>
          </w:tcPr>
          <w:p>
            <w:pPr>
              <w:jc w:val="left"/>
            </w:pPr>
            <w:r>
              <w:rPr/>
              <w:t>1.深化设计方案整体脉络清晰、逻辑严密，策展思路明确，整体设计完全符合项目建设标准，定位与需求紧密联系，整体风格协调，体现创新创意特点的，得5分； 2.深化设计方案整体脉络较为清晰、逻辑较为严密，整体设计基本符合项目建设标准，定位与需求结合度一般，整体风格较为协调，简单体现创新创意特点的，得3分； 3.深化设计方案简单、逻辑不严密，或整体设计不符合项目建设标准，项目定位与需求素无关联，整体风格不协调的，得1分； 不提供不得分。</w:t>
            </w:r>
          </w:p>
        </w:tc>
      </w:tr>
      <w:tr>
        <w:tc>
          <w:tcPr>
            <w:tcW w:type="dxa" w:w="922"/>
            <w:gridSpan w:val="2"/>
            <w:vMerge/>
          </w:tcPr>
          <w:p/>
        </w:tc>
        <w:tc>
          <w:tcPr>
            <w:tcW w:type="dxa" w:w="2307"/>
          </w:tcPr>
          <w:p>
            <w:pPr>
              <w:jc w:val="left"/>
            </w:pPr>
            <w:r>
              <w:rPr/>
              <w:t>展览主色调 (5.0分)</w:t>
            </w:r>
            <w:r>
              <w:rPr/>
              <w:t>，（等次分值选择：</w:t>
            </w:r>
            <w:r>
              <w:rPr/>
              <w:t>0.0;</w:t>
            </w:r>
            <w:r>
              <w:rPr/>
              <w:t>1.0;</w:t>
            </w:r>
            <w:r>
              <w:rPr/>
              <w:t>3.0;</w:t>
            </w:r>
            <w:r>
              <w:rPr/>
              <w:t>5.0;</w:t>
            </w:r>
            <w:r>
              <w:rPr/>
              <w:t>）</w:t>
            </w:r>
          </w:p>
        </w:tc>
        <w:tc>
          <w:tcPr>
            <w:tcW w:type="dxa" w:w="5076"/>
          </w:tcPr>
          <w:p>
            <w:pPr>
              <w:jc w:val="left"/>
            </w:pPr>
            <w:r>
              <w:rPr/>
              <w:t>1.展览风格色调明确，契合展览主题，合理地把握各分展区的色调，各分展区色调过度自然、视觉感官舒适的，得5分； 2.展览风格色调较为明确，较为契合展览主题，较为合理地把握各分展区的色调，各分展区色调过度较为自然、视觉感官较为舒适的，得3分； 3.展览风格色调不够明确，或不能契合展览主题，或不能合理地把握各分展区的色调，或各分展区色调过度不自然、视觉感官不舒适的，得1分； 不提供不得分。</w:t>
            </w:r>
          </w:p>
        </w:tc>
      </w:tr>
      <w:tr>
        <w:tc>
          <w:tcPr>
            <w:tcW w:type="dxa" w:w="922"/>
            <w:gridSpan w:val="2"/>
            <w:vMerge/>
          </w:tcPr>
          <w:p/>
        </w:tc>
        <w:tc>
          <w:tcPr>
            <w:tcW w:type="dxa" w:w="2307"/>
          </w:tcPr>
          <w:p>
            <w:pPr>
              <w:jc w:val="left"/>
            </w:pPr>
            <w:r>
              <w:rPr/>
              <w:t>展陈大纲深化 (5.0分)</w:t>
            </w:r>
            <w:r>
              <w:rPr/>
              <w:t>，（等次分值选择：</w:t>
            </w:r>
            <w:r>
              <w:rPr/>
              <w:t>0.0;</w:t>
            </w:r>
            <w:r>
              <w:rPr/>
              <w:t>1.0;</w:t>
            </w:r>
            <w:r>
              <w:rPr/>
              <w:t>3.0;</w:t>
            </w:r>
            <w:r>
              <w:rPr/>
              <w:t>5.0;</w:t>
            </w:r>
            <w:r>
              <w:rPr/>
              <w:t>）</w:t>
            </w:r>
          </w:p>
        </w:tc>
        <w:tc>
          <w:tcPr>
            <w:tcW w:type="dxa" w:w="5076"/>
          </w:tcPr>
          <w:p>
            <w:pPr>
              <w:jc w:val="left"/>
            </w:pPr>
            <w:r>
              <w:rPr/>
              <w:t>1.深化展陈大纲脉络清晰，主题鲜明，逻辑严谨，对重点展项有针对性阐述，深入解读本项目需求，使其具有纲领性及指导性的意义的，得5分； 2.深化展陈大纲脉络基本清晰，主题较为鲜明，逻辑清晰，对重点展项有一定阐述，比较深入解读本项目需求，使其具有基本的纲领性及指导性的意义的，得3分； 3.深化展陈大纲脉络凌乱，主题不鲜明，逻辑不清晰，没有对重点展项进行针对性阐述或阐述不清晰，没有深入解读本项目需求，不具备纲领性及指导性的意义的，得1分； 不提供不得分。</w:t>
            </w:r>
          </w:p>
        </w:tc>
      </w:tr>
      <w:tr>
        <w:tc>
          <w:tcPr>
            <w:tcW w:type="dxa" w:w="922"/>
            <w:gridSpan w:val="2"/>
            <w:vMerge/>
          </w:tcPr>
          <w:p/>
        </w:tc>
        <w:tc>
          <w:tcPr>
            <w:tcW w:type="dxa" w:w="2307"/>
          </w:tcPr>
          <w:p>
            <w:pPr>
              <w:jc w:val="left"/>
            </w:pPr>
            <w:r>
              <w:rPr/>
              <w:t>艺术创作 (5.0分)</w:t>
            </w:r>
            <w:r>
              <w:rPr/>
              <w:t>，（等次分值选择：</w:t>
            </w:r>
            <w:r>
              <w:rPr/>
              <w:t>0.0;</w:t>
            </w:r>
            <w:r>
              <w:rPr/>
              <w:t>1.0;</w:t>
            </w:r>
            <w:r>
              <w:rPr/>
              <w:t>3.0;</w:t>
            </w:r>
            <w:r>
              <w:rPr/>
              <w:t>5.0;</w:t>
            </w:r>
            <w:r>
              <w:rPr/>
              <w:t>）</w:t>
            </w:r>
          </w:p>
        </w:tc>
        <w:tc>
          <w:tcPr>
            <w:tcW w:type="dxa" w:w="5076"/>
          </w:tcPr>
          <w:p>
            <w:pPr>
              <w:jc w:val="left"/>
            </w:pPr>
            <w:r>
              <w:rPr/>
              <w:t>1.艺术创作方案构想紧扣内容主题,能准确提取展览主题且细节丰富，各展厅主题鲜明，视觉效果好，与内部建筑环境的协调性高，美学视觉效果优良的，得5分； 2.艺术创作方案基本满足要求，方案架构基本完整，较为合理，基本可行的，得3分； 3.艺术创作方案简单，内容没有针对性的，得1分； 不提供不得分。</w:t>
            </w:r>
          </w:p>
        </w:tc>
      </w:tr>
      <w:tr>
        <w:tc>
          <w:tcPr>
            <w:tcW w:type="dxa" w:w="922"/>
            <w:gridSpan w:val="2"/>
            <w:vMerge/>
          </w:tcPr>
          <w:p/>
        </w:tc>
        <w:tc>
          <w:tcPr>
            <w:tcW w:type="dxa" w:w="2307"/>
          </w:tcPr>
          <w:p>
            <w:pPr>
              <w:jc w:val="left"/>
            </w:pPr>
            <w:r>
              <w:rPr/>
              <w:t>参观流线 (5.0分)</w:t>
            </w:r>
            <w:r>
              <w:rPr/>
              <w:t>，（等次分值选择：</w:t>
            </w:r>
            <w:r>
              <w:rPr/>
              <w:t>0.0;</w:t>
            </w:r>
            <w:r>
              <w:rPr/>
              <w:t>1.0;</w:t>
            </w:r>
            <w:r>
              <w:rPr/>
              <w:t>3.0;</w:t>
            </w:r>
            <w:r>
              <w:rPr/>
              <w:t>5.0;</w:t>
            </w:r>
            <w:r>
              <w:rPr/>
              <w:t>）</w:t>
            </w:r>
          </w:p>
        </w:tc>
        <w:tc>
          <w:tcPr>
            <w:tcW w:type="dxa" w:w="5076"/>
          </w:tcPr>
          <w:p>
            <w:pPr>
              <w:jc w:val="left"/>
            </w:pPr>
            <w:r>
              <w:rPr/>
              <w:t>1.兼顾各类参观群体需求，科学合理地设置流线，根据不同的参观人群设置不同的参观流线，各流线上的展示内容应符合参观群体的需求，且时间安排合理的，得5分； 2.兼顾部分参观群体的关注点，较科学合理、顺畅，基本上能根据不同的参观人群设置不同的参观流线，各流线上的展示内容较为符合参观群体的需求，且时间安排较为合理的，得3分； 3.只能兼顾少部分参观群体的关注点，不科学、不合理、不顺畅，或没有根据不同的参观人群设置不同的参观流线，或各流线上的展示内容不符合参观群体的需求，或时间安排不够合理的，得1分； 不提供不得分。</w:t>
            </w:r>
          </w:p>
        </w:tc>
      </w:tr>
      <w:tr>
        <w:tc>
          <w:tcPr>
            <w:tcW w:type="dxa" w:w="922"/>
            <w:gridSpan w:val="2"/>
            <w:vMerge/>
          </w:tcPr>
          <w:p/>
        </w:tc>
        <w:tc>
          <w:tcPr>
            <w:tcW w:type="dxa" w:w="2307"/>
          </w:tcPr>
          <w:p>
            <w:pPr>
              <w:jc w:val="left"/>
            </w:pPr>
            <w:r>
              <w:rPr/>
              <w:t>分区布局 (5.0分)</w:t>
            </w:r>
            <w:r>
              <w:rPr/>
              <w:t>，（等次分值选择：</w:t>
            </w:r>
            <w:r>
              <w:rPr/>
              <w:t>0.0;</w:t>
            </w:r>
            <w:r>
              <w:rPr/>
              <w:t>1.0;</w:t>
            </w:r>
            <w:r>
              <w:rPr/>
              <w:t>3.0;</w:t>
            </w:r>
            <w:r>
              <w:rPr/>
              <w:t>5.0;</w:t>
            </w:r>
            <w:r>
              <w:rPr/>
              <w:t>）</w:t>
            </w:r>
          </w:p>
        </w:tc>
        <w:tc>
          <w:tcPr>
            <w:tcW w:type="dxa" w:w="5076"/>
          </w:tcPr>
          <w:p>
            <w:pPr>
              <w:jc w:val="left"/>
            </w:pPr>
            <w:r>
              <w:rPr/>
              <w:t>1.展示内容合理划分各分展区及功能空间、科学布置展区平面和功能用房、充分合理地利用建筑空间，各展区之间、各展区与公共区域之间过渡自然、紧密衔接的，得5分； 2.展示内容较为合理划分各分展区及功能空间、较为科学布置展区平面和功能用房、较为充分合理地利用建筑空间，各展区之间、各展区与公共区域之间过渡较为自然、可以衔接的，得3分； 3.展示内容不能合理划分各分展区及功能空间、布置展区平面和功能用房不科学、利用建筑空间不够合理，或各展区之间、各展区与公共区域之间过渡不够自然、衔接不上的，得1分； 不提供不得分。</w:t>
            </w:r>
          </w:p>
        </w:tc>
      </w:tr>
      <w:tr>
        <w:tc>
          <w:tcPr>
            <w:tcW w:type="dxa" w:w="922"/>
            <w:gridSpan w:val="2"/>
            <w:vMerge/>
          </w:tcPr>
          <w:p/>
        </w:tc>
        <w:tc>
          <w:tcPr>
            <w:tcW w:type="dxa" w:w="2307"/>
          </w:tcPr>
          <w:p>
            <w:pPr>
              <w:jc w:val="left"/>
            </w:pPr>
            <w:r>
              <w:rPr/>
              <w:t>空间展示 (5.0分)</w:t>
            </w:r>
            <w:r>
              <w:rPr/>
              <w:t>，（等次分值选择：</w:t>
            </w:r>
            <w:r>
              <w:rPr/>
              <w:t>0.0;</w:t>
            </w:r>
            <w:r>
              <w:rPr/>
              <w:t>1.0;</w:t>
            </w:r>
            <w:r>
              <w:rPr/>
              <w:t>3.0;</w:t>
            </w:r>
            <w:r>
              <w:rPr/>
              <w:t>5.0;</w:t>
            </w:r>
            <w:r>
              <w:rPr/>
              <w:t>）</w:t>
            </w:r>
          </w:p>
        </w:tc>
        <w:tc>
          <w:tcPr>
            <w:tcW w:type="dxa" w:w="5076"/>
          </w:tcPr>
          <w:p>
            <w:pPr>
              <w:jc w:val="left"/>
            </w:pPr>
            <w:r>
              <w:rPr/>
              <w:t>1.各展览分区内部空间的设计充分体现美学与功能的完美结合，设计表达效果图与建筑条件相吻合、表现力好、具有强烈的视觉冲击力，展厅空间设计无遗漏部分，各展区彩立面表现图完整的，得5 分； 2.各展览分区内部空间的设计较能体现美学与功能的结合，设计表达效果图与建筑条件较为吻合、表现力较好、较有视觉冲击力，展厅空间设计； 3.有小部分遗漏内容，各展区彩立面表现图较完整的，得3分； 各展览分区内部空间的设计不能体现美学与功能的结合，或设计表达效果图与建筑条件不吻合、表现力不够好、不具有视觉冲击力，或展厅空间设计遗漏内容较多，各展区彩立面表现图不完整的，得1分； 不提供不得分。</w:t>
            </w:r>
          </w:p>
        </w:tc>
      </w:tr>
      <w:tr>
        <w:tc>
          <w:tcPr>
            <w:tcW w:type="dxa" w:w="922"/>
            <w:gridSpan w:val="2"/>
            <w:vMerge/>
          </w:tcPr>
          <w:p/>
        </w:tc>
        <w:tc>
          <w:tcPr>
            <w:tcW w:type="dxa" w:w="2307"/>
          </w:tcPr>
          <w:p>
            <w:pPr>
              <w:jc w:val="left"/>
            </w:pPr>
            <w:r>
              <w:rPr/>
              <w:t>设计效果 (5.0分)</w:t>
            </w:r>
            <w:r>
              <w:rPr/>
              <w:t>，（等次分值选择：</w:t>
            </w:r>
            <w:r>
              <w:rPr/>
              <w:t>0.0;</w:t>
            </w:r>
            <w:r>
              <w:rPr/>
              <w:t>1.0;</w:t>
            </w:r>
            <w:r>
              <w:rPr/>
              <w:t>3.0;</w:t>
            </w:r>
            <w:r>
              <w:rPr/>
              <w:t>5.0;</w:t>
            </w:r>
            <w:r>
              <w:rPr/>
              <w:t>）</w:t>
            </w:r>
          </w:p>
        </w:tc>
        <w:tc>
          <w:tcPr>
            <w:tcW w:type="dxa" w:w="5076"/>
          </w:tcPr>
          <w:p>
            <w:pPr>
              <w:jc w:val="left"/>
            </w:pPr>
            <w:r>
              <w:rPr/>
              <w:t>投标人根据本项目用户需求要求递交有效的深化设计方案，且提供了以下图纸数量：展陈空间三维效果图不少于20张、重点展项效果图不少于6张、展项技术分析图不少于6张，评标委员会对上述效果图进行对比评分： 1.所提供的空间效果、展项效果、承接分析满足且优于采购需求，展陈执行能力强的，得5分；  2.所提供的空间效果、展项效果、承接分析满足采购需求，具备一定展陈执行能力的，得3分；  3.所提供的空间效果、展项效果、承接分析无法满足采购需求，展陈执行能力低下的，得1分； 不提供不得分。</w:t>
            </w:r>
          </w:p>
        </w:tc>
      </w:tr>
      <w:tr>
        <w:tc>
          <w:tcPr>
            <w:tcW w:type="dxa" w:w="922"/>
            <w:gridSpan w:val="2"/>
            <w:vMerge/>
          </w:tcPr>
          <w:p/>
        </w:tc>
        <w:tc>
          <w:tcPr>
            <w:tcW w:type="dxa" w:w="2307"/>
          </w:tcPr>
          <w:p>
            <w:pPr>
              <w:jc w:val="left"/>
            </w:pPr>
            <w:r>
              <w:rPr/>
              <w:t>演示方案完整展示情况 (10.0分)</w:t>
            </w:r>
            <w:r>
              <w:rPr/>
              <w:t>，（等次分值选择：</w:t>
            </w:r>
            <w:r>
              <w:rPr/>
              <w:t>0.0;</w:t>
            </w:r>
            <w:r>
              <w:rPr/>
              <w:t>1.0;</w:t>
            </w:r>
            <w:r>
              <w:rPr/>
              <w:t>5.0;</w:t>
            </w:r>
            <w:r>
              <w:rPr/>
              <w:t>10.0;</w:t>
            </w:r>
            <w:r>
              <w:rPr/>
              <w:t>）</w:t>
            </w:r>
          </w:p>
        </w:tc>
        <w:tc>
          <w:tcPr>
            <w:tcW w:type="dxa" w:w="5076"/>
          </w:tcPr>
          <w:p>
            <w:pPr>
              <w:jc w:val="left"/>
            </w:pPr>
            <w:r>
              <w:rPr/>
              <w:t>投标人提供时长10分钟以内的原创设计的演示片，内容包括策展理念、主题展陈大纲解读、参观动线、空间分布、空间效果图演示，文件为可自动播放或自带可播放软件的视频格式。  1.演示文件思路清晰、通俗易懂，展现内容完好地与陈展方案进行融会贯通的，得10分；  2.演示文件思路清晰，展现内容与陈展方案基本符合需求的，得5分；  3.演示文件内容思路混乱，展现内容与陈展方案关系不密切的，得1分。  注：演示文件统一为 ppt、avi、mp4等常用格式，请投标人自备播放设备并保证方案演示内容的成功播放，若评审过程中无法读取播放方案演示内容，则该项为0分。</w:t>
            </w:r>
          </w:p>
        </w:tc>
      </w:tr>
      <w:tr>
        <w:tc>
          <w:tcPr>
            <w:tcW w:type="dxa" w:w="922"/>
            <w:gridSpan w:val="2"/>
            <w:vMerge/>
          </w:tcPr>
          <w:p/>
        </w:tc>
        <w:tc>
          <w:tcPr>
            <w:tcW w:type="dxa" w:w="2307"/>
          </w:tcPr>
          <w:p>
            <w:pPr>
              <w:jc w:val="left"/>
            </w:pPr>
            <w:r>
              <w:rPr/>
              <w:t>施工方案 (5.0分)</w:t>
            </w:r>
            <w:r>
              <w:rPr/>
              <w:t>，（等次分值选择：</w:t>
            </w:r>
            <w:r>
              <w:rPr/>
              <w:t>0.0;</w:t>
            </w:r>
            <w:r>
              <w:rPr/>
              <w:t>1.0;</w:t>
            </w:r>
            <w:r>
              <w:rPr/>
              <w:t>3.0;</w:t>
            </w:r>
            <w:r>
              <w:rPr/>
              <w:t>5.0;</w:t>
            </w:r>
            <w:r>
              <w:rPr/>
              <w:t>）</w:t>
            </w:r>
          </w:p>
        </w:tc>
        <w:tc>
          <w:tcPr>
            <w:tcW w:type="dxa" w:w="5076"/>
          </w:tcPr>
          <w:p>
            <w:pPr>
              <w:jc w:val="left"/>
            </w:pPr>
            <w:r>
              <w:rPr/>
              <w:t>根据投标人的施工组织深化设计方案（针对本项目的施工组织深化设计方案完善，保障措施得力，方法合理，对实施重点难点技术措施到位，质量、工期及安全文明保证措施完善，合理化建议切实可行等）情况进行评分： 1.完全符合上述要求的，优于招标文件的，得5分； 2.基本符合上述要求的，满足招标文件的，得3分； 3.部分内容有欠缺的，不符合招标文件的，得1分； 不提供不得分。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根据投标人的售后服务方案（针对本项目的质保期、保修范围、售后服务技术力量、其他服务承诺等）情况进行评分： 1.售后服务方案完整合理，可行性强的，优于招标文件的，得5分； 2.售后服务方案基本完整，可行性一般的，满足招标文件的，得3分； 3.售后服务方案不完整，可行性差的，不符合招标文件的，得1分； 不提供不得分。</w:t>
            </w:r>
          </w:p>
        </w:tc>
      </w:tr>
      <w:tr>
        <w:tc>
          <w:tcPr>
            <w:tcW w:type="dxa" w:w="922"/>
            <w:gridSpan w:val="2"/>
            <w:vMerge w:val="restart"/>
          </w:tcPr>
          <w:p>
            <w:pPr>
              <w:jc w:val="center"/>
            </w:pPr>
            <w:r>
              <w:rPr/>
              <w:t>商务部分</w:t>
            </w:r>
          </w:p>
        </w:tc>
        <w:tc>
          <w:tcPr>
            <w:tcW w:type="dxa" w:w="2307"/>
          </w:tcPr>
          <w:p>
            <w:pPr>
              <w:jc w:val="left"/>
            </w:pPr>
            <w:r>
              <w:rPr/>
              <w:t>管理体系 (10.0分)</w:t>
            </w:r>
          </w:p>
        </w:tc>
        <w:tc>
          <w:tcPr>
            <w:tcW w:type="dxa" w:w="5076"/>
          </w:tcPr>
          <w:p>
            <w:pPr>
              <w:jc w:val="left"/>
            </w:pPr>
            <w:r>
              <w:rPr/>
              <w:t>根据投标人获得的认证范围为展览展示的管理体系认证证书进行评分： 1.获得质量管理体系认证证书的，得2分； 2.获得环境管理体系认证证书的，得2分； 3.获得职业健康安全管理体系认证证书的，得2分。 4.获得信息安全管理体系认证证书的，得2分。 5.获得服务认证证书（商品售后服务评价体系）的，得2分。 注：提供管理体系认证证书复印件和全国认证认可信息公共服务平台（http://cx.cnca.cn/）查询截图为评分依据，无则不得分。</w:t>
            </w:r>
          </w:p>
        </w:tc>
      </w:tr>
      <w:tr>
        <w:tc>
          <w:tcPr>
            <w:tcW w:type="dxa" w:w="922"/>
            <w:gridSpan w:val="2"/>
            <w:vMerge/>
          </w:tcPr>
          <w:p/>
        </w:tc>
        <w:tc>
          <w:tcPr>
            <w:tcW w:type="dxa" w:w="2307"/>
          </w:tcPr>
          <w:p>
            <w:pPr>
              <w:jc w:val="left"/>
            </w:pPr>
            <w:r>
              <w:rPr/>
              <w:t>类似项目业绩 (10.0分)</w:t>
            </w:r>
          </w:p>
        </w:tc>
        <w:tc>
          <w:tcPr>
            <w:tcW w:type="dxa" w:w="5076"/>
          </w:tcPr>
          <w:p>
            <w:pPr>
              <w:jc w:val="left"/>
            </w:pPr>
            <w:r>
              <w:rPr/>
              <w:t>根据投标人自2020年1月1日起至今独立承接的与本项目类似的项目业绩进行评分，每个符合要求的业绩得1分。 注：以投标人提供的业绩合同关键页复印件为评分依据，未能提供上述证明文件的，该项业绩不得分。</w:t>
            </w:r>
          </w:p>
        </w:tc>
      </w:tr>
      <w:tr>
        <w:tc>
          <w:tcPr>
            <w:tcW w:type="dxa" w:w="922"/>
            <w:gridSpan w:val="2"/>
            <w:vMerge/>
          </w:tcPr>
          <w:p/>
        </w:tc>
        <w:tc>
          <w:tcPr>
            <w:tcW w:type="dxa" w:w="2307"/>
          </w:tcPr>
          <w:p>
            <w:pPr>
              <w:jc w:val="left"/>
            </w:pPr>
            <w:r>
              <w:rPr/>
              <w:t>技术团队 (10.0分)</w:t>
            </w:r>
          </w:p>
        </w:tc>
        <w:tc>
          <w:tcPr>
            <w:tcW w:type="dxa" w:w="5076"/>
          </w:tcPr>
          <w:p>
            <w:pPr>
              <w:jc w:val="left"/>
            </w:pPr>
            <w:r>
              <w:rPr/>
              <w:t>根据投标人拟投入本项目的技术团队专业人员情况进行评分： 1.管理人员配备有建筑工程专业、电气专业、信息系统项目管理专业高级职称的，每人得2分；中级职称的，每人得1分；本项最高得6分； 2.设计人员配备有建筑装饰设计专业、环境艺术设计专业高级职称的，每人得2分；中级职称的，每人得1分；本项最高得4分。 本项最高得10分。 注：上述人员同时具备不同证书的不进行累计得分，需要提供人员资格证书和人员在职（或聘用）证明复印件，无则不得分。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441701-2024-00050</w:t>
      </w:r>
    </w:p>
    <w:p>
      <w:pPr>
        <w:jc w:val="center"/>
      </w:pPr>
      <w:r>
        <w:rPr>
          <w:b/>
          <w:sz w:val="24"/>
        </w:rPr>
        <w:t>采购项目编号：</w:t>
      </w:r>
      <w:r>
        <w:rPr>
          <w:b/>
          <w:sz w:val="24"/>
        </w:rPr>
        <w:t>YXZB-20240111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广东业信招标有限公司</w:t>
      </w:r>
    </w:p>
    <w:p>
      <w:pPr>
        <w:ind w:firstLine="480"/>
      </w:pPr>
      <w:r>
        <w:rPr/>
        <w:t>你方组织的</w:t>
      </w:r>
      <w:r>
        <w:rPr>
          <w:u w:val="single"/>
        </w:rPr>
        <w:t>“</w:t>
      </w:r>
      <w:r>
        <w:rPr>
          <w:u w:val="single"/>
        </w:rPr>
        <w:t>阳江市综合文化中心规划馆展陈深化设计及施工一体化布展服务项目</w:t>
      </w:r>
      <w:r>
        <w:rPr>
          <w:u w:val="single"/>
        </w:rPr>
        <w:t>”</w:t>
      </w:r>
      <w:r>
        <w:rPr/>
        <w:t>项目的招标[采购项目编号为：</w:t>
      </w:r>
      <w:r>
        <w:rPr>
          <w:u w:val="single"/>
        </w:rPr>
        <w:t>YXZB-20240111</w:t>
      </w:r>
      <w:r>
        <w:rPr/>
        <w:t>]，我方愿参与投标。</w:t>
      </w:r>
    </w:p>
    <w:p>
      <w:pPr>
        <w:ind w:firstLine="480"/>
      </w:pPr>
      <w:r>
        <w:rPr/>
        <w:t>我方确认收到贵方提供的</w:t>
      </w:r>
      <w:r>
        <w:rPr>
          <w:u w:val="single"/>
        </w:rPr>
        <w:t>“</w:t>
      </w:r>
      <w:r>
        <w:rPr>
          <w:u w:val="single"/>
        </w:rPr>
        <w:t>阳江市综合文化中心规划馆展陈深化设计及施工一体化布展服务项目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广东业信招标有限公司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阳江市综合文化中心规划馆展陈深化设计及施工一体化布展服务项目</w:t>
      </w:r>
      <w:r>
        <w:rPr/>
        <w:t>”项目采购[采购项目编号为</w:t>
      </w:r>
      <w:r>
        <w:rPr/>
        <w:t>YXZB-20240111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阳江市档案馆</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广东业信招标有限公司</w:t>
      </w:r>
    </w:p>
    <w:p>
      <w:pPr>
        <w:ind w:firstLine="480"/>
      </w:pPr>
      <w:r>
        <w:rPr/>
        <w:t>如果我方在贵采购代理机构组织的</w:t>
      </w:r>
      <w:r>
        <w:rPr/>
        <w:t>阳江市综合文化中心规划馆展陈深化设计及施工一体化布展服务项目</w:t>
      </w:r>
      <w:r>
        <w:rPr/>
        <w:t>招标中获中标（采购项目编号：</w:t>
      </w:r>
      <w:r>
        <w:rPr/>
        <w:t>YXZB-20240111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广东业信招标有限公司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广东业信招标有限公司</w:t>
      </w:r>
    </w:p>
    <w:p>
      <w:pPr>
        <w:ind w:firstLine="480"/>
      </w:pPr>
      <w:r>
        <w:rPr/>
        <w:t>我单位已登记并准备参与“</w:t>
      </w:r>
      <w:r>
        <w:rPr/>
        <w:t>阳江市综合文化中心规划馆展陈深化设计及施工一体化布展服务项目</w:t>
      </w:r>
      <w:r>
        <w:rPr/>
        <w:t>”项目（采购项目编号：</w:t>
      </w:r>
      <w:r>
        <w:rPr/>
        <w:t>YXZB-20240111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