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2"/>
        <w:tblW w:w="8583" w:type="dxa"/>
        <w:jc w:val="center"/>
        <w:tblLayout w:type="fixed"/>
        <w:tblCellMar>
          <w:top w:w="0" w:type="dxa"/>
          <w:left w:w="108" w:type="dxa"/>
          <w:bottom w:w="0" w:type="dxa"/>
          <w:right w:w="108" w:type="dxa"/>
        </w:tblCellMar>
      </w:tblPr>
      <w:tblGrid>
        <w:gridCol w:w="1951"/>
        <w:gridCol w:w="284"/>
        <w:gridCol w:w="6348"/>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48"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YXCG-20260807</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48"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阳江市特殊教育学校网络与监控设施设备采购及安装项目</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48"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阳江市特殊教育学校</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348"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0AB1D9C2">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0AA3CC38">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_Toc20153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_Toc20153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3A697687">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_Toc4373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EA00FB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_Toc16904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_Toc16904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14C805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_Toc31050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986DC12">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_Toc7841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_Toc7841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A16D7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_Toc4340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D7C9E1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C2885D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_Toc6801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_Toc6801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195BFC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_Toc6275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0E9051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_Toc26476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68F361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_Toc8293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_Toc8293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062094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_Toc17554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D07F39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_Toc27184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_Toc27184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C55516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_Toc1177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9A6D03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_Toc3719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_Toc3719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576FDF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_Toc13422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_Toc13422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BA0011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_Toc18963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075BBD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_Toc15302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5532B02">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_Toc13497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_Toc13497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06ECD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_Toc28136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DA65BEB">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_Toc27576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62F99C9">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_Toc30177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5569BB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_Toc3460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9353A0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_Toc8563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772AE7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_Toc7568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_Toc7568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72FD01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_Toc26669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AFE51A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_Toc22382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F78C1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_Toc14479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EF1AD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_Toc29678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_Toc29678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47442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_Toc9015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E33F89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_Toc14366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4FD9B5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_Toc31830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_Toc31830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5ABCAB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_Toc9558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7B136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_Toc3595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B49B25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_Toc6848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_Toc6848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462043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405778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_Toc31735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_Toc31735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05047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_Toc8615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_Toc8615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CDF5BF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_Toc19883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3C58DE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_Toc2962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7D55B1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49127583"/>
      <w:bookmarkStart w:id="2" w:name="_Toc339020186"/>
      <w:bookmarkStart w:id="3" w:name="_Toc340672830"/>
      <w:bookmarkStart w:id="4" w:name="_Toc340507403"/>
      <w:bookmarkStart w:id="5" w:name="_Toc332270305"/>
      <w:bookmarkStart w:id="6" w:name="_Toc339441044"/>
      <w:bookmarkStart w:id="7" w:name="_Toc20153"/>
      <w:bookmarkStart w:id="8" w:name="_Toc333237612"/>
      <w:bookmarkStart w:id="9" w:name="_Toc350756403"/>
      <w:bookmarkStart w:id="10" w:name="_Toc339362257"/>
      <w:bookmarkStart w:id="11" w:name="_Toc365985108"/>
      <w:bookmarkStart w:id="12" w:name="_Toc330459945"/>
      <w:bookmarkStart w:id="13" w:name="_Toc339019828"/>
      <w:bookmarkStart w:id="14" w:name="_Toc333238571"/>
      <w:bookmarkStart w:id="15" w:name="_Toc342296708"/>
      <w:bookmarkStart w:id="16" w:name="_Toc340677031"/>
      <w:bookmarkStart w:id="17" w:name="_Toc332206657"/>
      <w:bookmarkStart w:id="18" w:name="_Toc337632315"/>
      <w:bookmarkStart w:id="19" w:name="_Toc336681892"/>
      <w:bookmarkStart w:id="20" w:name="_Toc333237723"/>
      <w:bookmarkStart w:id="21" w:name="_Toc345513762"/>
      <w:bookmarkStart w:id="22" w:name="_Toc331683994"/>
      <w:bookmarkStart w:id="23" w:name="_Toc333935278"/>
      <w:bookmarkStart w:id="24" w:name="_Toc366072457"/>
      <w:bookmarkStart w:id="25" w:name="_Toc342060322"/>
      <w:bookmarkStart w:id="26" w:name="_Toc365967002"/>
      <w:bookmarkStart w:id="27" w:name="_Toc339020048"/>
      <w:bookmarkStart w:id="28" w:name="_Toc350438702"/>
      <w:bookmarkStart w:id="29" w:name="_Toc341348291"/>
      <w:bookmarkStart w:id="30" w:name="_Toc349143546"/>
      <w:bookmarkStart w:id="31" w:name="_Toc333935619"/>
      <w:bookmarkStart w:id="32" w:name="_Toc339019954"/>
      <w:bookmarkStart w:id="33" w:name="_Toc331512856"/>
      <w:bookmarkStart w:id="34" w:name="_Toc336681537"/>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阳江市特殊教育学校</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阳江市特殊教育学校网络与监控设施设备采购及安装项目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YXCG-20260807</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阳江市特殊教育学校网络与监控设施设备采购及安装项目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YXCG-20260807</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bCs/>
          <w:color w:val="000000" w:themeColor="text1"/>
          <w:highlight w:val="none"/>
          <w:lang w:val="en-US" w:eastAsia="zh-CN"/>
          <w14:textFill>
            <w14:solidFill>
              <w14:schemeClr w14:val="tx1"/>
            </w14:solidFill>
          </w14:textFill>
        </w:rPr>
        <w:t>250094.17</w:t>
      </w:r>
      <w:r>
        <w:rPr>
          <w:rFonts w:hint="eastAsia" w:ascii="宋体" w:hAnsi="宋体"/>
          <w:bCs/>
          <w:color w:val="000000" w:themeColor="text1"/>
          <w:highlight w:val="none"/>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val="en-US" w:eastAsia="zh-CN"/>
          <w14:textFill>
            <w14:solidFill>
              <w14:schemeClr w14:val="tx1"/>
            </w14:solidFill>
          </w14:textFill>
        </w:rPr>
        <w:t>完工期：签订合同后30个工作日内完工并通过验收。（超出该完工期将作为无效投标处理）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00216546">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1.供应商应具备《中华人民共和国政府采购法》第二十二条规定的条件，提供下列材料：</w:t>
      </w:r>
    </w:p>
    <w:p w14:paraId="633F4E22">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2D108C2D">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2759735F">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有良好的商业信誉和健全的财务会计制度：供应商必须具有良好的商业信誉和健全的财务会计制度（提供2025年度财务状况报告或2026年至今任意一个月的财务报表或基本开户行出具的资信证明或出具《承诺函》）。</w:t>
      </w:r>
    </w:p>
    <w:p w14:paraId="2B815CF3">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4）履行合同所必需的设备和专业技术能力：按投标（响应）文件格式填报设备及专业技术能力情况或出具《承诺函》。</w:t>
      </w:r>
    </w:p>
    <w:p w14:paraId="67BD7879">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参加采购活动前3年内，在经营活动中没有重大违法记录：参照投标函相关承诺格式内容或出具《承诺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210" w:firstLineChars="1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210" w:firstLineChars="1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7B46A559">
      <w:pPr>
        <w:spacing w:line="360" w:lineRule="auto"/>
        <w:ind w:firstLine="210" w:firstLineChars="1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02F6453C">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210" w:firstLineChars="100"/>
        <w:rPr>
          <w:rFonts w:hint="eastAsia"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1315958C">
      <w:pPr>
        <w:spacing w:line="360" w:lineRule="auto"/>
        <w:ind w:firstLine="210" w:firstLineChars="100"/>
        <w:rPr>
          <w:rFonts w:hint="eastAsia" w:hAnsi="宋体" w:cs="宋体"/>
          <w:color w:val="000000" w:themeColor="text1"/>
          <w:szCs w:val="21"/>
          <w:highlight w:val="none"/>
          <w14:textFill>
            <w14:solidFill>
              <w14:schemeClr w14:val="tx1"/>
            </w14:solidFill>
          </w14:textFill>
        </w:rPr>
      </w:pPr>
      <w:r>
        <w:rPr>
          <w:rFonts w:hint="eastAsia" w:ascii="宋体" w:hAnsi="宋体" w:eastAsia="宋体"/>
          <w:color w:val="000000" w:themeColor="text1"/>
          <w:szCs w:val="21"/>
          <w:highlight w:val="none"/>
          <w14:textFill>
            <w14:solidFill>
              <w14:schemeClr w14:val="tx1"/>
            </w14:solidFill>
          </w14:textFill>
        </w:rPr>
        <w:t>7.落实政府采购政策需满足的资格要求：本项目非专门面向中小企业。（所属行业：工业）</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间及下载：2026年8月11日至2026年8月18日。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时间：2026年8月11日至2026年8月18日，上午9:00～12:00，下午2:30～5:30（节假日除外）（北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1.递交磋商响应文件时间：2026年8月24日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2.响应截止时间：2026年8月24日</w:t>
      </w:r>
      <w:r>
        <w:rPr>
          <w:rFonts w:hint="eastAsia" w:ascii="宋体" w:hAnsi="宋体" w:cs="Tahoma"/>
          <w:color w:val="000000" w:themeColor="text1"/>
          <w:highlight w:val="none"/>
          <w:lang w:val="en-US" w:eastAsia="zh-CN"/>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阳江市特殊教育学校</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eastAsia="宋体" w:cs="宋体"/>
          <w:b w:val="0"/>
          <w:bCs/>
          <w:color w:val="000000" w:themeColor="text1"/>
          <w:sz w:val="21"/>
          <w:szCs w:val="21"/>
          <w:highlight w:val="none"/>
          <w14:textFill>
            <w14:solidFill>
              <w14:schemeClr w14:val="tx1"/>
            </w14:solidFill>
          </w14:textFill>
        </w:rPr>
        <w:t xml:space="preserve">广东省阳江市江城区三环路240号  </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人：关晓华</w:t>
      </w:r>
    </w:p>
    <w:p w14:paraId="37FCC3D6">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0662-3367518</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41348292"/>
      <w:bookmarkStart w:id="38" w:name="_Toc330459946"/>
      <w:bookmarkStart w:id="39" w:name="_Toc365985109"/>
      <w:bookmarkStart w:id="40" w:name="_Toc337632316"/>
      <w:bookmarkStart w:id="41" w:name="_Toc339019955"/>
      <w:bookmarkStart w:id="42" w:name="_Toc345513763"/>
      <w:bookmarkStart w:id="43" w:name="_Toc342296709"/>
      <w:bookmarkStart w:id="44" w:name="_Toc350756404"/>
      <w:bookmarkStart w:id="45" w:name="_Toc366072458"/>
      <w:bookmarkStart w:id="46" w:name="_Toc340672831"/>
      <w:bookmarkStart w:id="47" w:name="_Toc349143547"/>
      <w:bookmarkStart w:id="48" w:name="_Toc333238572"/>
      <w:bookmarkStart w:id="49" w:name="_Toc342060323"/>
      <w:bookmarkStart w:id="50" w:name="_Toc332206658"/>
      <w:bookmarkStart w:id="51" w:name="_Toc333237613"/>
      <w:bookmarkStart w:id="52" w:name="_Toc331512857"/>
      <w:bookmarkStart w:id="53" w:name="_Toc339441045"/>
      <w:bookmarkStart w:id="54" w:name="_Toc340507404"/>
      <w:bookmarkStart w:id="55" w:name="_Toc333935620"/>
      <w:bookmarkStart w:id="56" w:name="_Toc336681893"/>
      <w:bookmarkStart w:id="57" w:name="_Toc349127584"/>
      <w:bookmarkStart w:id="58" w:name="_Toc331683995"/>
      <w:bookmarkStart w:id="59" w:name="_Toc332270306"/>
      <w:bookmarkStart w:id="60" w:name="_Toc339019829"/>
      <w:bookmarkStart w:id="61" w:name="_Toc340677032"/>
      <w:bookmarkStart w:id="62" w:name="_Toc333237724"/>
      <w:bookmarkStart w:id="63" w:name="_Toc365967003"/>
      <w:bookmarkStart w:id="64" w:name="_Toc333935279"/>
      <w:bookmarkStart w:id="65" w:name="_Toc339020049"/>
      <w:bookmarkStart w:id="66" w:name="_Toc336681538"/>
      <w:bookmarkStart w:id="67" w:name="_Toc339362258"/>
      <w:bookmarkStart w:id="68" w:name="_Toc339020187"/>
      <w:bookmarkStart w:id="69" w:name="_Toc350438703"/>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11</w:t>
      </w:r>
      <w:r>
        <w:rPr>
          <w:rFonts w:hint="eastAsia" w:ascii="宋体" w:hAnsi="宋体"/>
          <w:bCs/>
          <w:color w:val="000000" w:themeColor="text1"/>
          <w:highlight w:val="none"/>
          <w14:textFill>
            <w14:solidFill>
              <w14:schemeClr w14:val="tx1"/>
            </w14:solidFill>
          </w14:textFill>
        </w:rPr>
        <w:t>日</w:t>
      </w:r>
    </w:p>
    <w:p w14:paraId="5D11C19A">
      <w:pP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br w:type="page"/>
      </w:r>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4373"/>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280"/>
      <w:bookmarkStart w:id="73" w:name="_Toc333237614"/>
      <w:bookmarkStart w:id="74" w:name="_Toc333238573"/>
      <w:bookmarkStart w:id="75" w:name="_Toc333237725"/>
      <w:bookmarkStart w:id="76" w:name="_Toc75570886"/>
      <w:bookmarkStart w:id="77" w:name="_Toc333935621"/>
      <w:bookmarkStart w:id="78" w:name="_Toc330459949"/>
      <w:r>
        <w:rPr>
          <w:rFonts w:hint="eastAsia" w:ascii="宋体" w:hAnsi="宋体" w:eastAsia="宋体"/>
          <w:b/>
          <w:color w:val="000000" w:themeColor="text1"/>
          <w:highlight w:val="none"/>
          <w14:textFill>
            <w14:solidFill>
              <w14:schemeClr w14:val="tx1"/>
            </w14:solidFill>
          </w14:textFill>
        </w:rPr>
        <w:t>采购项目内容</w:t>
      </w:r>
      <w:bookmarkEnd w:id="70"/>
      <w:bookmarkStart w:id="387" w:name="_GoBack"/>
      <w:bookmarkEnd w:id="387"/>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40677037"/>
      <w:bookmarkStart w:id="80" w:name="_Toc350756417"/>
      <w:bookmarkStart w:id="81" w:name="_Toc342060341"/>
      <w:bookmarkStart w:id="82" w:name="_Toc339019982"/>
      <w:bookmarkStart w:id="83" w:name="_Toc336681902"/>
      <w:bookmarkStart w:id="84" w:name="_Toc339020062"/>
      <w:bookmarkStart w:id="85" w:name="_Toc341348305"/>
      <w:bookmarkStart w:id="86" w:name="_Toc366072495"/>
      <w:bookmarkStart w:id="87" w:name="_Toc365985146"/>
      <w:bookmarkStart w:id="88" w:name="_Toc342296727"/>
      <w:bookmarkStart w:id="89" w:name="_Toc345513834"/>
      <w:bookmarkStart w:id="90" w:name="_Toc339362267"/>
      <w:bookmarkStart w:id="91" w:name="_Toc339020200"/>
      <w:bookmarkStart w:id="92" w:name="_Toc340672836"/>
      <w:bookmarkStart w:id="93" w:name="_Toc332206675"/>
      <w:bookmarkStart w:id="94" w:name="_Toc333935313"/>
      <w:bookmarkStart w:id="95" w:name="_Toc339441054"/>
      <w:bookmarkStart w:id="96" w:name="_Toc336681547"/>
      <w:bookmarkStart w:id="97" w:name="_Toc339019856"/>
      <w:bookmarkStart w:id="98" w:name="_Toc333935654"/>
      <w:bookmarkStart w:id="99" w:name="_Toc349143556"/>
      <w:bookmarkStart w:id="100" w:name="_Toc331512865"/>
      <w:bookmarkStart w:id="101" w:name="_Toc349127593"/>
      <w:bookmarkStart w:id="102" w:name="_Toc332270313"/>
      <w:bookmarkStart w:id="103" w:name="_Toc330459952"/>
      <w:bookmarkStart w:id="104" w:name="_Toc365967040"/>
      <w:bookmarkStart w:id="105" w:name="_Toc350438716"/>
      <w:bookmarkStart w:id="106" w:name="_Toc340507409"/>
      <w:bookmarkStart w:id="107" w:name="_Toc333237755"/>
      <w:bookmarkStart w:id="108" w:name="_Toc331684005"/>
      <w:bookmarkStart w:id="109" w:name="_Toc333237644"/>
      <w:bookmarkStart w:id="110" w:name="_Toc337632325"/>
      <w:bookmarkStart w:id="111" w:name="_Toc333238600"/>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YXCG-20260807</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阳江市特殊教育学校网络与监控设施设备采购及安装项目</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16904"/>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F620F1">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投标价必须包括完成项目全部内容所需的所有费用。包括设备费、设备运至合同指定 地点的运输费、卸装就位费、保险费、税费、安装调试费、验收以及培训等一切费用，采购人不再支付任何费用。</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采购合同由</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成交</w:t>
            </w:r>
            <w:r>
              <w:rPr>
                <w:rFonts w:hint="eastAsia" w:ascii="宋体" w:hAnsi="宋体" w:eastAsia="宋体" w:cs="宋体"/>
                <w:b w:val="0"/>
                <w:bCs/>
                <w:color w:val="000000" w:themeColor="text1"/>
                <w:sz w:val="21"/>
                <w:szCs w:val="21"/>
                <w:highlight w:val="none"/>
                <w14:textFill>
                  <w14:solidFill>
                    <w14:schemeClr w14:val="tx1"/>
                  </w14:solidFill>
                </w14:textFill>
              </w:rPr>
              <w:t>供应商凭《</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成交</w:t>
            </w:r>
            <w:r>
              <w:rPr>
                <w:rFonts w:hint="eastAsia" w:ascii="宋体" w:hAnsi="宋体" w:eastAsia="宋体" w:cs="宋体"/>
                <w:b w:val="0"/>
                <w:bCs/>
                <w:color w:val="000000" w:themeColor="text1"/>
                <w:sz w:val="21"/>
                <w:szCs w:val="21"/>
                <w:highlight w:val="none"/>
                <w14:textFill>
                  <w14:solidFill>
                    <w14:schemeClr w14:val="tx1"/>
                  </w14:solidFill>
                </w14:textFill>
              </w:rPr>
              <w:t>通知书》与采购人双方签订，签订时间为《</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成交</w:t>
            </w:r>
            <w:r>
              <w:rPr>
                <w:rFonts w:hint="eastAsia" w:ascii="宋体" w:hAnsi="宋体" w:eastAsia="宋体" w:cs="宋体"/>
                <w:b w:val="0"/>
                <w:bCs/>
                <w:color w:val="000000" w:themeColor="text1"/>
                <w:sz w:val="21"/>
                <w:szCs w:val="21"/>
                <w:highlight w:val="none"/>
                <w14:textFill>
                  <w14:solidFill>
                    <w14:schemeClr w14:val="tx1"/>
                  </w14:solidFill>
                </w14:textFill>
              </w:rPr>
              <w:t>通知书》发出之日起30个日历日内。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采购人指定地点</w:t>
            </w:r>
            <w:r>
              <w:rPr>
                <w:rFonts w:hint="eastAsia" w:ascii="宋体" w:hAnsi="宋体" w:eastAsia="宋体" w:cs="宋体"/>
                <w:b w:val="0"/>
                <w:bCs/>
                <w:color w:val="000000" w:themeColor="text1"/>
                <w:sz w:val="21"/>
                <w:szCs w:val="21"/>
                <w:highlight w:val="none"/>
                <w14:textFill>
                  <w14:solidFill>
                    <w14:schemeClr w14:val="tx1"/>
                  </w14:solidFill>
                </w14:textFill>
              </w:rPr>
              <w:t>。</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A71F6A">
            <w:pPr>
              <w:spacing w:line="320" w:lineRule="exact"/>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pPr>
            <w:r>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t>第1期：支付比例30%,合同生效之日起五个工作日内采购人向成交供应商支付合同总价的30%作预付款；</w:t>
            </w:r>
          </w:p>
          <w:p w14:paraId="7CF278DC">
            <w:pPr>
              <w:spacing w:line="320" w:lineRule="exact"/>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pPr>
            <w:r>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t>第2期：支付比例40%,所有货物到达指定地点经采购人确认后五个工作日内采购人向成交供应商支付至合同总价的70%；</w:t>
            </w:r>
          </w:p>
          <w:p w14:paraId="271840A7">
            <w:pPr>
              <w:spacing w:line="320" w:lineRule="exact"/>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pPr>
            <w:r>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t>第3期：支付比例30%,通过采购人(或采购人委托的第三方)签字验收合格后五个工作日内采购人向成交供应商支付至合同总价的100%。</w:t>
            </w:r>
          </w:p>
          <w:p w14:paraId="6BDF7809">
            <w:pPr>
              <w:spacing w:line="320" w:lineRule="exact"/>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pPr>
            <w:r>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t>成交供应商凭以下有效文件与采购人结算：</w:t>
            </w:r>
          </w:p>
          <w:p w14:paraId="272D48F3">
            <w:pPr>
              <w:spacing w:line="320" w:lineRule="exact"/>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pPr>
            <w:r>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t>(1)成交通知书；</w:t>
            </w:r>
          </w:p>
          <w:p w14:paraId="432FDCB7">
            <w:pPr>
              <w:spacing w:line="320" w:lineRule="exact"/>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pPr>
            <w:r>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t>(2)合同；</w:t>
            </w:r>
          </w:p>
          <w:p w14:paraId="55853CE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Times New Roman"/>
                <w:b w:val="0"/>
                <w:bCs w:val="0"/>
                <w:color w:val="000000" w:themeColor="text1"/>
                <w:kern w:val="0"/>
                <w:szCs w:val="21"/>
                <w:highlight w:val="none"/>
                <w:lang w:val="en-US" w:eastAsia="zh-CN"/>
                <w14:textFill>
                  <w14:solidFill>
                    <w14:schemeClr w14:val="tx1"/>
                  </w14:solidFill>
                </w14:textFill>
              </w:rPr>
              <w:t>(3)成交供应商开具的正式发票。</w:t>
            </w:r>
          </w:p>
        </w:tc>
      </w:tr>
      <w:tr w14:paraId="7BE9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96D24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4BBB7FA">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C6B08F">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1.项目完成开发工作之后，系统试运行前，需要由用户（包括业主邀请的专家）和承建单位一起对项目进行初验。</w:t>
            </w:r>
          </w:p>
          <w:p w14:paraId="5E880637">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2.初验的基本要求</w:t>
            </w:r>
          </w:p>
          <w:p w14:paraId="0C488CAA">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全面完成项目采购硬件的验收工作；</w:t>
            </w:r>
          </w:p>
          <w:p w14:paraId="1AF4A969">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全面完成应用系统的设计、开发、测试和集成工作，达到功能、性能、使用等方面的要求；</w:t>
            </w:r>
          </w:p>
          <w:p w14:paraId="5A39A67B">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项目开发各环节需要的提交件应均已提交完毕；</w:t>
            </w:r>
          </w:p>
          <w:p w14:paraId="49BFCFFA">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用户对应用系统的使用方式满意，确实方便了用户，提高了用户的效率，达到了系统的设计目标；</w:t>
            </w:r>
          </w:p>
          <w:p w14:paraId="65F31842">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应用系统运行稳定，上线试运行后确保不会影响有关人员的正常工作。</w:t>
            </w:r>
          </w:p>
          <w:p w14:paraId="28F1A7FC">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终验是在系统试运行成功后，在系统性能稳定、无故障运行，且系统能全部达到设计要求，项目相关文档、报告、代码等文档完成交付物后的前提下，承建单位向用户提出系统终验的申请，由用户（包括业主邀请的专家）、承建单位共同对项目进行终验。</w:t>
            </w:r>
          </w:p>
          <w:p w14:paraId="6DEBE3AC">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4.终验的基本要求</w:t>
            </w:r>
          </w:p>
          <w:p w14:paraId="5A9CFE24">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（1）全面完成应用系统的设计、开发、测试和集成工作，达到功能、性能、使用等方面的要求；</w:t>
            </w:r>
          </w:p>
          <w:p w14:paraId="39045DDF">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（2）项目开发各环节需要的提交件均已提交完毕。</w:t>
            </w:r>
          </w:p>
          <w:p w14:paraId="34402371">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（3）应用系统运行稳定，上线试运行正常。</w:t>
            </w:r>
          </w:p>
          <w:p w14:paraId="445F57CE">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（4）试运行过程中问题基本关闭。</w:t>
            </w:r>
          </w:p>
          <w:p w14:paraId="4C1B2B5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（5）用户报告中问题已关闭。</w:t>
            </w:r>
          </w:p>
        </w:tc>
      </w:tr>
      <w:tr w14:paraId="1816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9E85D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067358D">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培训要求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415BC3">
            <w:pPr>
              <w:spacing w:line="320" w:lineRule="exact"/>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在设备安装、调试完成后成交供应商应派遣熟悉本项目的技术人员对建设单位的相关技术人员进行现场培训。培训内容包括设备的参数设置、操作、维护保养、应急处理、简单故障排除、终端技术等，以确保建设单位能够对系统有足够的了解和熟悉，能够独立进行日常的维护、保养和管理。</w:t>
            </w:r>
          </w:p>
          <w:p w14:paraId="32CEA4D6">
            <w:pPr>
              <w:spacing w:line="320" w:lineRule="exact"/>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2.成交供应商在培训前拟定详细的培训大纲并提交给采购人，并征得采购人的同意。</w:t>
            </w:r>
          </w:p>
          <w:p w14:paraId="3F1CBEEA">
            <w:pPr>
              <w:spacing w:line="320" w:lineRule="exact"/>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3.培训期间成交供应商为采购人提供相应的培训资料。</w:t>
            </w:r>
          </w:p>
          <w:p w14:paraId="237387D3">
            <w:pPr>
              <w:spacing w:line="320" w:lineRule="exact"/>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4.设备安装现场的培训宜在现场安装调试完成后进行，主要是讲解操作方法和故障检测技能，并辅导学员进行操作实习。</w:t>
            </w:r>
          </w:p>
          <w:p w14:paraId="724FACDF">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5.培训地点和培训人数与时间由成交供应商和采购人商定。</w:t>
            </w:r>
          </w:p>
        </w:tc>
      </w:tr>
      <w:tr w14:paraId="615F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B7241A2">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FE2F625">
            <w:pPr>
              <w:spacing w:line="320" w:lineRule="exact"/>
              <w:jc w:val="center"/>
              <w:rPr>
                <w:rFonts w:hint="eastAsia" w:ascii="宋体" w:hAnsi="宋体" w:cs="宋体"/>
                <w:b/>
                <w:bCs/>
                <w:color w:val="000000" w:themeColor="text1"/>
                <w:sz w:val="21"/>
                <w:szCs w:val="21"/>
                <w:highlight w:val="none"/>
                <w:lang w:eastAsia="zh-CN"/>
                <w14:textFill>
                  <w14:solidFill>
                    <w14:schemeClr w14:val="tx1"/>
                  </w14:solidFill>
                </w14:textFill>
              </w:rPr>
            </w:pPr>
            <w:r>
              <w:rPr>
                <w:rFonts w:hint="eastAsia" w:ascii="宋体" w:hAnsi="宋体" w:cs="宋体"/>
                <w:b/>
                <w:bCs/>
                <w:color w:val="000000" w:themeColor="text1"/>
                <w:sz w:val="21"/>
                <w:szCs w:val="21"/>
                <w:highlight w:val="none"/>
                <w:lang w:eastAsia="zh-CN"/>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C23B01">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验收交付后连续正常使用累计满3年（若生产厂家对本项目所涉及货物的质量保证期的规定高于本项目的要求，应按生产厂家的规定执行），质保期内，在非人为因素情况下，一切维修换件保养费用和备品备件均由施工单位免费提供。如货物因自身故障致停用时间累计超过20天时，则质保期在状态恢复正常时重新计算或对故障设备予以重新更换。</w:t>
            </w:r>
          </w:p>
          <w:p w14:paraId="643496BE">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2.质保期内成交供应商提供上门免费服务，周期为3个月一次，形式为预约上门，服务内容为周期保养检修、检测系统运行状况、处理使用过程中出现的问题等。</w:t>
            </w:r>
          </w:p>
          <w:p w14:paraId="7D5524E0">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提供常设7天×24小时热线服务和长期的免费技术支持。对采购人的服务通知，成交供应商在接报后1小时内响应，24小时内到达现场，48小时内处理完毕。若主要设备的故障在24小时内仍未处理完毕，成交供应商必须免费提供相同档次的设备予采购人临时使用或采取应急措施解决，不得影响采购人的正常工作业务。</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40151506">
      <w:pPr>
        <w:pStyle w:val="5"/>
        <w:rPr>
          <w:color w:val="000000" w:themeColor="text1"/>
          <w:highlight w:val="none"/>
          <w14:textFill>
            <w14:solidFill>
              <w14:schemeClr w14:val="tx1"/>
            </w14:solidFill>
          </w14:textFill>
        </w:rPr>
      </w:pPr>
    </w:p>
    <w:p w14:paraId="6F4B3B4E">
      <w:pPr>
        <w:adjustRightInd w:val="0"/>
        <w:snapToGrid w:val="0"/>
        <w:spacing w:line="360" w:lineRule="auto"/>
        <w:rPr>
          <w:rFonts w:ascii="宋体" w:hAnsi="宋体"/>
          <w:bCs/>
          <w:color w:val="000000" w:themeColor="text1"/>
          <w:highlight w:val="none"/>
          <w14:textFill>
            <w14:solidFill>
              <w14:schemeClr w14:val="tx1"/>
            </w14:solidFill>
          </w14:textFill>
        </w:rPr>
      </w:pPr>
    </w:p>
    <w:p w14:paraId="1FEDAF0D">
      <w:pPr>
        <w:adjustRightInd w:val="0"/>
        <w:snapToGrid w:val="0"/>
        <w:spacing w:line="360" w:lineRule="auto"/>
        <w:rPr>
          <w:rFonts w:ascii="宋体" w:hAnsi="宋体"/>
          <w:bCs/>
          <w:color w:val="000000" w:themeColor="text1"/>
          <w:highlight w:val="none"/>
          <w14:textFill>
            <w14:solidFill>
              <w14:schemeClr w14:val="tx1"/>
            </w14:solidFill>
          </w14:textFill>
        </w:rPr>
      </w:pPr>
    </w:p>
    <w:p w14:paraId="51897A0B">
      <w:pPr>
        <w:adjustRightInd w:val="0"/>
        <w:snapToGrid w:val="0"/>
        <w:spacing w:line="360" w:lineRule="auto"/>
        <w:rPr>
          <w:rFonts w:ascii="宋体" w:hAnsi="宋体"/>
          <w:bCs/>
          <w:color w:val="000000" w:themeColor="text1"/>
          <w:highlight w:val="none"/>
          <w14:textFill>
            <w14:solidFill>
              <w14:schemeClr w14:val="tx1"/>
            </w14:solidFill>
          </w14:textFill>
        </w:rPr>
      </w:pPr>
    </w:p>
    <w:p w14:paraId="62AD435A">
      <w:pP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3" w:name="_Toc31050"/>
      <w:r>
        <w:rPr>
          <w:rFonts w:hint="eastAsia" w:ascii="宋体" w:hAnsi="宋体"/>
          <w:color w:val="000000" w:themeColor="text1"/>
          <w:kern w:val="0"/>
          <w:sz w:val="24"/>
          <w:highlight w:val="none"/>
          <w14:textFill>
            <w14:solidFill>
              <w14:schemeClr w14:val="tx1"/>
            </w14:solidFill>
          </w14:textFill>
        </w:rPr>
        <w:t>B  技术要求</w:t>
      </w:r>
      <w:bookmarkEnd w:id="113"/>
    </w:p>
    <w:p w14:paraId="0A228393">
      <w:pPr>
        <w:bidi w:val="0"/>
        <w:rPr>
          <w:rFonts w:hint="eastAsia"/>
          <w:color w:val="000000" w:themeColor="text1"/>
          <w:highlight w:val="none"/>
          <w:lang w:val="en-US" w:eastAsia="zh-CN"/>
          <w14:textFill>
            <w14:solidFill>
              <w14:schemeClr w14:val="tx1"/>
            </w14:solidFill>
          </w14:textFill>
        </w:rPr>
      </w:pPr>
      <w:bookmarkStart w:id="114" w:name="_Toc183156608"/>
    </w:p>
    <w:bookmarkEnd w:id="114"/>
    <w:p w14:paraId="44CDAE45">
      <w:pPr>
        <w:pStyle w:val="238"/>
        <w:numPr>
          <w:ilvl w:val="0"/>
          <w:numId w:val="0"/>
        </w:numPr>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bookmarkStart w:id="115" w:name="_Toc7104"/>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一、项目</w:t>
      </w:r>
      <w:bookmarkEnd w:id="115"/>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背景</w:t>
      </w:r>
    </w:p>
    <w:p w14:paraId="7891FD44">
      <w:pPr>
        <w:tabs>
          <w:tab w:val="left" w:pos="6749"/>
        </w:tabs>
        <w:spacing w:line="360" w:lineRule="auto"/>
        <w:ind w:firstLine="420" w:firstLineChars="200"/>
        <w:jc w:val="left"/>
        <w:rPr>
          <w:rFonts w:hint="eastAsia" w:ascii="宋体" w:hAnsi="宋体" w:eastAsia="宋体" w:cs="宋体"/>
          <w:b w:val="0"/>
          <w:bCs w:val="0"/>
          <w:color w:val="000000" w:themeColor="text1"/>
          <w:szCs w:val="22"/>
          <w:highlight w:val="none"/>
          <w:lang w:eastAsia="zh-CN"/>
          <w14:textFill>
            <w14:solidFill>
              <w14:schemeClr w14:val="tx1"/>
            </w14:solidFill>
          </w14:textFill>
        </w:rPr>
      </w:pPr>
      <w:r>
        <w:rPr>
          <w:rFonts w:hint="eastAsia" w:ascii="宋体" w:hAnsi="宋体" w:eastAsia="宋体" w:cs="宋体"/>
          <w:b w:val="0"/>
          <w:bCs w:val="0"/>
          <w:color w:val="000000" w:themeColor="text1"/>
          <w:szCs w:val="22"/>
          <w:highlight w:val="none"/>
          <w:lang w:eastAsia="zh-CN"/>
          <w14:textFill>
            <w14:solidFill>
              <w14:schemeClr w14:val="tx1"/>
            </w14:solidFill>
          </w14:textFill>
        </w:rPr>
        <w:t>阳江市特殊教育学校位于阳江市区三环路240号，创办于2007年9月，是一所经阳江市政府批准，由阳江市教育局主管，为我市残疾适龄儿童提供免费义务教育和高中阶段教育的公办特殊教育学校。学校占地面积10269平方米，现有小学、初中及高中阶段听力障碍学生148人。</w:t>
      </w:r>
    </w:p>
    <w:p w14:paraId="5793B00A">
      <w:pPr>
        <w:tabs>
          <w:tab w:val="left" w:pos="6749"/>
        </w:tabs>
        <w:spacing w:line="360" w:lineRule="auto"/>
        <w:ind w:firstLine="420" w:firstLineChars="200"/>
        <w:jc w:val="left"/>
        <w:rPr>
          <w:rFonts w:hint="eastAsia" w:ascii="宋体" w:hAnsi="宋体" w:eastAsia="宋体" w:cs="宋体"/>
          <w:b w:val="0"/>
          <w:bCs w:val="0"/>
          <w:color w:val="000000" w:themeColor="text1"/>
          <w:szCs w:val="22"/>
          <w:highlight w:val="none"/>
          <w:lang w:eastAsia="zh-CN"/>
          <w14:textFill>
            <w14:solidFill>
              <w14:schemeClr w14:val="tx1"/>
            </w14:solidFill>
          </w14:textFill>
        </w:rPr>
      </w:pPr>
      <w:r>
        <w:rPr>
          <w:rFonts w:hint="eastAsia" w:ascii="宋体" w:hAnsi="宋体" w:eastAsia="宋体" w:cs="宋体"/>
          <w:b w:val="0"/>
          <w:bCs w:val="0"/>
          <w:color w:val="000000" w:themeColor="text1"/>
          <w:szCs w:val="22"/>
          <w:highlight w:val="none"/>
          <w:lang w:val="en-US" w:eastAsia="zh-CN"/>
          <w14:textFill>
            <w14:solidFill>
              <w14:schemeClr w14:val="tx1"/>
            </w14:solidFill>
          </w14:textFill>
        </w:rPr>
        <w:t>学校服务对象涵盖听障、视障、智力障碍、肢体残疾及多重残疾学生，校内配套普通教室、专业康复训练室、心理疏导室、学生宿舍、食堂、无障碍通行通道、临时隔离观察室、校园出入口等多元功能区域。校园原有信息化基础设施建设年限久远，现存突出问题：校园网络带宽资源不足、运行稳定性较差，多终端同时在线时极易出现网络卡顿，各类特殊教育康复智能设备联网运行异常；原有视频监控系统设备老化、点位布设不完善，校园多处区域存在监控盲区，难以满足校园 24 小时安全值守、特殊学生在校行为看护、突发事件视频溯源、日常校园秩序监管等管理需求。</w:t>
      </w:r>
    </w:p>
    <w:p w14:paraId="013B2ACB">
      <w:pPr>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2"/>
          <w:highlight w:val="none"/>
          <w:lang w:val="en-US" w:eastAsia="zh-CN"/>
          <w14:textFill>
            <w14:solidFill>
              <w14:schemeClr w14:val="tx1"/>
            </w14:solidFill>
          </w14:textFill>
        </w:rPr>
        <w:t>为严格落实特殊教育校园安全管理规范、智慧校园标准化建设相关要求，切实保障残疾学生在校人身安全，稳定支撑多媒体康复教学、线上特教资源共享课堂、校园数字化综合管理等核心业务落地实施，本校启动本次校园网络升级与监控系统完善专项建设工程，全面补齐校园信息化基础设施短板，打造适配特殊教育办学场景、安全可靠、全域覆盖的数字化基础支撑环境</w:t>
      </w:r>
      <w:r>
        <w:rPr>
          <w:rFonts w:hint="eastAsia" w:ascii="宋体" w:hAnsi="宋体" w:eastAsia="宋体" w:cs="宋体"/>
          <w:b w:val="0"/>
          <w:bCs w:val="0"/>
          <w:color w:val="000000" w:themeColor="text1"/>
          <w:szCs w:val="22"/>
          <w:highlight w:val="none"/>
          <w:lang w:eastAsia="zh-CN"/>
          <w14:textFill>
            <w14:solidFill>
              <w14:schemeClr w14:val="tx1"/>
            </w14:solidFill>
          </w14:textFill>
        </w:rPr>
        <w:t>。</w:t>
      </w:r>
    </w:p>
    <w:p w14:paraId="6EA1BEC3">
      <w:pPr>
        <w:tabs>
          <w:tab w:val="left" w:pos="6749"/>
        </w:tabs>
        <w:spacing w:line="360" w:lineRule="auto"/>
        <w:jc w:val="left"/>
        <w:rPr>
          <w:rFonts w:hint="eastAsia" w:ascii="宋体" w:hAnsi="宋体" w:eastAsia="宋体" w:cs="宋体"/>
          <w:b/>
          <w:bCs/>
          <w:color w:val="000000" w:themeColor="text1"/>
          <w:szCs w:val="22"/>
          <w:highlight w:val="none"/>
          <w14:textFill>
            <w14:solidFill>
              <w14:schemeClr w14:val="tx1"/>
            </w14:solidFill>
          </w14:textFill>
        </w:rPr>
      </w:pPr>
      <w:bookmarkStart w:id="116" w:name="_Toc4716"/>
      <w:r>
        <w:rPr>
          <w:rFonts w:hint="eastAsia" w:ascii="宋体" w:hAnsi="宋体" w:eastAsia="宋体" w:cs="宋体"/>
          <w:b/>
          <w:bCs/>
          <w:color w:val="000000" w:themeColor="text1"/>
          <w:szCs w:val="22"/>
          <w:highlight w:val="none"/>
          <w:lang w:val="en-US" w:eastAsia="zh-CN"/>
          <w14:textFill>
            <w14:solidFill>
              <w14:schemeClr w14:val="tx1"/>
            </w14:solidFill>
          </w14:textFill>
        </w:rPr>
        <w:t>二、</w:t>
      </w:r>
      <w:r>
        <w:rPr>
          <w:rFonts w:hint="eastAsia" w:ascii="宋体" w:hAnsi="宋体" w:eastAsia="宋体" w:cs="宋体"/>
          <w:b/>
          <w:bCs/>
          <w:color w:val="000000" w:themeColor="text1"/>
          <w:szCs w:val="22"/>
          <w:highlight w:val="none"/>
          <w14:textFill>
            <w14:solidFill>
              <w14:schemeClr w14:val="tx1"/>
            </w14:solidFill>
          </w14:textFill>
        </w:rPr>
        <w:t>建设目标</w:t>
      </w:r>
      <w:bookmarkEnd w:id="116"/>
    </w:p>
    <w:p w14:paraId="325E14D9">
      <w:pPr>
        <w:spacing w:line="360" w:lineRule="auto"/>
        <w:ind w:firstLine="420"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2"/>
          <w:highlight w:val="none"/>
          <w14:textFill>
            <w14:solidFill>
              <w14:schemeClr w14:val="tx1"/>
            </w14:solidFill>
          </w14:textFill>
        </w:rPr>
        <w:t>完成校园网络系统全面升级，同步更新、增补视频监控设备，彻底消除校园监控盲区，全面提升校园技防建设标准化水平，筑牢校园安全管理硬件基础；搭建高速、稳定、安全的校园数字化网络底座，支撑特殊教育数字化教学、康复训练、校园安防、智慧管理全业务长效运行</w:t>
      </w:r>
      <w:r>
        <w:rPr>
          <w:rFonts w:hint="eastAsia" w:ascii="宋体" w:hAnsi="宋体" w:eastAsia="宋体" w:cs="宋体"/>
          <w:b w:val="0"/>
          <w:bCs w:val="0"/>
          <w:color w:val="000000" w:themeColor="text1"/>
          <w:szCs w:val="22"/>
          <w:highlight w:val="none"/>
          <w:lang w:val="en-US" w:eastAsia="zh-CN"/>
          <w14:textFill>
            <w14:solidFill>
              <w14:schemeClr w14:val="tx1"/>
            </w14:solidFill>
          </w14:textFill>
        </w:rPr>
        <w:t>。</w:t>
      </w:r>
    </w:p>
    <w:p w14:paraId="65A73D75">
      <w:pPr>
        <w:tabs>
          <w:tab w:val="left" w:pos="6749"/>
        </w:tabs>
        <w:spacing w:line="360" w:lineRule="auto"/>
        <w:jc w:val="left"/>
        <w:rPr>
          <w:rFonts w:hint="eastAsia" w:ascii="宋体" w:hAnsi="宋体" w:eastAsia="宋体" w:cs="宋体"/>
          <w:b/>
          <w:bCs/>
          <w:color w:val="000000" w:themeColor="text1"/>
          <w:szCs w:val="22"/>
          <w:highlight w:val="none"/>
          <w14:textFill>
            <w14:solidFill>
              <w14:schemeClr w14:val="tx1"/>
            </w14:solidFill>
          </w14:textFill>
        </w:rPr>
      </w:pPr>
      <w:bookmarkStart w:id="117" w:name="_Toc9644"/>
      <w:r>
        <w:rPr>
          <w:rFonts w:hint="eastAsia" w:ascii="宋体" w:hAnsi="宋体" w:eastAsia="宋体" w:cs="宋体"/>
          <w:b/>
          <w:bCs/>
          <w:color w:val="000000" w:themeColor="text1"/>
          <w:szCs w:val="22"/>
          <w:highlight w:val="none"/>
          <w:lang w:val="en-US" w:eastAsia="zh-CN"/>
          <w14:textFill>
            <w14:solidFill>
              <w14:schemeClr w14:val="tx1"/>
            </w14:solidFill>
          </w14:textFill>
        </w:rPr>
        <w:t>三、</w:t>
      </w:r>
      <w:r>
        <w:rPr>
          <w:rFonts w:hint="eastAsia" w:ascii="宋体" w:hAnsi="宋体" w:eastAsia="宋体" w:cs="宋体"/>
          <w:b/>
          <w:bCs/>
          <w:color w:val="000000" w:themeColor="text1"/>
          <w:szCs w:val="22"/>
          <w:highlight w:val="none"/>
          <w14:textFill>
            <w14:solidFill>
              <w14:schemeClr w14:val="tx1"/>
            </w14:solidFill>
          </w14:textFill>
        </w:rPr>
        <w:t>建设内容</w:t>
      </w:r>
      <w:bookmarkEnd w:id="117"/>
    </w:p>
    <w:p w14:paraId="7F08B023">
      <w:pPr>
        <w:spacing w:line="360" w:lineRule="auto"/>
        <w:ind w:firstLine="420"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2"/>
          <w:highlight w:val="none"/>
          <w:lang w:val="en-US" w:eastAsia="zh-CN"/>
          <w14:textFill>
            <w14:solidFill>
              <w14:schemeClr w14:val="tx1"/>
            </w14:solidFill>
          </w14:textFill>
        </w:rPr>
        <w:t>本项目是对阳江市特殊教育学校的校园网络的核心层、汇聚层和接入层设施设备升级改造；因教学需要，在教室里增加3个信息插座，让教师在教室办公，对学生实时看护；增补校园监控设施设备，完善校园监控盲区</w:t>
      </w:r>
      <w:r>
        <w:rPr>
          <w:rFonts w:hint="eastAsia" w:ascii="宋体" w:hAnsi="宋体" w:eastAsia="宋体" w:cs="宋体"/>
          <w:b w:val="0"/>
          <w:bCs w:val="0"/>
          <w:color w:val="000000" w:themeColor="text1"/>
          <w:szCs w:val="22"/>
          <w:highlight w:val="none"/>
          <w:lang w:val="en-US"/>
          <w14:textFill>
            <w14:solidFill>
              <w14:schemeClr w14:val="tx1"/>
            </w14:solidFill>
          </w14:textFill>
        </w:rPr>
        <w:t>。</w:t>
      </w:r>
    </w:p>
    <w:p w14:paraId="26332F1A">
      <w:pPr>
        <w:spacing w:line="360" w:lineRule="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四、设备清单及参数要求</w:t>
      </w:r>
    </w:p>
    <w:p w14:paraId="4EE7503A">
      <w:pPr>
        <w:numPr>
          <w:ilvl w:val="0"/>
          <w:numId w:val="0"/>
        </w:numPr>
        <w:tabs>
          <w:tab w:val="left" w:pos="6749"/>
        </w:tabs>
        <w:spacing w:line="360" w:lineRule="auto"/>
        <w:jc w:val="left"/>
        <w:rPr>
          <w:rFonts w:hint="eastAsia" w:ascii="宋体" w:hAnsi="宋体" w:eastAsia="宋体" w:cs="宋体"/>
          <w:b/>
          <w:bCs/>
          <w:color w:val="000000" w:themeColor="text1"/>
          <w:szCs w:val="22"/>
          <w:highlight w:val="none"/>
          <w:lang w:eastAsia="zh-CN"/>
          <w14:textFill>
            <w14:solidFill>
              <w14:schemeClr w14:val="tx1"/>
            </w14:solidFill>
          </w14:textFill>
        </w:rPr>
      </w:pPr>
      <w:r>
        <w:rPr>
          <w:rFonts w:hint="eastAsia" w:ascii="宋体" w:hAnsi="宋体" w:eastAsia="宋体" w:cs="宋体"/>
          <w:b/>
          <w:bCs/>
          <w:color w:val="000000" w:themeColor="text1"/>
          <w:szCs w:val="22"/>
          <w:highlight w:val="none"/>
          <w:lang w:val="en-US" w:eastAsia="zh-CN"/>
          <w14:textFill>
            <w14:solidFill>
              <w14:schemeClr w14:val="tx1"/>
            </w14:solidFill>
          </w14:textFill>
        </w:rPr>
        <w:t>1.</w:t>
      </w:r>
      <w:r>
        <w:rPr>
          <w:rFonts w:hint="eastAsia" w:ascii="宋体" w:hAnsi="宋体" w:eastAsia="宋体" w:cs="宋体"/>
          <w:b/>
          <w:bCs/>
          <w:color w:val="000000" w:themeColor="text1"/>
          <w:szCs w:val="22"/>
          <w:highlight w:val="none"/>
          <w:lang w:eastAsia="zh-CN"/>
          <w14:textFill>
            <w14:solidFill>
              <w14:schemeClr w14:val="tx1"/>
            </w14:solidFill>
          </w14:textFill>
        </w:rPr>
        <w:t>网络升级改造</w:t>
      </w:r>
    </w:p>
    <w:tbl>
      <w:tblPr>
        <w:tblStyle w:val="52"/>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35"/>
        <w:gridCol w:w="1391"/>
        <w:gridCol w:w="5133"/>
        <w:gridCol w:w="750"/>
        <w:gridCol w:w="817"/>
        <w:gridCol w:w="1026"/>
      </w:tblGrid>
      <w:tr w14:paraId="2AA6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FFFFFF" w:fill="FFFFFF"/>
            <w:vAlign w:val="center"/>
          </w:tcPr>
          <w:p w14:paraId="1C40975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序号</w:t>
            </w:r>
          </w:p>
        </w:tc>
        <w:tc>
          <w:tcPr>
            <w:tcW w:w="1391" w:type="dxa"/>
            <w:shd w:val="clear" w:color="FFFFFF" w:fill="FFFFFF"/>
            <w:vAlign w:val="center"/>
          </w:tcPr>
          <w:p w14:paraId="178CFA4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名称</w:t>
            </w:r>
          </w:p>
        </w:tc>
        <w:tc>
          <w:tcPr>
            <w:tcW w:w="5133" w:type="dxa"/>
            <w:shd w:val="clear" w:color="FFFFFF" w:fill="FFFFFF"/>
            <w:vAlign w:val="center"/>
          </w:tcPr>
          <w:p w14:paraId="081D592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技术参数</w:t>
            </w:r>
          </w:p>
        </w:tc>
        <w:tc>
          <w:tcPr>
            <w:tcW w:w="750" w:type="dxa"/>
            <w:shd w:val="clear" w:color="FFFFFF" w:fill="FFFFFF"/>
            <w:vAlign w:val="center"/>
          </w:tcPr>
          <w:p w14:paraId="77DC65B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单位</w:t>
            </w:r>
          </w:p>
        </w:tc>
        <w:tc>
          <w:tcPr>
            <w:tcW w:w="817" w:type="dxa"/>
            <w:shd w:val="clear" w:color="FFFFFF" w:fill="FFFFFF"/>
            <w:vAlign w:val="center"/>
          </w:tcPr>
          <w:p w14:paraId="439B005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数量</w:t>
            </w:r>
          </w:p>
        </w:tc>
        <w:tc>
          <w:tcPr>
            <w:tcW w:w="1026" w:type="dxa"/>
            <w:shd w:val="clear" w:color="FFFFFF" w:fill="FFFFFF"/>
            <w:vAlign w:val="center"/>
          </w:tcPr>
          <w:p w14:paraId="72568D9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备注</w:t>
            </w:r>
          </w:p>
        </w:tc>
      </w:tr>
      <w:tr w14:paraId="7B83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9852" w:type="dxa"/>
            <w:gridSpan w:val="6"/>
            <w:shd w:val="clear" w:color="auto" w:fill="auto"/>
            <w:vAlign w:val="center"/>
          </w:tcPr>
          <w:p w14:paraId="189B22AA">
            <w:pPr>
              <w:keepNext w:val="0"/>
              <w:keepLines w:val="0"/>
              <w:widowControl/>
              <w:suppressLineNumbers w:val="0"/>
              <w:jc w:val="left"/>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一、机房设备</w:t>
            </w:r>
          </w:p>
        </w:tc>
      </w:tr>
      <w:tr w14:paraId="1FED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60E5E65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391" w:type="dxa"/>
            <w:shd w:val="clear" w:color="FFFFFF" w:fill="FFFFFF"/>
            <w:vAlign w:val="center"/>
          </w:tcPr>
          <w:p w14:paraId="7CBF49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核心交换机</w:t>
            </w:r>
          </w:p>
        </w:tc>
        <w:tc>
          <w:tcPr>
            <w:tcW w:w="5133" w:type="dxa"/>
            <w:shd w:val="clear" w:color="FFFFFF" w:fill="FFFFFF"/>
            <w:vAlign w:val="center"/>
          </w:tcPr>
          <w:p w14:paraId="7BBEA27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1.交换容量≥2.56Tbps。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2.包转发率≥660Mpps。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3.固化1000M SFP光接口≥24个，复用的10/100/1000M电口≥8个，1G/10G SFP+光口≥8个。</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4.设备可提供1个业务扩展槽，可支持同时扩展4个10G和2个100G端口。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5.支持2个模块化电源插槽，可实现1+1冗余，实配1个交流电源模块。</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6.▲采用两个FLASH芯片存储BOOT软件（系统引导程序），实现硬件级BOOT冗余备份，避免因FLASH芯片故障导致交换机无法启动。（提供官网截图和链接证明，并加盖供应商公章）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7.▲为保证设备在受到外界机械碰撞时能够正常运行，要求所投交换机IK防护测试级别至少达到IK05。（提供第三方检测机构出具的IK防护等级测试报告复印件，并加盖供应商公章）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8.整机采用绿色环保设计，满负荷情况下功耗≤102W（带扩展卡）。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9.支持RIP/RIPng，OSPFv2/v3，BGP4/4+，IS-ISv4/v6。</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10.支持IGMP v1/v2/v3，PIM-SM等组播协议。</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11.支持基于IPv4/IPv6五元组、基于源/目的MAC、基于VLAN、基于802.1P优先级的ACL。</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12.支持特有的CPU保护策略，对发往CPU的数据流，进行流区分和优先级队列分级处理，并根据需要实施带宽限速，充分保护CPU不被非法流量占用、恶意攻击和资源消耗。</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13.支持基础网络保护策略，限制用户向网络中发送ARP报文、ICMP请求报文、DHCP请求报文的数率，对超过限速阈值的报文进行丢弃处理，能够识别攻击行为，对有攻击行为的用户进行隔离。</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14.支持VXLAN二层网桥、VXLAN三层网关，支持EVPN VXLAN</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15.支持基于流的采样功能，对所选数据流包头中的源IP地址、目的IP地址、协议号、源端口号、包长等信息进行采样，并发送至网管主机。</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16.支持虚拟化功能，可将多台物理设备虚拟化为一台逻辑设备统一管理，并且链路故障的收敛时间达到毫秒级。</w:t>
            </w:r>
          </w:p>
        </w:tc>
        <w:tc>
          <w:tcPr>
            <w:tcW w:w="750" w:type="dxa"/>
            <w:shd w:val="clear" w:color="FFFFFF" w:fill="FFFFFF"/>
            <w:vAlign w:val="center"/>
          </w:tcPr>
          <w:p w14:paraId="7C10C6F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7F8583B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026" w:type="dxa"/>
            <w:shd w:val="clear" w:color="auto" w:fill="auto"/>
            <w:vAlign w:val="center"/>
          </w:tcPr>
          <w:p w14:paraId="126597E3">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123D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410CE2B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391" w:type="dxa"/>
            <w:shd w:val="clear" w:color="FFFFFF" w:fill="FFFFFF"/>
            <w:vAlign w:val="center"/>
          </w:tcPr>
          <w:p w14:paraId="27E66E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万兆单模光模块</w:t>
            </w:r>
          </w:p>
        </w:tc>
        <w:tc>
          <w:tcPr>
            <w:tcW w:w="5133" w:type="dxa"/>
            <w:shd w:val="clear" w:color="FFFFFF" w:fill="FFFFFF"/>
            <w:vAlign w:val="center"/>
          </w:tcPr>
          <w:p w14:paraId="4B70B08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万兆LC接口模块（1310nm），10km，适用于SFP+接口</w:t>
            </w:r>
          </w:p>
        </w:tc>
        <w:tc>
          <w:tcPr>
            <w:tcW w:w="750" w:type="dxa"/>
            <w:shd w:val="clear" w:color="FFFFFF" w:fill="FFFFFF"/>
            <w:vAlign w:val="center"/>
          </w:tcPr>
          <w:p w14:paraId="587AC27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817" w:type="dxa"/>
            <w:shd w:val="clear" w:color="FFFFFF" w:fill="FFFFFF"/>
            <w:vAlign w:val="center"/>
          </w:tcPr>
          <w:p w14:paraId="03D90B0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026" w:type="dxa"/>
            <w:shd w:val="clear" w:color="auto" w:fill="auto"/>
            <w:vAlign w:val="center"/>
          </w:tcPr>
          <w:p w14:paraId="024243C7">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5429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1B90AE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1391" w:type="dxa"/>
            <w:shd w:val="clear" w:color="auto" w:fill="auto"/>
            <w:noWrap/>
            <w:vAlign w:val="center"/>
          </w:tcPr>
          <w:p w14:paraId="2F540E0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网关</w:t>
            </w:r>
          </w:p>
        </w:tc>
        <w:tc>
          <w:tcPr>
            <w:tcW w:w="5133" w:type="dxa"/>
            <w:shd w:val="clear" w:color="FFFFFF" w:fill="FFFFFF"/>
            <w:vAlign w:val="center"/>
          </w:tcPr>
          <w:p w14:paraId="1AE3CA7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1.要求固化千兆电口数量≥4个；固化2.5千兆电口数量≥4个；固化万兆光口数量≥2个；</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2.可扩展存储硬盘≥1T；</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3.固化1个电源</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4.要求最大并发连接≥50万；每秒最大新建连接≥8万；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5.要求内网并发用户数≥800人；</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6.最大整机网络吞吐≥6Gbps ，开启应用识别、流量审计、流控、负载均衡、NAT、IPSEC等功能后应用吞吐≥5Gbps；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7.支持快速上线向导功能，指导配置人员完成快速入网，包括网络配置、流控配置、授权激活等必要上线步骤；</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8.支持静态地址、DHCP、PPPoE等网络连接类型；支持静态路由、子接口、NAT等基础网络功能；</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为了实时监控关键业务状态及时发现问题并报警，优化网络资源分配，提升网络体验质量和降低管理成本，要求支持关键应用监控，包括对预置应用和自定义应用的网络体验质量监控；支持关键角色监控，包括对单IP、IP网段的网络体验质量监控;支持呈现基础服务运行质量；（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10.▲为了提高网络的可靠性、稳定性和用户体验，要求支持基于关键应用体验质量的链路自动化切换；（提供有资质第三方检测机构出具的检测报告证明，并加盖供应商公章）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支持对DNS服务器的运行状态进行监测，支持呈现各DNS服务器的解析时延、请求数、解析失败数、设备探测时延。支持从系统DNS、WAN口DHCP分配的DNS导入监测对象，支持自定义DNS监测对象；（要求提供产品功能界面截图，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为了增加策略运行有效性，减少误操作影响业务，要求支持策略模拟功能，可提供虚拟策略空间用于创建和运行模拟策略，不影响真实业务流量，可与现有真实策略的不同处置动作进行对比展示，方便用户评估模拟策略对重要业务的影响，如满足需求时可一键下发为真实策略；（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13.为了降低资产暴露的风险，要求支持对用户网内资产的自动扫描，识别端口与协议，并根据这些用户资产信息生成推荐的安全防护策略；</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14.为便于梳理资产间的关系并快速制定管控策略，要求基于流量学习的方式对网内资产的互访关系进行梳理和可视化展示，包括：访问源IP、命中策略、阻断次数、最近一次阻断时间等信息；</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为便于策略优化与梳理，要求支持对配置的策略进行梳理、问题识别以及列表展示，策略问题类型包括但不限于一般问题、严重问题、建议优化并提供优化建议等。分析维度包括但不限于从未匹配、7天未匹配、30天未匹配、90天未匹配、冗余策略、冲突策略、过期策略等；</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16.支持策略的全生命周期展现，包括策略的变更时间、变更类型、变更账号、变更策略、变更内容等；支持通过颜色区分策略的变更项、删除等；支持策略项变更前后的对比展示；</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17.为增强出口安全的防护能力，要求设备支持集成IPS入侵防御功能，拥有≥17000条IPS规则。管理员可以根据网络环境和安全需求自定义和管理IPS规则的应用，可针对具体规则条目设置启用和禁用；系统提供IPS入侵检测预定义模板，同时支持用户通过设置新的签名过滤器，自定义新的IPS入侵检测防御模板。</w:t>
            </w:r>
          </w:p>
        </w:tc>
        <w:tc>
          <w:tcPr>
            <w:tcW w:w="750" w:type="dxa"/>
            <w:shd w:val="clear" w:color="FFFFFF" w:fill="FFFFFF"/>
            <w:vAlign w:val="center"/>
          </w:tcPr>
          <w:p w14:paraId="4201CFB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687BA4E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026" w:type="dxa"/>
            <w:shd w:val="clear" w:color="auto" w:fill="auto"/>
            <w:vAlign w:val="center"/>
          </w:tcPr>
          <w:p w14:paraId="676E67B4">
            <w:pPr>
              <w:jc w:val="center"/>
              <w:rPr>
                <w:rFonts w:hint="default" w:ascii="宋体" w:hAnsi="宋体" w:eastAsia="宋体" w:cs="宋体"/>
                <w:i w:val="0"/>
                <w:iCs w:val="0"/>
                <w:color w:val="000000" w:themeColor="text1"/>
                <w:sz w:val="22"/>
                <w:szCs w:val="22"/>
                <w:highlight w:val="none"/>
                <w:u w:val="none"/>
                <w:lang w:val="en-US" w:eastAsia="zh-CN"/>
                <w14:textFill>
                  <w14:solidFill>
                    <w14:schemeClr w14:val="tx1"/>
                  </w14:solidFill>
                </w14:textFill>
              </w:rPr>
            </w:pPr>
          </w:p>
        </w:tc>
      </w:tr>
      <w:tr w14:paraId="1620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2F6ABCD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1391" w:type="dxa"/>
            <w:shd w:val="clear" w:color="FFFFFF" w:fill="FFFFFF"/>
            <w:vAlign w:val="center"/>
          </w:tcPr>
          <w:p w14:paraId="31F8F1D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24口POE交换机</w:t>
            </w:r>
          </w:p>
        </w:tc>
        <w:tc>
          <w:tcPr>
            <w:tcW w:w="5133" w:type="dxa"/>
            <w:shd w:val="clear" w:color="auto" w:fill="auto"/>
            <w:vAlign w:val="center"/>
          </w:tcPr>
          <w:p w14:paraId="6CE8C42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1.交换容量≥598Gbps。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2.包转发率≥126Mpps。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3.固化10/100/1000M以太网端口≥24个，固化1G SFP光接口≥4个。</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4.绿色节能：要求支持高效节能以太网特性。端口如果在连续一段时间之内空闲，系统会将该端口设置为节能模式，当有报文收发时再通过定时发送的监听码流唤醒端口恢复业务，达到节能的效果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5.要求所投设备MAC地址≥16K。</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6.为满足工作场所的耐高温要求，要求设备具备0~50°的宽温设计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7.支持风扇调速及风扇故障告警功能，支持温度告警功能</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8.要求产品支持热启动不间断供电：产品在外界因素导致设备复位重启，或者设备进行版本升级等情况下，保证对终端设备的持续供电，不影响客户业务正常运转。</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9.支持POE和POE+,同时可POE供电端口≥24个，POE最大输出功率≥370W。</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10.▲投标产品面板自带一键查看PoE供电状态功能的按钮，轻按即可查看设备当前的通信状态和供电状态。（提供官网截图和链接证明，并加盖供应商公章）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11.支持生成树协议STP(IEEE 802.1d)，RSTP(IEEE 802.1w)和MSTP(IEEE 802.1s)，完全保证快速收敛，提高容错能力，保证网络的稳定运行和链路的负载均衡，合理使用网络通道，提供冗余链路利用率。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12.支持IPV4/IPV6静态路由。</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13.配合云管平台支持基于网关的网络拓扑自动发现，并以图形化形式呈现；支持基于云的工具箱功能（配置下发、配置备份、配置恢复、命令调试、访问eWeb、访问Telnet、访问SSH、重启、设备升级）；</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14.配合云管平台，告警可以通过微信公众号，邮件；微信，企业钉钉发送提醒</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15.支持N:1虚拟化功能，可将多台物理设备虚拟化为一台逻辑设备统一管理，简化管理。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16.支持特有的CPU保护策略，对发往CPU的数据流，进行流区分和优先级队列分级处理，并根据需要实施带宽限速，充分保护CPU不被非法流量占用、恶意攻击和资源消耗。</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17.支持基础网络保护策略，限制用户向网络中发送ARP报文、ICMP请求报文、DHCP请求报文的数率，对超过限速阈值的报文进行丢弃处理，能够识别攻击行为，对有攻击行为的用户进行隔离。</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18.支持链路检测协议，可快速检测链路的通断和光纤链路的单向性，并支持端口下的环路检测功能，防止端口下因私接Hub等设备形成的环路而导致网络故障的现象。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19.设备自带云管理功能，即插即用，可随时查看网络健康度，告警及时推送，有日记事件供回溯。</w:t>
            </w:r>
          </w:p>
        </w:tc>
        <w:tc>
          <w:tcPr>
            <w:tcW w:w="750" w:type="dxa"/>
            <w:shd w:val="clear" w:color="FFFFFF" w:fill="FFFFFF"/>
            <w:vAlign w:val="center"/>
          </w:tcPr>
          <w:p w14:paraId="07CB9B9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1BEE4D4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026" w:type="dxa"/>
            <w:shd w:val="clear" w:color="auto" w:fill="auto"/>
            <w:vAlign w:val="center"/>
          </w:tcPr>
          <w:p w14:paraId="4555D9D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无线网络使用</w:t>
            </w:r>
          </w:p>
        </w:tc>
      </w:tr>
      <w:tr w14:paraId="3122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3696C47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1391" w:type="dxa"/>
            <w:shd w:val="clear" w:color="FFFFFF" w:fill="FFFFFF"/>
            <w:vAlign w:val="center"/>
          </w:tcPr>
          <w:p w14:paraId="713576A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千兆单模光模块</w:t>
            </w:r>
          </w:p>
        </w:tc>
        <w:tc>
          <w:tcPr>
            <w:tcW w:w="5133" w:type="dxa"/>
            <w:shd w:val="clear" w:color="FFFFFF" w:fill="FFFFFF"/>
            <w:vAlign w:val="center"/>
          </w:tcPr>
          <w:p w14:paraId="5F9FB57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1000BASE-LX mini GBIC转换模块（1310nm），10km</w:t>
            </w:r>
          </w:p>
        </w:tc>
        <w:tc>
          <w:tcPr>
            <w:tcW w:w="750" w:type="dxa"/>
            <w:shd w:val="clear" w:color="FFFFFF" w:fill="FFFFFF"/>
            <w:vAlign w:val="center"/>
          </w:tcPr>
          <w:p w14:paraId="581A5F9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817" w:type="dxa"/>
            <w:shd w:val="clear" w:color="FFFFFF" w:fill="FFFFFF"/>
            <w:vAlign w:val="center"/>
          </w:tcPr>
          <w:p w14:paraId="39A3C70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1026" w:type="dxa"/>
            <w:shd w:val="clear" w:color="auto" w:fill="auto"/>
            <w:vAlign w:val="center"/>
          </w:tcPr>
          <w:p w14:paraId="62B9C96F">
            <w:pPr>
              <w:jc w:val="left"/>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p>
        </w:tc>
      </w:tr>
      <w:tr w14:paraId="1A74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9852" w:type="dxa"/>
            <w:gridSpan w:val="6"/>
            <w:shd w:val="clear" w:color="auto" w:fill="auto"/>
            <w:vAlign w:val="center"/>
          </w:tcPr>
          <w:p w14:paraId="2BDEA099">
            <w:pPr>
              <w:keepNext w:val="0"/>
              <w:keepLines w:val="0"/>
              <w:widowControl/>
              <w:suppressLineNumbers w:val="0"/>
              <w:jc w:val="left"/>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二、教学楼设备</w:t>
            </w:r>
          </w:p>
        </w:tc>
      </w:tr>
      <w:tr w14:paraId="7333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41A2943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391" w:type="dxa"/>
            <w:shd w:val="clear" w:color="FFFFFF" w:fill="FFFFFF"/>
            <w:vAlign w:val="center"/>
          </w:tcPr>
          <w:p w14:paraId="1268F5A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弱电机柜</w:t>
            </w:r>
          </w:p>
        </w:tc>
        <w:tc>
          <w:tcPr>
            <w:tcW w:w="5133" w:type="dxa"/>
            <w:shd w:val="clear" w:color="FFFFFF" w:fill="FFFFFF"/>
            <w:vAlign w:val="center"/>
          </w:tcPr>
          <w:p w14:paraId="6CB42B3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9U弱电挂墙机柜、冷轧钢、500*550*450mm</w:t>
            </w:r>
          </w:p>
        </w:tc>
        <w:tc>
          <w:tcPr>
            <w:tcW w:w="750" w:type="dxa"/>
            <w:shd w:val="clear" w:color="FFFFFF" w:fill="FFFFFF"/>
            <w:vAlign w:val="center"/>
          </w:tcPr>
          <w:p w14:paraId="2364184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0B45125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026" w:type="dxa"/>
            <w:shd w:val="clear" w:color="auto" w:fill="auto"/>
            <w:vAlign w:val="center"/>
          </w:tcPr>
          <w:p w14:paraId="7E4C381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启聪楼安装</w:t>
            </w:r>
          </w:p>
        </w:tc>
      </w:tr>
      <w:tr w14:paraId="38B2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1E6B823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391" w:type="dxa"/>
            <w:shd w:val="clear" w:color="FFFFFF" w:fill="FFFFFF"/>
            <w:vAlign w:val="center"/>
          </w:tcPr>
          <w:p w14:paraId="0D84247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汇聚交换机</w:t>
            </w:r>
          </w:p>
        </w:tc>
        <w:tc>
          <w:tcPr>
            <w:tcW w:w="5133" w:type="dxa"/>
            <w:shd w:val="clear" w:color="FFFFFF" w:fill="FFFFFF"/>
            <w:vAlign w:val="center"/>
          </w:tcPr>
          <w:p w14:paraId="425E16E7">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1.交换容量≥598Gbps。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2.包转发率≥126Mpps。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3.固化10/100/1000M以太网端口≥24个，固化1G SFP光接口≥4个。</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4.为满足工作场所的耐高温要求，要求设备具备0~50°的宽温设计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5.绿色节能：要求支持高效节能以太网特性。端口如果在连续一段时间之内空闲，系统会将该端口设置为节能模式，当有报文收发时再通过定时发送的监听码流唤醒端口恢复业务，达到节能的效果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6.要求所投设备MAC地址≥16K。</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7.要求设备采用静音无风扇节能设计。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支持生成树协议STP(IEEE 802.1d)，RSTP(IEEE 802.1w)和MSTP(IEEE 802.1s)，完全保证快速收敛，提高容错能力，保证网络的稳定运行和链路的负载均衡，合理使用网络通道，提供冗余链路利用率。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9.支持IPV4/IPV6静态路由。</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10.配合云管平台支持基于网关的网络拓扑自动发现，并以图形化形式呈现；支持基于云的工具箱功能（配置下发、配置备份、配置恢复、命令调试、访问eWeb、访问Telnet、访问SSH、重启、设备升级）；</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11.配合云管平台，告警可以通过微信公众号，邮件；微信，企业钉钉发送提醒</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 支持N:1虚拟化功能，可将多台物理设备虚拟化为一台逻辑设备统一管理，简化管理；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 支持特有的CPU保护策略，对发往CPU的数据流，进行流区分和优先级队列分级处理，并根据需要实施带宽限速，充分保护CPU不被非法流量占用、恶意攻击和资源消耗。</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支持基础网络保护策略，能够限制用户向网络中发送ARP报文、ICMP请求报文、DHCP请求报文等数据包的数率，对超过限速阈值的报文进行丢弃处理，甚至能够识别攻击行为，对有攻击行为的用户进行隔离。（提供官网截图和链接证明，并加盖供应商公章）</w:t>
            </w:r>
          </w:p>
          <w:p w14:paraId="43A4D08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 支持链路检测协议，可快速检测链路的通断和光纤链路的单向性，并支持端口下的环路检测功能，防止端口下因私接Hub等设备形成的环路而导致网络故障的现象。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16.设备自带云管理功能，即插即用，可随时查看网络健康度，告警及时推送，有日记事件供回溯。</w:t>
            </w:r>
          </w:p>
        </w:tc>
        <w:tc>
          <w:tcPr>
            <w:tcW w:w="750" w:type="dxa"/>
            <w:shd w:val="clear" w:color="FFFFFF" w:fill="FFFFFF"/>
            <w:vAlign w:val="center"/>
          </w:tcPr>
          <w:p w14:paraId="6D31B4A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53F192B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1026" w:type="dxa"/>
            <w:shd w:val="clear" w:color="auto" w:fill="auto"/>
            <w:vAlign w:val="center"/>
          </w:tcPr>
          <w:p w14:paraId="3653D00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51FC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1EA46A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1391" w:type="dxa"/>
            <w:shd w:val="clear" w:color="FFFFFF" w:fill="FFFFFF"/>
            <w:vAlign w:val="center"/>
          </w:tcPr>
          <w:p w14:paraId="413041A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千兆单模光模块</w:t>
            </w:r>
          </w:p>
        </w:tc>
        <w:tc>
          <w:tcPr>
            <w:tcW w:w="5133" w:type="dxa"/>
            <w:shd w:val="clear" w:color="FFFFFF" w:fill="FFFFFF"/>
            <w:vAlign w:val="center"/>
          </w:tcPr>
          <w:p w14:paraId="3CDB57E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1000BASE-LX mini GBIC转换模块（1310nm），10km</w:t>
            </w:r>
          </w:p>
        </w:tc>
        <w:tc>
          <w:tcPr>
            <w:tcW w:w="750" w:type="dxa"/>
            <w:shd w:val="clear" w:color="FFFFFF" w:fill="FFFFFF"/>
            <w:vAlign w:val="center"/>
          </w:tcPr>
          <w:p w14:paraId="7DE6D71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817" w:type="dxa"/>
            <w:shd w:val="clear" w:color="FFFFFF" w:fill="FFFFFF"/>
            <w:vAlign w:val="center"/>
          </w:tcPr>
          <w:p w14:paraId="62223BE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1026" w:type="dxa"/>
            <w:shd w:val="clear" w:color="auto" w:fill="auto"/>
            <w:vAlign w:val="center"/>
          </w:tcPr>
          <w:p w14:paraId="59B0AC36">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3F5F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03D0A9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1391" w:type="dxa"/>
            <w:shd w:val="clear" w:color="FFFFFF" w:fill="FFFFFF"/>
            <w:vAlign w:val="center"/>
          </w:tcPr>
          <w:p w14:paraId="691DEB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接入交换机</w:t>
            </w:r>
          </w:p>
        </w:tc>
        <w:tc>
          <w:tcPr>
            <w:tcW w:w="5133" w:type="dxa"/>
            <w:shd w:val="clear" w:color="FFFFFF" w:fill="FFFFFF"/>
            <w:vAlign w:val="center"/>
          </w:tcPr>
          <w:p w14:paraId="066B5E8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1.交换容量≥598Gbps。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2.包转发率≥126Mpps。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3.固化10/100/1000M以太网端口≥24个，固化1G SFP光接口≥4个。</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4.为满足工作场所的耐高温要求，要求设备具备0~50°的宽温设计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5.绿色节能：要求支持高效节能以太网特性。端口如果在连续一段时间之内空闲，系统会将该端口设置为节能模式，当有报文收发时再通过定时发送的监听码流唤醒端口恢复业务，达到节能的效果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6.要求所投设备MAC地址≥16K。</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7.要求设备采用静音无风扇节能设计。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支持生成树协议STP(IEEE 802.1d)，RSTP(IEEE 802.1w)和MSTP(IEEE 802.1s)，完全保证快速收敛，提高容错能力，保证网络的稳定运行和链路的负载均衡，合理使用网络通道，提供冗余链路利用率。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9.支持IPV4/IPV6静态路由。</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10.配合云管平台支持基于网关的网络拓扑自动发现，并以图形化形式呈现；支持基于云的工具箱功能（配置下发、配置备份、配置恢复、命令调试、访问eWeb、访问Telnet、访问SSH、重启、设备升级）；</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11.配合云管平台，告警可以通过微信公众号，邮件；微信，企业钉钉发送提醒</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 支持N:1虚拟化功能，可将多台物理设备虚拟化为一台逻辑设备统一管理，简化管理；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 支持特有的CPU保护策略，对发往CPU的数据流，进行流区分和优先级队列分级处理，并根据需要实施带宽限速，充分保护CPU不被非法流量占用、恶意攻击和资源消耗。</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支持基础网络保护策略，能够限制用户向网络中发送ARP报文、ICMP请求报文、DHCP请求报文等数据包的数率，对超过限速阈值的报文进行丢弃处理，甚至能够识别攻击行为，对有攻击行为的用户进行隔离。（提供官网截图和链接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 支持链路检测协议，可快速检测链路的通断和光纤链路的单向性，并支持端口下的环路检测功能，防止端口下因私接Hub等设备形成的环路而导致网络故障的现象。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16.设备自带云管理功能，即插即用，可随时查看网络健康度，告警及时推送，有日记事件供回溯。</w:t>
            </w:r>
          </w:p>
        </w:tc>
        <w:tc>
          <w:tcPr>
            <w:tcW w:w="750" w:type="dxa"/>
            <w:shd w:val="clear" w:color="FFFFFF" w:fill="FFFFFF"/>
            <w:vAlign w:val="center"/>
          </w:tcPr>
          <w:p w14:paraId="0EA58FB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5057D25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1026" w:type="dxa"/>
            <w:shd w:val="clear" w:color="auto" w:fill="auto"/>
            <w:vAlign w:val="center"/>
          </w:tcPr>
          <w:p w14:paraId="64ED7C2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启聪楼1台，启智楼2台</w:t>
            </w:r>
          </w:p>
        </w:tc>
      </w:tr>
      <w:tr w14:paraId="467B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0B26083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1391" w:type="dxa"/>
            <w:shd w:val="clear" w:color="FFFFFF" w:fill="FFFFFF"/>
            <w:vAlign w:val="center"/>
          </w:tcPr>
          <w:p w14:paraId="1D29BD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8口POE交换机</w:t>
            </w:r>
          </w:p>
        </w:tc>
        <w:tc>
          <w:tcPr>
            <w:tcW w:w="5133" w:type="dxa"/>
            <w:shd w:val="clear" w:color="FFFFFF" w:fill="FFFFFF"/>
            <w:vAlign w:val="center"/>
          </w:tcPr>
          <w:p w14:paraId="646B33D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交换容量≥336Gbps。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包转发率≥30Mpps。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3.固化10/100/1000M以太网电口≥10，1000M/2.5G SFP千兆光接口≥2个</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4.支持POE和POE+，同时可POE供电端口≥8个，POE最大输出功率≥125W，PoE满载下整机最大功耗141W</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5.绿色节能：要求支持高效节能以太网特性。端口如果在连续一段时间之内空闲，系统会将该端口设置为节能模式，当有报文收发时再通过定时发送的监听码流唤醒端口恢复业务，达到节能的效果。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6.▲设备采用降噪设计，整机噪声≤37dB。（提供官网截图和链接证明，并加盖供应商公章）</w:t>
            </w:r>
          </w:p>
          <w:p w14:paraId="57EC2250">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7.▲要求所投产品端口浪涌抗扰度≥10KV（即具备10KV的防雷能力）。（提供官网截图和链接证明，并加盖供应商公章）</w:t>
            </w:r>
          </w:p>
          <w:p w14:paraId="3B98EF5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8.支持专门针对CPU的保护机制，能够针对发往CPU处理的各种报文进行流区分和优先级队列分级处理，保护交换机在各种环境下稳定工作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9.支持基础网络保护策略，能够限制用户向网络中发送ARP报文、ICMP请求报文、DHCP请求报文等数据包的数率，对超过限速阈值的报文进行丢弃处理，甚至能够识别攻击行为，对有攻击行为的用户进行隔离。</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10.配合云管平台支持基于网关的网络拓扑自动发现，并以图形化形式呈现；支持基于云的工具箱功能（配置下发、配置备份、配置恢复、命令调试、访问eWeb、访问Telnet、访问SSH、重启、设备升级）；</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11.配合云管平台，告警可以通过微信公众号，邮件；微信，企业钉钉发送提醒</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12.支持生成树协议STP(IEEE 802.1d)，RSTP(IEEE 802.1w)和MSTP(IEEE 802.1s)，完全保证快速收敛，提高容错能力，保证网络的稳定运行和链路的负载均衡，合理使用网络通道，提供冗余链路利用率。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13.支持以太网链路检测协议，可快速检测链路的通断和光纤链路的单向性，并支持端口下的环路检测功能，防止端口下因私接Hub等设备形成的环路而导致网络故障的现象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14.支持SNMP、CLI(Telnet/Console)、Syslog、NTP、TFTP、Web</w:t>
            </w:r>
          </w:p>
        </w:tc>
        <w:tc>
          <w:tcPr>
            <w:tcW w:w="750" w:type="dxa"/>
            <w:shd w:val="clear" w:color="FFFFFF" w:fill="FFFFFF"/>
            <w:vAlign w:val="center"/>
          </w:tcPr>
          <w:p w14:paraId="538A26C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5DAA201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026" w:type="dxa"/>
            <w:shd w:val="clear" w:color="auto" w:fill="auto"/>
            <w:vAlign w:val="center"/>
          </w:tcPr>
          <w:p w14:paraId="396BA2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启聪楼二层老师办公室1台，饭堂1台</w:t>
            </w:r>
          </w:p>
        </w:tc>
      </w:tr>
      <w:tr w14:paraId="32E2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10" w:hRule="atLeast"/>
          <w:jc w:val="center"/>
        </w:trPr>
        <w:tc>
          <w:tcPr>
            <w:tcW w:w="735" w:type="dxa"/>
            <w:shd w:val="clear" w:color="auto" w:fill="auto"/>
            <w:vAlign w:val="center"/>
          </w:tcPr>
          <w:p w14:paraId="4312FB1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1391" w:type="dxa"/>
            <w:shd w:val="clear" w:color="FFFFFF" w:fill="FFFFFF"/>
            <w:vAlign w:val="center"/>
          </w:tcPr>
          <w:p w14:paraId="36571B7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弱电线槽</w:t>
            </w:r>
          </w:p>
        </w:tc>
        <w:tc>
          <w:tcPr>
            <w:tcW w:w="5133" w:type="dxa"/>
            <w:shd w:val="clear" w:color="FFFFFF" w:fill="FFFFFF"/>
            <w:vAlign w:val="center"/>
          </w:tcPr>
          <w:p w14:paraId="214D6B9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304不锈钢材质，200*100*1.0mm</w:t>
            </w:r>
          </w:p>
        </w:tc>
        <w:tc>
          <w:tcPr>
            <w:tcW w:w="750" w:type="dxa"/>
            <w:shd w:val="clear" w:color="FFFFFF" w:fill="FFFFFF"/>
            <w:vAlign w:val="center"/>
          </w:tcPr>
          <w:p w14:paraId="697E45F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m</w:t>
            </w:r>
          </w:p>
        </w:tc>
        <w:tc>
          <w:tcPr>
            <w:tcW w:w="817" w:type="dxa"/>
            <w:shd w:val="clear" w:color="FFFFFF" w:fill="FFFFFF"/>
            <w:vAlign w:val="center"/>
          </w:tcPr>
          <w:p w14:paraId="14A4C32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w:t>
            </w:r>
          </w:p>
        </w:tc>
        <w:tc>
          <w:tcPr>
            <w:tcW w:w="1026" w:type="dxa"/>
            <w:shd w:val="clear" w:color="auto" w:fill="auto"/>
            <w:vAlign w:val="center"/>
          </w:tcPr>
          <w:p w14:paraId="5B009AD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更换启智楼原竖式弱电镀锌线槽</w:t>
            </w:r>
          </w:p>
        </w:tc>
      </w:tr>
      <w:tr w14:paraId="2BC7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3BAFACA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1391" w:type="dxa"/>
            <w:shd w:val="clear" w:color="FFFFFF" w:fill="FFFFFF"/>
            <w:vAlign w:val="center"/>
          </w:tcPr>
          <w:p w14:paraId="2229CF8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网线</w:t>
            </w:r>
          </w:p>
        </w:tc>
        <w:tc>
          <w:tcPr>
            <w:tcW w:w="5133" w:type="dxa"/>
            <w:shd w:val="clear" w:color="FFFFFF" w:fill="FFFFFF"/>
            <w:vAlign w:val="center"/>
          </w:tcPr>
          <w:p w14:paraId="6B1BFBC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六类千兆双绞线，305m/箱</w:t>
            </w:r>
          </w:p>
        </w:tc>
        <w:tc>
          <w:tcPr>
            <w:tcW w:w="750" w:type="dxa"/>
            <w:shd w:val="clear" w:color="FFFFFF" w:fill="FFFFFF"/>
            <w:vAlign w:val="center"/>
          </w:tcPr>
          <w:p w14:paraId="35182D3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m</w:t>
            </w:r>
          </w:p>
        </w:tc>
        <w:tc>
          <w:tcPr>
            <w:tcW w:w="817" w:type="dxa"/>
            <w:shd w:val="clear" w:color="FFFFFF" w:fill="FFFFFF"/>
            <w:vAlign w:val="center"/>
          </w:tcPr>
          <w:p w14:paraId="1C9E11A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3000</w:t>
            </w:r>
          </w:p>
        </w:tc>
        <w:tc>
          <w:tcPr>
            <w:tcW w:w="1026" w:type="dxa"/>
            <w:shd w:val="clear" w:color="auto" w:fill="auto"/>
            <w:vAlign w:val="center"/>
          </w:tcPr>
          <w:p w14:paraId="4E262BA1">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403D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3236911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1391" w:type="dxa"/>
            <w:shd w:val="clear" w:color="FFFFFF" w:fill="FFFFFF"/>
            <w:vAlign w:val="center"/>
          </w:tcPr>
          <w:p w14:paraId="08074F8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PVC线槽</w:t>
            </w:r>
          </w:p>
        </w:tc>
        <w:tc>
          <w:tcPr>
            <w:tcW w:w="5133" w:type="dxa"/>
            <w:shd w:val="clear" w:color="FFFFFF" w:fill="FFFFFF"/>
            <w:vAlign w:val="center"/>
          </w:tcPr>
          <w:p w14:paraId="6AF0EC9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方形线槽，80*40mm,含槽角弯、槽三通、槽内角等配件</w:t>
            </w:r>
          </w:p>
        </w:tc>
        <w:tc>
          <w:tcPr>
            <w:tcW w:w="750" w:type="dxa"/>
            <w:shd w:val="clear" w:color="FFFFFF" w:fill="FFFFFF"/>
            <w:vAlign w:val="center"/>
          </w:tcPr>
          <w:p w14:paraId="132E632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m</w:t>
            </w:r>
          </w:p>
        </w:tc>
        <w:tc>
          <w:tcPr>
            <w:tcW w:w="817" w:type="dxa"/>
            <w:shd w:val="clear" w:color="FFFFFF" w:fill="FFFFFF"/>
            <w:vAlign w:val="center"/>
          </w:tcPr>
          <w:p w14:paraId="4ABD1D6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200</w:t>
            </w:r>
          </w:p>
        </w:tc>
        <w:tc>
          <w:tcPr>
            <w:tcW w:w="1026" w:type="dxa"/>
            <w:shd w:val="clear" w:color="auto" w:fill="auto"/>
            <w:vAlign w:val="center"/>
          </w:tcPr>
          <w:p w14:paraId="0D2FA8F9">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53C2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072C7E4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w:t>
            </w:r>
          </w:p>
        </w:tc>
        <w:tc>
          <w:tcPr>
            <w:tcW w:w="1391" w:type="dxa"/>
            <w:shd w:val="clear" w:color="FFFFFF" w:fill="FFFFFF"/>
            <w:vAlign w:val="center"/>
          </w:tcPr>
          <w:p w14:paraId="355627E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PVC线槽</w:t>
            </w:r>
          </w:p>
        </w:tc>
        <w:tc>
          <w:tcPr>
            <w:tcW w:w="5133" w:type="dxa"/>
            <w:shd w:val="clear" w:color="FFFFFF" w:fill="FFFFFF"/>
            <w:vAlign w:val="center"/>
          </w:tcPr>
          <w:p w14:paraId="60ECA4C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方形线槽，30*15mm,含槽角弯、槽三通、槽内角等配件</w:t>
            </w:r>
          </w:p>
        </w:tc>
        <w:tc>
          <w:tcPr>
            <w:tcW w:w="750" w:type="dxa"/>
            <w:shd w:val="clear" w:color="FFFFFF" w:fill="FFFFFF"/>
            <w:vAlign w:val="center"/>
          </w:tcPr>
          <w:p w14:paraId="33EEB59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m</w:t>
            </w:r>
          </w:p>
        </w:tc>
        <w:tc>
          <w:tcPr>
            <w:tcW w:w="817" w:type="dxa"/>
            <w:shd w:val="clear" w:color="FFFFFF" w:fill="FFFFFF"/>
            <w:vAlign w:val="center"/>
          </w:tcPr>
          <w:p w14:paraId="10FF09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500</w:t>
            </w:r>
          </w:p>
        </w:tc>
        <w:tc>
          <w:tcPr>
            <w:tcW w:w="1026" w:type="dxa"/>
            <w:shd w:val="clear" w:color="auto" w:fill="auto"/>
            <w:vAlign w:val="center"/>
          </w:tcPr>
          <w:p w14:paraId="47DA2AC7">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08E4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7562B50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1391" w:type="dxa"/>
            <w:shd w:val="clear" w:color="FFFFFF" w:fill="FFFFFF"/>
            <w:vAlign w:val="center"/>
          </w:tcPr>
          <w:p w14:paraId="38911D9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信息插座</w:t>
            </w:r>
          </w:p>
        </w:tc>
        <w:tc>
          <w:tcPr>
            <w:tcW w:w="5133" w:type="dxa"/>
            <w:shd w:val="clear" w:color="FFFFFF" w:fill="FFFFFF"/>
            <w:vAlign w:val="center"/>
          </w:tcPr>
          <w:p w14:paraId="62FC97A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网络单口面板（斜口带防尘盖），含六类非屏蔽模块，含底盒，带弹簧</w:t>
            </w:r>
          </w:p>
        </w:tc>
        <w:tc>
          <w:tcPr>
            <w:tcW w:w="750" w:type="dxa"/>
            <w:shd w:val="clear" w:color="FFFFFF" w:fill="FFFFFF"/>
            <w:vAlign w:val="center"/>
          </w:tcPr>
          <w:p w14:paraId="65611E7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817" w:type="dxa"/>
            <w:shd w:val="clear" w:color="FFFFFF" w:fill="FFFFFF"/>
            <w:vAlign w:val="center"/>
          </w:tcPr>
          <w:p w14:paraId="38DE0B1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45</w:t>
            </w:r>
          </w:p>
        </w:tc>
        <w:tc>
          <w:tcPr>
            <w:tcW w:w="1026" w:type="dxa"/>
            <w:shd w:val="clear" w:color="auto" w:fill="auto"/>
            <w:vAlign w:val="center"/>
          </w:tcPr>
          <w:p w14:paraId="7520674C">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每间教室3个信息插座</w:t>
            </w:r>
          </w:p>
        </w:tc>
      </w:tr>
      <w:tr w14:paraId="6604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4F3743A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w:t>
            </w:r>
          </w:p>
        </w:tc>
        <w:tc>
          <w:tcPr>
            <w:tcW w:w="1391" w:type="dxa"/>
            <w:shd w:val="clear" w:color="FFFFFF" w:fill="FFFFFF"/>
            <w:vAlign w:val="center"/>
          </w:tcPr>
          <w:p w14:paraId="4142545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光纤跳线</w:t>
            </w:r>
          </w:p>
        </w:tc>
        <w:tc>
          <w:tcPr>
            <w:tcW w:w="5133" w:type="dxa"/>
            <w:shd w:val="clear" w:color="auto" w:fill="auto"/>
            <w:vAlign w:val="center"/>
          </w:tcPr>
          <w:p w14:paraId="54BF1A0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0" name="Picture_1" descr="rId1"/>
                  <wp:cNvGraphicFramePr/>
                  <a:graphic xmlns:a="http://schemas.openxmlformats.org/drawingml/2006/main">
                    <a:graphicData uri="http://schemas.openxmlformats.org/drawingml/2006/picture">
                      <pic:pic xmlns:pic="http://schemas.openxmlformats.org/drawingml/2006/picture">
                        <pic:nvPicPr>
                          <pic:cNvPr id="1073742850" name="Picture_1"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1" name="Picture_1_SpCnt_1" descr="rId1"/>
                  <wp:cNvGraphicFramePr/>
                  <a:graphic xmlns:a="http://schemas.openxmlformats.org/drawingml/2006/main">
                    <a:graphicData uri="http://schemas.openxmlformats.org/drawingml/2006/picture">
                      <pic:pic xmlns:pic="http://schemas.openxmlformats.org/drawingml/2006/picture">
                        <pic:nvPicPr>
                          <pic:cNvPr id="1073742851" name="Picture_1_SpCnt_1"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2" name="Picture_1_SpCnt_2" descr="rId1"/>
                  <wp:cNvGraphicFramePr/>
                  <a:graphic xmlns:a="http://schemas.openxmlformats.org/drawingml/2006/main">
                    <a:graphicData uri="http://schemas.openxmlformats.org/drawingml/2006/picture">
                      <pic:pic xmlns:pic="http://schemas.openxmlformats.org/drawingml/2006/picture">
                        <pic:nvPicPr>
                          <pic:cNvPr id="1073742852" name="Picture_1_SpCnt_2"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3" name="Picture_1_SpCnt_3" descr="rId1"/>
                  <wp:cNvGraphicFramePr/>
                  <a:graphic xmlns:a="http://schemas.openxmlformats.org/drawingml/2006/main">
                    <a:graphicData uri="http://schemas.openxmlformats.org/drawingml/2006/picture">
                      <pic:pic xmlns:pic="http://schemas.openxmlformats.org/drawingml/2006/picture">
                        <pic:nvPicPr>
                          <pic:cNvPr id="1073742853" name="Picture_1_SpCnt_3"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4" name="Picture_1_SpCnt_4" descr="rId1"/>
                  <wp:cNvGraphicFramePr/>
                  <a:graphic xmlns:a="http://schemas.openxmlformats.org/drawingml/2006/main">
                    <a:graphicData uri="http://schemas.openxmlformats.org/drawingml/2006/picture">
                      <pic:pic xmlns:pic="http://schemas.openxmlformats.org/drawingml/2006/picture">
                        <pic:nvPicPr>
                          <pic:cNvPr id="1073742854" name="Picture_1_SpCnt_4"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5" name="Picture_1_SpCnt_5" descr="rId1"/>
                  <wp:cNvGraphicFramePr/>
                  <a:graphic xmlns:a="http://schemas.openxmlformats.org/drawingml/2006/main">
                    <a:graphicData uri="http://schemas.openxmlformats.org/drawingml/2006/picture">
                      <pic:pic xmlns:pic="http://schemas.openxmlformats.org/drawingml/2006/picture">
                        <pic:nvPicPr>
                          <pic:cNvPr id="1073742855" name="Picture_1_SpCnt_5"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6" name="Picture_1_SpCnt_6" descr="rId1"/>
                  <wp:cNvGraphicFramePr/>
                  <a:graphic xmlns:a="http://schemas.openxmlformats.org/drawingml/2006/main">
                    <a:graphicData uri="http://schemas.openxmlformats.org/drawingml/2006/picture">
                      <pic:pic xmlns:pic="http://schemas.openxmlformats.org/drawingml/2006/picture">
                        <pic:nvPicPr>
                          <pic:cNvPr id="1073742856" name="Picture_1_SpCnt_6"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7" name="Picture_1_SpCnt_7" descr="rId1"/>
                  <wp:cNvGraphicFramePr/>
                  <a:graphic xmlns:a="http://schemas.openxmlformats.org/drawingml/2006/main">
                    <a:graphicData uri="http://schemas.openxmlformats.org/drawingml/2006/picture">
                      <pic:pic xmlns:pic="http://schemas.openxmlformats.org/drawingml/2006/picture">
                        <pic:nvPicPr>
                          <pic:cNvPr id="1073742857" name="Picture_1_SpCnt_7"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8" name="Picture_1_SpCnt_8" descr="rId1"/>
                  <wp:cNvGraphicFramePr/>
                  <a:graphic xmlns:a="http://schemas.openxmlformats.org/drawingml/2006/main">
                    <a:graphicData uri="http://schemas.openxmlformats.org/drawingml/2006/picture">
                      <pic:pic xmlns:pic="http://schemas.openxmlformats.org/drawingml/2006/picture">
                        <pic:nvPicPr>
                          <pic:cNvPr id="1073742858" name="Picture_1_SpCnt_8"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59" name="Picture_1_SpCnt_9" descr="rId1"/>
                  <wp:cNvGraphicFramePr/>
                  <a:graphic xmlns:a="http://schemas.openxmlformats.org/drawingml/2006/main">
                    <a:graphicData uri="http://schemas.openxmlformats.org/drawingml/2006/picture">
                      <pic:pic xmlns:pic="http://schemas.openxmlformats.org/drawingml/2006/picture">
                        <pic:nvPicPr>
                          <pic:cNvPr id="1073742859" name="Picture_1_SpCnt_9"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60" name="Picture_1_SpCnt_10" descr="rId1"/>
                  <wp:cNvGraphicFramePr/>
                  <a:graphic xmlns:a="http://schemas.openxmlformats.org/drawingml/2006/main">
                    <a:graphicData uri="http://schemas.openxmlformats.org/drawingml/2006/picture">
                      <pic:pic xmlns:pic="http://schemas.openxmlformats.org/drawingml/2006/picture">
                        <pic:nvPicPr>
                          <pic:cNvPr id="1073742860" name="Picture_1_SpCnt_10"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666750</wp:posOffset>
                  </wp:positionH>
                  <wp:positionV relativeFrom="paragraph">
                    <wp:posOffset>0</wp:posOffset>
                  </wp:positionV>
                  <wp:extent cx="0" cy="9525"/>
                  <wp:effectExtent l="0" t="0" r="0" b="0"/>
                  <wp:wrapNone/>
                  <wp:docPr id="1073742861" name="Picture_1_SpCnt_11" descr="rId1"/>
                  <wp:cNvGraphicFramePr/>
                  <a:graphic xmlns:a="http://schemas.openxmlformats.org/drawingml/2006/main">
                    <a:graphicData uri="http://schemas.openxmlformats.org/drawingml/2006/picture">
                      <pic:pic xmlns:pic="http://schemas.openxmlformats.org/drawingml/2006/picture">
                        <pic:nvPicPr>
                          <pic:cNvPr id="1073742861" name="Picture_1_SpCnt_11" descr="rId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24100" y="6020435"/>
                            <a:ext cx="0" cy="9525"/>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SC/UPC-SC/UPC 3M</w:t>
            </w:r>
          </w:p>
        </w:tc>
        <w:tc>
          <w:tcPr>
            <w:tcW w:w="750" w:type="dxa"/>
            <w:shd w:val="clear" w:color="FFFFFF" w:fill="FFFFFF"/>
            <w:vAlign w:val="center"/>
          </w:tcPr>
          <w:p w14:paraId="4D734F2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条</w:t>
            </w:r>
          </w:p>
        </w:tc>
        <w:tc>
          <w:tcPr>
            <w:tcW w:w="817" w:type="dxa"/>
            <w:shd w:val="clear" w:color="FFFFFF" w:fill="FFFFFF"/>
            <w:vAlign w:val="center"/>
          </w:tcPr>
          <w:p w14:paraId="4EBF6E8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1026" w:type="dxa"/>
            <w:shd w:val="clear" w:color="auto" w:fill="auto"/>
            <w:vAlign w:val="center"/>
          </w:tcPr>
          <w:p w14:paraId="74A9356A">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0D49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635B959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w:t>
            </w:r>
          </w:p>
        </w:tc>
        <w:tc>
          <w:tcPr>
            <w:tcW w:w="1391" w:type="dxa"/>
            <w:shd w:val="clear" w:color="FFFFFF" w:fill="FFFFFF"/>
            <w:vAlign w:val="center"/>
          </w:tcPr>
          <w:p w14:paraId="37F9CED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网络跳线</w:t>
            </w:r>
          </w:p>
        </w:tc>
        <w:tc>
          <w:tcPr>
            <w:tcW w:w="5133" w:type="dxa"/>
            <w:shd w:val="clear" w:color="FFFFFF" w:fill="FFFFFF"/>
            <w:vAlign w:val="center"/>
          </w:tcPr>
          <w:p w14:paraId="2FBF89C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六类网络跳线 2M</w:t>
            </w:r>
          </w:p>
        </w:tc>
        <w:tc>
          <w:tcPr>
            <w:tcW w:w="750" w:type="dxa"/>
            <w:shd w:val="clear" w:color="FFFFFF" w:fill="FFFFFF"/>
            <w:vAlign w:val="center"/>
          </w:tcPr>
          <w:p w14:paraId="35FD68F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条</w:t>
            </w:r>
          </w:p>
        </w:tc>
        <w:tc>
          <w:tcPr>
            <w:tcW w:w="817" w:type="dxa"/>
            <w:shd w:val="clear" w:color="FFFFFF" w:fill="FFFFFF"/>
            <w:vAlign w:val="center"/>
          </w:tcPr>
          <w:p w14:paraId="466BFC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1026" w:type="dxa"/>
            <w:shd w:val="clear" w:color="auto" w:fill="auto"/>
            <w:vAlign w:val="center"/>
          </w:tcPr>
          <w:p w14:paraId="0E3DED76">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1283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4808F00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w:t>
            </w:r>
          </w:p>
        </w:tc>
        <w:tc>
          <w:tcPr>
            <w:tcW w:w="1391" w:type="dxa"/>
            <w:shd w:val="clear" w:color="FFFFFF" w:fill="FFFFFF"/>
            <w:vAlign w:val="center"/>
          </w:tcPr>
          <w:p w14:paraId="131B507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PDU插座</w:t>
            </w:r>
          </w:p>
        </w:tc>
        <w:tc>
          <w:tcPr>
            <w:tcW w:w="5133" w:type="dxa"/>
            <w:shd w:val="clear" w:color="auto" w:fill="auto"/>
            <w:vAlign w:val="center"/>
          </w:tcPr>
          <w:p w14:paraId="4FE569F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6位机柜专用PDU插座，输入电流32A ，输出6口10A，带线3米</w:t>
            </w:r>
          </w:p>
        </w:tc>
        <w:tc>
          <w:tcPr>
            <w:tcW w:w="750" w:type="dxa"/>
            <w:shd w:val="clear" w:color="FFFFFF" w:fill="FFFFFF"/>
            <w:vAlign w:val="center"/>
          </w:tcPr>
          <w:p w14:paraId="4491A28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817" w:type="dxa"/>
            <w:shd w:val="clear" w:color="FFFFFF" w:fill="FFFFFF"/>
            <w:vAlign w:val="center"/>
          </w:tcPr>
          <w:p w14:paraId="64B8691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026" w:type="dxa"/>
            <w:shd w:val="clear" w:color="auto" w:fill="auto"/>
            <w:vAlign w:val="center"/>
          </w:tcPr>
          <w:p w14:paraId="6F9AAA25">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081B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9" w:hRule="atLeast"/>
          <w:jc w:val="center"/>
        </w:trPr>
        <w:tc>
          <w:tcPr>
            <w:tcW w:w="735" w:type="dxa"/>
            <w:shd w:val="clear" w:color="auto" w:fill="auto"/>
            <w:vAlign w:val="center"/>
          </w:tcPr>
          <w:p w14:paraId="52E1703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w:t>
            </w:r>
          </w:p>
        </w:tc>
        <w:tc>
          <w:tcPr>
            <w:tcW w:w="1391" w:type="dxa"/>
            <w:shd w:val="clear" w:color="FFFFFF" w:fill="FFFFFF"/>
            <w:vAlign w:val="center"/>
          </w:tcPr>
          <w:p w14:paraId="5D9BC0F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无线AP</w:t>
            </w:r>
          </w:p>
        </w:tc>
        <w:tc>
          <w:tcPr>
            <w:tcW w:w="5133" w:type="dxa"/>
            <w:shd w:val="clear" w:color="FFFFFF" w:fill="FFFFFF"/>
            <w:vAlign w:val="center"/>
          </w:tcPr>
          <w:p w14:paraId="2987A30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1.支持802.11ax协议；整机支持≥4条空间流；整机最大无线速率≥2.97Gbps。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2.至少支持1个1000M自适应以太网端口；至少支持1个2.5G SFP光口；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3.内置蓝牙5.1。</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4.▲由于放装AP部署在高空环境，难以时常清洁，为保障设备堆积灰尘仍可以正常运行，要求所投无线接入点符合国标GB/T 4208-2017即《外壳防护等级（IP代码）》，防尘防水等级至少达到IP51。（提供有资质第三方测试报告复印件证明，以及官网截图和链接证明并加盖供应商公章）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5.投标AP符合无线技术行业标准，遵守标准协议，确保投标产品具有更好的通用性和兼容性。</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6.要求所投产品支持WPA3安全标准。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7.为快速建立高度隔离的安全网络，设备应支持实现AP虚拟化功能，实现一台AP虚拟为多台AP，分别受不同AC设备独立管理，互不影响。不同虚拟AP之间数据隔离，虚拟AP在AC上不占用AP License。</w:t>
            </w:r>
          </w:p>
        </w:tc>
        <w:tc>
          <w:tcPr>
            <w:tcW w:w="750" w:type="dxa"/>
            <w:shd w:val="clear" w:color="FFFFFF" w:fill="FFFFFF"/>
            <w:vAlign w:val="center"/>
          </w:tcPr>
          <w:p w14:paraId="32C85A9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817" w:type="dxa"/>
            <w:shd w:val="clear" w:color="FFFFFF" w:fill="FFFFFF"/>
            <w:vAlign w:val="center"/>
          </w:tcPr>
          <w:p w14:paraId="3403AE6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026" w:type="dxa"/>
            <w:shd w:val="clear" w:color="auto" w:fill="auto"/>
            <w:vAlign w:val="center"/>
          </w:tcPr>
          <w:p w14:paraId="45A83710">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69E61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35" w:type="dxa"/>
            <w:shd w:val="clear" w:color="auto" w:fill="auto"/>
            <w:vAlign w:val="center"/>
          </w:tcPr>
          <w:p w14:paraId="6C2DCB9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w:t>
            </w:r>
          </w:p>
        </w:tc>
        <w:tc>
          <w:tcPr>
            <w:tcW w:w="1391" w:type="dxa"/>
            <w:shd w:val="clear" w:color="auto" w:fill="auto"/>
            <w:vAlign w:val="center"/>
          </w:tcPr>
          <w:p w14:paraId="6D77214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水晶头</w:t>
            </w:r>
          </w:p>
        </w:tc>
        <w:tc>
          <w:tcPr>
            <w:tcW w:w="5133" w:type="dxa"/>
            <w:shd w:val="clear" w:color="auto" w:fill="auto"/>
            <w:vAlign w:val="center"/>
          </w:tcPr>
          <w:p w14:paraId="76A2250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六类水晶头，50个/盒</w:t>
            </w:r>
          </w:p>
        </w:tc>
        <w:tc>
          <w:tcPr>
            <w:tcW w:w="750" w:type="dxa"/>
            <w:shd w:val="clear" w:color="auto" w:fill="auto"/>
            <w:vAlign w:val="center"/>
          </w:tcPr>
          <w:p w14:paraId="4638DC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盒</w:t>
            </w:r>
          </w:p>
        </w:tc>
        <w:tc>
          <w:tcPr>
            <w:tcW w:w="817" w:type="dxa"/>
            <w:shd w:val="clear" w:color="auto" w:fill="auto"/>
            <w:vAlign w:val="center"/>
          </w:tcPr>
          <w:p w14:paraId="5EA43EE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026" w:type="dxa"/>
            <w:shd w:val="clear" w:color="auto" w:fill="auto"/>
            <w:vAlign w:val="center"/>
          </w:tcPr>
          <w:p w14:paraId="33494673">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bl>
    <w:p w14:paraId="03E74994">
      <w:pPr>
        <w:tabs>
          <w:tab w:val="left" w:pos="6749"/>
        </w:tabs>
        <w:spacing w:line="360" w:lineRule="auto"/>
        <w:jc w:val="left"/>
        <w:rPr>
          <w:rFonts w:eastAsia="宋体"/>
          <w:b/>
          <w:bCs/>
          <w:color w:val="000000" w:themeColor="text1"/>
          <w:szCs w:val="22"/>
          <w:highlight w:val="none"/>
          <w14:textFill>
            <w14:solidFill>
              <w14:schemeClr w14:val="tx1"/>
            </w14:solidFill>
          </w14:textFill>
        </w:rPr>
      </w:pPr>
    </w:p>
    <w:p w14:paraId="17997014">
      <w:pPr>
        <w:numPr>
          <w:ilvl w:val="0"/>
          <w:numId w:val="0"/>
        </w:numPr>
        <w:tabs>
          <w:tab w:val="left" w:pos="6749"/>
        </w:tabs>
        <w:spacing w:line="360" w:lineRule="auto"/>
        <w:jc w:val="left"/>
        <w:rPr>
          <w:rFonts w:hint="eastAsia" w:ascii="宋体" w:hAnsi="宋体" w:eastAsia="宋体" w:cs="宋体"/>
          <w:b/>
          <w:bCs/>
          <w:color w:val="000000" w:themeColor="text1"/>
          <w:szCs w:val="22"/>
          <w:highlight w:val="none"/>
          <w:lang w:val="en-US" w:eastAsia="zh-CN"/>
          <w14:textFill>
            <w14:solidFill>
              <w14:schemeClr w14:val="tx1"/>
            </w14:solidFill>
          </w14:textFill>
        </w:rPr>
      </w:pPr>
      <w:r>
        <w:rPr>
          <w:rFonts w:hint="eastAsia" w:ascii="宋体" w:hAnsi="宋体" w:eastAsia="宋体" w:cs="宋体"/>
          <w:b/>
          <w:bCs/>
          <w:color w:val="000000" w:themeColor="text1"/>
          <w:szCs w:val="22"/>
          <w:highlight w:val="none"/>
          <w:lang w:val="en-US" w:eastAsia="zh-CN"/>
          <w14:textFill>
            <w14:solidFill>
              <w14:schemeClr w14:val="tx1"/>
            </w14:solidFill>
          </w14:textFill>
        </w:rPr>
        <w:t>2.</w:t>
      </w:r>
      <w:bookmarkStart w:id="118" w:name="_Toc7756"/>
      <w:r>
        <w:rPr>
          <w:rFonts w:hint="eastAsia" w:ascii="宋体" w:hAnsi="宋体" w:eastAsia="宋体" w:cs="宋体"/>
          <w:b/>
          <w:bCs/>
          <w:color w:val="000000" w:themeColor="text1"/>
          <w:szCs w:val="22"/>
          <w:highlight w:val="none"/>
          <w:lang w:val="en-US" w:eastAsia="zh-CN"/>
          <w14:textFill>
            <w14:solidFill>
              <w14:schemeClr w14:val="tx1"/>
            </w14:solidFill>
          </w14:textFill>
        </w:rPr>
        <w:t>监控升级改造</w:t>
      </w:r>
      <w:bookmarkEnd w:id="118"/>
    </w:p>
    <w:tbl>
      <w:tblPr>
        <w:tblStyle w:val="52"/>
        <w:tblW w:w="101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4"/>
        <w:gridCol w:w="1721"/>
        <w:gridCol w:w="4891"/>
        <w:gridCol w:w="810"/>
        <w:gridCol w:w="945"/>
        <w:gridCol w:w="918"/>
      </w:tblGrid>
      <w:tr w14:paraId="531B6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F7EB4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序号</w:t>
            </w:r>
          </w:p>
        </w:tc>
        <w:tc>
          <w:tcPr>
            <w:tcW w:w="172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9BEEF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名称</w:t>
            </w:r>
          </w:p>
        </w:tc>
        <w:tc>
          <w:tcPr>
            <w:tcW w:w="489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893BD9">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技术参数</w:t>
            </w:r>
          </w:p>
        </w:tc>
        <w:tc>
          <w:tcPr>
            <w:tcW w:w="81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17B3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单位</w:t>
            </w:r>
          </w:p>
        </w:tc>
        <w:tc>
          <w:tcPr>
            <w:tcW w:w="9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9712F2">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数量</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2E13D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备注</w:t>
            </w:r>
          </w:p>
        </w:tc>
      </w:tr>
      <w:tr w14:paraId="0FD17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2A4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4FE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全彩半球网络摄像机</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2BD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半球摄像机，支持输出图像分辨率不低于2560x1440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靶面尺寸为≥1/2.7英寸</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 ▲信噪比不小于58dB。（提供有资质第三方检测机构出具的检测报告证明，并加盖供应商公章）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xml:space="preserve">4. 彩色最低照度彩色0.005 Lux </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 防补光过曝：支持</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 补光灯类型：智能补光，可切换白光灯、红外灯</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xml:space="preserve">7. 补光距离： ≥30 m </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摄像机应能在额定电源电压 DC12V的±25%范围内正常工作，且支持POE供电</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 内置1个麦克风，1个RJ45网络接口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 需支持≥IP66防尘防水。</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 功耗≤6.5 W</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931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6FE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21E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用于出入口、园区、室内等常规区域</w:t>
            </w:r>
          </w:p>
        </w:tc>
      </w:tr>
      <w:tr w14:paraId="4492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F2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2C8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全彩筒型网络摄像机</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6B6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筒型摄像机，支持输出图像分辨率不低于2560x1440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靶面尺寸为≥1/2.7英寸</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 ▲信噪比不小于58dB。（提供有资质第三方检测机构出具的检测报告证明，并加盖供应商公章）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xml:space="preserve">4. 彩色最低照度彩色0.005 Lux </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 防补光过曝：支持</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 补光灯类型：智能补光，可切换白光灯、红外灯</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xml:space="preserve">7. 补光距离： ≥30 m </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摄像机应能在额定电源电压 DC12V的±25%范围内正常工作，且支持POE供电</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 内置1个麦克风，1个RJ45网络接口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 需支持≥IP66防尘防水。</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 功耗≤6.5 W</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04C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4BF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A775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用于出入口、园区、室内等常规区域</w:t>
            </w:r>
          </w:p>
        </w:tc>
      </w:tr>
      <w:tr w14:paraId="5BB7D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F28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014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智能警戒网络摄像机</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346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分辨率≥2688x1520。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最低照度彩色≤0.005lx。</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 内置不少于1个GPU芯片，麦克风，扬声器。</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 支持白光灯补光，当白光灯开启时，可识别距离≥30米处的人体轮廊</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 同一静止场景相同图像质量下，设备在H.264、H.265编码方式时，开启智能编码功能和不开启智能编码相比，码率节约50%。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 ▲支持智能报警防干扰功能，智能分析行为类型为区域入侵、越界入侵、进入区域、离开区域时，报警检测目标设置为人体或车辆时，光线明暗变化，篮球滚动，狗行走，树摇晃，不触发报警。（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 ▲当报警产生时，可触发联动声音报警。报警声音类型不低于 10 种，报警音量和重复次数可设置。（提供有资质第三方检测机构出具的检测报告证明，并加盖供应商公章）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▲可对出现在监控场景内的两眼瞳距不小于19像素的人脸进行检验，并叠加目标提示框。（提供有资质第三方检测机构出具的检测报告证明，并加盖供应商公章）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 ▲可同时对经过设定检测区域内的不低于10 个行人进行人脸检测、跟踪、评分和抓拍。可筛选和抓拍最佳人脸图片存储及上报中心。抓拍图片数量、大小可设，支持上传全景照。（提供有资质第三方检测机构出具的检测报告证明，并加盖供应商公章）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 支持不少于1路报警输入，1路报警输出，1路音频输入，1路音频输出，1个DC12V电压输出接口。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 ≥IP67防护等级。</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BD2C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625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C57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用于天面层敏感区域</w:t>
            </w:r>
          </w:p>
        </w:tc>
      </w:tr>
      <w:tr w14:paraId="6EF09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D28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BCF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摄像机支架</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9CC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1212支架</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0063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756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9FFE">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2391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6032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AC7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摄像机立杆</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0C6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1.5米围墙立杆</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E36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条</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EF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28AB">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2B315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D9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449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周界防范大模型超脑</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11AC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具有不少于2个HDMI接口、2个VGA接口、2个RJ45 千兆网络接口；2个USB2.0接口、2个USB3.0接口、1个RS232接口、1个RS485接口（可接入RS485键盘）、1个eSata接口；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具有1路音频输入接口、2路音频输出接口、16路报警输入接口、4路报警输出接口，可内置9块SATA接口硬盘</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 ▲支持最大接入带宽 640Mbps，最大存储带宽 640Mbps，最大转发带宽 640Mbps（提供有资质第三方检测机构出具的检测报告证明，并加盖供应商公章）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 支持接入移动侦测的摄像机，移动侦测报警能够区分是人、车还是其它目标产生，可录像和记录报警信息</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 接入警戒摄像机，支持对 IPC 的声音和闪光参数进行配置， 支持通过移动侦测、区域入侵、越界侦测、进入区域和离开区域事件联动一个或多个 IPC 的声光报警，可以对声光联动一键撤防</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 ▲支持常规距离、中距离、远距离≥3种检测模式；根据不同的检测距离，在配置界面给出最小可检出人体目标尺寸，单个通道同时支持≥ 4 种周界报警模式，每种模式同时支持≥ 4 个警戒区域（提供有资质第三方检测机构出具的检测报告证明，并加盖供应商公章）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 ▲支持基础周界报警/大模型周界报警过滤功能，对IPC上报越界侦测报警和区域入侵报警进行去误报，在特定条件下，可去除由树叶、灯光、车辆、阴影以及小动物引起的误报。支持设置检测目标类型，包括人体、车辆（提供有资质第三方检测机构出具的检测报告证明，并加盖供应商公章）</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▲周界大模型支持视频分析、图片分析、图片二次分析过滤；支持手动选择开启周界大模型，启用后可将周界报警误报降低99%（提供有资质第三方检测机构出具的检测报告证明，并加盖供应商公章）</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440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98B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5E2D">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5919B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4C6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659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监控专用硬盘</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9D5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标称容量：6TB</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外形规格：3.5-inch</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 接口类型：SATA</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 刻录技术：CMR</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 转速：5400RPM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 缓存：256MB</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 最大读取速度：180MB/s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接口传输速率（最大值）：6.0Gb/s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 MTBF：1,000,000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DEF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E02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0FE8">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640E1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CFF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F5F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8口poe交换机</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E76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提供8个百兆PoE电口，1个百兆网络电口。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支持IEEE 802.3at/af。</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 支持IEEE 802.3、IEEE 802.3u、IEEE 802.3x。</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 支持最远250 m传输。</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 支持6 KV防浪涌（PoE口）</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96F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BD6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A400">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1F4A1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B36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979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24口poe交换机</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59B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 提供≥24个百兆PoE电口，≥1个千兆电口，≥1个千兆光电复用口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 交换容量：≥8.8 Gbps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 包转发率：≥6.547 Mpps</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 支持IEEE 802.3at/af</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 端口最大供电功率：≥30 W</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 整机最大供电功率：≥180 W</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 支持IEEE 802.3、IEEE 802.3u、IEEE 802.3x</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 支持6 KV防浪涌（PoE口）</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 工作温度：0 °C~45 °C</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7F7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C91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9BCD">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3223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C8A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B2C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超五类网线</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22E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UTP-CAT5e</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02F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米</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20C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2300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C7E5">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0915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039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w:t>
            </w:r>
          </w:p>
        </w:tc>
        <w:tc>
          <w:tcPr>
            <w:tcW w:w="1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536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PVC线管</w:t>
            </w:r>
          </w:p>
        </w:tc>
        <w:tc>
          <w:tcPr>
            <w:tcW w:w="4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277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PC-20/PC-25</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DCE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米</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B9F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1800</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CDA9">
            <w:pP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bl>
    <w:p w14:paraId="04A52097">
      <w:pPr>
        <w:numPr>
          <w:ilvl w:val="0"/>
          <w:numId w:val="0"/>
        </w:numPr>
        <w:tabs>
          <w:tab w:val="left" w:pos="6749"/>
        </w:tabs>
        <w:spacing w:line="360" w:lineRule="auto"/>
        <w:jc w:val="left"/>
        <w:rPr>
          <w:rFonts w:hint="eastAsia" w:ascii="宋体" w:hAnsi="宋体" w:eastAsia="宋体" w:cs="宋体"/>
          <w:b/>
          <w:bCs/>
          <w:color w:val="000000" w:themeColor="text1"/>
          <w:szCs w:val="22"/>
          <w:highlight w:val="none"/>
          <w:lang w:eastAsia="zh-CN"/>
          <w14:textFill>
            <w14:solidFill>
              <w14:schemeClr w14:val="tx1"/>
            </w14:solidFill>
          </w14:textFill>
        </w:rPr>
      </w:pPr>
    </w:p>
    <w:p w14:paraId="582E5225">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732B84E8">
      <w:pPr>
        <w:rPr>
          <w:rFonts w:ascii="宋体" w:hAnsi="宋体"/>
          <w:b/>
          <w:bCs/>
          <w:color w:val="000000" w:themeColor="text1"/>
          <w:kern w:val="44"/>
          <w:sz w:val="24"/>
          <w:highlight w:val="none"/>
          <w14:textFill>
            <w14:solidFill>
              <w14:schemeClr w14:val="tx1"/>
            </w14:solidFill>
          </w14:textFill>
        </w:rPr>
      </w:pPr>
    </w:p>
    <w:p w14:paraId="3DBA7C2B">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19" w:name="_Toc7841"/>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9"/>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20" w:name="_Toc456272919"/>
      <w:bookmarkStart w:id="121" w:name="_Toc456648358"/>
      <w:bookmarkStart w:id="122" w:name="_Toc4340"/>
      <w:bookmarkStart w:id="123" w:name="_Toc434832495"/>
      <w:r>
        <w:rPr>
          <w:rFonts w:hint="eastAsia" w:ascii="宋体" w:hAnsi="宋体"/>
          <w:color w:val="000000" w:themeColor="text1"/>
          <w:sz w:val="21"/>
          <w:szCs w:val="21"/>
          <w:highlight w:val="none"/>
          <w14:textFill>
            <w14:solidFill>
              <w14:schemeClr w14:val="tx1"/>
            </w14:solidFill>
          </w14:textFill>
        </w:rPr>
        <w:t>供应商须知前附表</w:t>
      </w:r>
      <w:bookmarkEnd w:id="120"/>
      <w:bookmarkEnd w:id="121"/>
      <w:bookmarkEnd w:id="122"/>
      <w:bookmarkEnd w:id="123"/>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24" w:name="_Hlt21938668"/>
      <w:bookmarkEnd w:id="124"/>
      <w:bookmarkStart w:id="125" w:name="_Hlt21938665"/>
      <w:bookmarkEnd w:id="125"/>
      <w:bookmarkStart w:id="126"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7" w:name="_Toc2019"/>
      <w:r>
        <w:rPr>
          <w:rFonts w:hint="eastAsia" w:hAnsi="宋体"/>
          <w:color w:val="000000" w:themeColor="text1"/>
          <w:highlight w:val="none"/>
          <w14:textFill>
            <w14:solidFill>
              <w14:schemeClr w14:val="tx1"/>
            </w14:solidFill>
          </w14:textFill>
        </w:rPr>
        <w:t>一、说  明</w:t>
      </w:r>
      <w:bookmarkEnd w:id="126"/>
      <w:bookmarkEnd w:id="127"/>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464632121"/>
      <w:bookmarkStart w:id="129" w:name="_Toc6801"/>
      <w:r>
        <w:rPr>
          <w:rFonts w:hint="eastAsia" w:hAnsi="宋体"/>
          <w:color w:val="000000" w:themeColor="text1"/>
          <w:highlight w:val="none"/>
          <w14:textFill>
            <w14:solidFill>
              <w14:schemeClr w14:val="tx1"/>
            </w14:solidFill>
          </w14:textFill>
        </w:rPr>
        <w:t>二、磋商文件</w:t>
      </w:r>
      <w:bookmarkEnd w:id="128"/>
      <w:bookmarkEnd w:id="129"/>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6275"/>
      <w:bookmarkStart w:id="131" w:name="_Toc464632122"/>
      <w:r>
        <w:rPr>
          <w:rFonts w:hint="eastAsia" w:hAnsi="宋体"/>
          <w:color w:val="000000" w:themeColor="text1"/>
          <w:highlight w:val="none"/>
          <w14:textFill>
            <w14:solidFill>
              <w14:schemeClr w14:val="tx1"/>
            </w14:solidFill>
          </w14:textFill>
        </w:rPr>
        <w:t>三、响应文件的编制</w:t>
      </w:r>
      <w:bookmarkEnd w:id="130"/>
      <w:bookmarkEnd w:id="131"/>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26476"/>
      <w:bookmarkStart w:id="133"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32"/>
      <w:bookmarkEnd w:id="133"/>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8293"/>
      <w:bookmarkStart w:id="135" w:name="_Toc464632124"/>
      <w:r>
        <w:rPr>
          <w:rFonts w:hint="eastAsia" w:hAnsi="宋体"/>
          <w:color w:val="000000" w:themeColor="text1"/>
          <w:highlight w:val="none"/>
          <w14:textFill>
            <w14:solidFill>
              <w14:schemeClr w14:val="tx1"/>
            </w14:solidFill>
          </w14:textFill>
        </w:rPr>
        <w:t>五、保证金</w:t>
      </w:r>
      <w:bookmarkEnd w:id="134"/>
      <w:bookmarkEnd w:id="135"/>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464632125"/>
      <w:bookmarkStart w:id="137" w:name="_Toc17554"/>
      <w:r>
        <w:rPr>
          <w:rFonts w:hint="eastAsia" w:hAnsi="宋体"/>
          <w:color w:val="000000" w:themeColor="text1"/>
          <w:highlight w:val="none"/>
          <w14:textFill>
            <w14:solidFill>
              <w14:schemeClr w14:val="tx1"/>
            </w14:solidFill>
          </w14:textFill>
        </w:rPr>
        <w:t>六、响应文件的份数、封装和递交</w:t>
      </w:r>
      <w:bookmarkEnd w:id="136"/>
      <w:bookmarkEnd w:id="137"/>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8" w:name="_Toc464632126"/>
      <w:bookmarkStart w:id="139" w:name="_Toc27184"/>
      <w:r>
        <w:rPr>
          <w:rFonts w:hint="eastAsia" w:hAnsi="宋体"/>
          <w:color w:val="000000" w:themeColor="text1"/>
          <w:highlight w:val="none"/>
          <w14:textFill>
            <w14:solidFill>
              <w14:schemeClr w14:val="tx1"/>
            </w14:solidFill>
          </w14:textFill>
        </w:rPr>
        <w:t>七、磋商的步骤</w:t>
      </w:r>
      <w:bookmarkEnd w:id="138"/>
      <w:bookmarkEnd w:id="139"/>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0" w:name="_Toc1177"/>
      <w:bookmarkStart w:id="141" w:name="_Toc464632127"/>
      <w:r>
        <w:rPr>
          <w:rFonts w:hint="eastAsia" w:hAnsi="宋体"/>
          <w:color w:val="000000" w:themeColor="text1"/>
          <w:highlight w:val="none"/>
          <w14:textFill>
            <w14:solidFill>
              <w14:schemeClr w14:val="tx1"/>
            </w14:solidFill>
          </w14:textFill>
        </w:rPr>
        <w:t>八、确定成交供应商办法</w:t>
      </w:r>
      <w:bookmarkEnd w:id="140"/>
      <w:bookmarkEnd w:id="141"/>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42" w:name="_Toc3719"/>
      <w:bookmarkStart w:id="143" w:name="_Toc464632128"/>
      <w:r>
        <w:rPr>
          <w:rFonts w:hint="eastAsia" w:ascii="宋体" w:hAnsi="宋体"/>
          <w:color w:val="000000" w:themeColor="text1"/>
          <w:szCs w:val="21"/>
          <w:highlight w:val="none"/>
          <w14:textFill>
            <w14:solidFill>
              <w14:schemeClr w14:val="tx1"/>
            </w14:solidFill>
          </w14:textFill>
        </w:rPr>
        <w:t>九、质疑</w:t>
      </w:r>
      <w:bookmarkEnd w:id="142"/>
      <w:bookmarkEnd w:id="143"/>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44" w:name="_Toc322033397"/>
      <w:bookmarkStart w:id="145" w:name="_Toc345675374"/>
      <w:bookmarkStart w:id="146" w:name="_Toc13422"/>
      <w:bookmarkStart w:id="147" w:name="_Toc464632129"/>
      <w:r>
        <w:rPr>
          <w:rFonts w:hint="eastAsia" w:ascii="宋体" w:hAnsi="宋体"/>
          <w:color w:val="000000" w:themeColor="text1"/>
          <w:szCs w:val="21"/>
          <w:highlight w:val="none"/>
          <w14:textFill>
            <w14:solidFill>
              <w14:schemeClr w14:val="tx1"/>
            </w14:solidFill>
          </w14:textFill>
        </w:rPr>
        <w:t>十、成交服务费</w:t>
      </w:r>
      <w:bookmarkEnd w:id="144"/>
      <w:bookmarkEnd w:id="145"/>
      <w:bookmarkEnd w:id="146"/>
      <w:bookmarkEnd w:id="147"/>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48" w:name="_Toc464632131"/>
      <w:bookmarkStart w:id="149" w:name="_Toc18963"/>
      <w:bookmarkStart w:id="150" w:name="_Toc536594109"/>
      <w:r>
        <w:rPr>
          <w:rFonts w:hint="eastAsia" w:ascii="宋体" w:hAnsi="宋体"/>
          <w:color w:val="000000" w:themeColor="text1"/>
          <w:szCs w:val="21"/>
          <w:highlight w:val="none"/>
          <w14:textFill>
            <w14:solidFill>
              <w14:schemeClr w14:val="tx1"/>
            </w14:solidFill>
          </w14:textFill>
        </w:rPr>
        <w:t>十一、合同的订立和履行</w:t>
      </w:r>
      <w:bookmarkEnd w:id="148"/>
      <w:bookmarkEnd w:id="149"/>
    </w:p>
    <w:bookmarkEnd w:id="150"/>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51" w:name="_Toc15302"/>
      <w:bookmarkStart w:id="152" w:name="_Toc464632132"/>
      <w:bookmarkStart w:id="153" w:name="_Toc345675376"/>
      <w:bookmarkStart w:id="154" w:name="_Toc322033399"/>
      <w:r>
        <w:rPr>
          <w:rFonts w:hint="eastAsia" w:ascii="宋体" w:hAnsi="宋体"/>
          <w:color w:val="000000" w:themeColor="text1"/>
          <w:szCs w:val="21"/>
          <w:highlight w:val="none"/>
          <w14:textFill>
            <w14:solidFill>
              <w14:schemeClr w14:val="tx1"/>
            </w14:solidFill>
          </w14:textFill>
        </w:rPr>
        <w:t>十二、适用法律</w:t>
      </w:r>
      <w:bookmarkEnd w:id="151"/>
      <w:bookmarkEnd w:id="152"/>
      <w:bookmarkEnd w:id="153"/>
      <w:bookmarkEnd w:id="154"/>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5" w:name="_Toc13497"/>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5"/>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30分</w:t>
            </w:r>
          </w:p>
        </w:tc>
      </w:tr>
    </w:tbl>
    <w:p w14:paraId="43969E23">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p w14:paraId="01CF2061">
      <w:pPr>
        <w:rPr>
          <w:color w:val="000000" w:themeColor="text1"/>
          <w:highlight w:val="none"/>
          <w14:textFill>
            <w14:solidFill>
              <w14:schemeClr w14:val="tx1"/>
            </w14:solidFill>
          </w14:textFill>
        </w:rPr>
      </w:pPr>
    </w:p>
    <w:tbl>
      <w:tblPr>
        <w:tblStyle w:val="52"/>
        <w:tblW w:w="9564" w:type="dxa"/>
        <w:jc w:val="center"/>
        <w:shd w:val="clear" w:color="auto" w:fill="FFFFFF"/>
        <w:tblLayout w:type="fixed"/>
        <w:tblCellMar>
          <w:top w:w="0" w:type="dxa"/>
          <w:left w:w="0" w:type="dxa"/>
          <w:bottom w:w="0" w:type="dxa"/>
          <w:right w:w="0" w:type="dxa"/>
        </w:tblCellMar>
      </w:tblPr>
      <w:tblGrid>
        <w:gridCol w:w="664"/>
        <w:gridCol w:w="1535"/>
        <w:gridCol w:w="1032"/>
        <w:gridCol w:w="6333"/>
      </w:tblGrid>
      <w:tr w14:paraId="129CAB25">
        <w:tblPrEx>
          <w:shd w:val="clear" w:color="auto" w:fill="FFFFFF"/>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E2B1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4326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89042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DDF8F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1311883F">
        <w:tblPrEx>
          <w:shd w:val="clear" w:color="auto" w:fill="FFFFFF"/>
          <w:tblCellMar>
            <w:top w:w="0" w:type="dxa"/>
            <w:left w:w="0" w:type="dxa"/>
            <w:bottom w:w="0" w:type="dxa"/>
            <w:right w:w="0" w:type="dxa"/>
          </w:tblCellMar>
        </w:tblPrEx>
        <w:trPr>
          <w:cantSplit/>
          <w:trHeight w:val="1648"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35A0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98D5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设备的质量及技术性能</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DFED3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33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607F4F1">
            <w:pPr>
              <w:spacing w:line="3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根据各</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提交的投标文件对应招标文件的技术要求等响应情况进行评审，完全满足或优于招标文件要求的得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33</w:t>
            </w:r>
            <w:r>
              <w:rPr>
                <w:rFonts w:hint="eastAsia" w:ascii="宋体" w:hAnsi="宋体" w:eastAsia="宋体" w:cs="宋体"/>
                <w:color w:val="000000" w:themeColor="text1"/>
                <w:sz w:val="21"/>
                <w:szCs w:val="21"/>
                <w:highlight w:val="none"/>
                <w14:textFill>
                  <w14:solidFill>
                    <w14:schemeClr w14:val="tx1"/>
                  </w14:solidFill>
                </w14:textFill>
              </w:rPr>
              <w:t>分。</w:t>
            </w:r>
          </w:p>
          <w:p w14:paraId="1D19E778">
            <w:pPr>
              <w:spacing w:line="320" w:lineRule="exac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本项目技术要求中带“▲”的为重要技术参数</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共22项，满分33分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，未响应或不满足的每一项扣</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67CC6342">
            <w:pPr>
              <w:spacing w:line="3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注：如技术要求中有明确了提供的证明资料，则以技术要求中要求的为准，如技术要求中无明确要求证明材料的，按《技术和服务要求响应表》响应情况为准，不提供不得分。</w:t>
            </w:r>
          </w:p>
        </w:tc>
      </w:tr>
      <w:tr w14:paraId="39E7B40A">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0706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DA543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项目实施方案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C02B9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9E8F9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根据</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所提供的项目实施方案进行综合评审： </w:t>
            </w:r>
          </w:p>
          <w:p w14:paraId="15ADC0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1.对应提供的项目实施方案详细清晰，全面具体，可行性高的，优于或满足采购需求，得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274EDC1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2.对应提供的项目实施方案基本清晰具体，有一定可行性的，基本满足采购需求，得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72D5166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3.对应提供的项目实施方案</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b w:val="0"/>
                <w:bCs w:val="0"/>
                <w:color w:val="000000" w:themeColor="text1"/>
                <w:sz w:val="21"/>
                <w:szCs w:val="21"/>
                <w:highlight w:val="none"/>
                <w14:textFill>
                  <w14:solidFill>
                    <w14:schemeClr w14:val="tx1"/>
                  </w14:solidFill>
                </w14:textFill>
              </w:rPr>
              <w:t>清晰，不够全面，有一定可行性</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但不足</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b w:val="0"/>
                <w:bCs w:val="0"/>
                <w:color w:val="000000" w:themeColor="text1"/>
                <w:sz w:val="21"/>
                <w:szCs w:val="21"/>
                <w:highlight w:val="none"/>
                <w14:textFill>
                  <w14:solidFill>
                    <w14:schemeClr w14:val="tx1"/>
                  </w14:solidFill>
                </w14:textFill>
              </w:rPr>
              <w:t>满足采购需求，得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11C2D19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14:textFill>
                  <w14:solidFill>
                    <w14:schemeClr w14:val="tx1"/>
                  </w14:solidFill>
                </w14:textFill>
              </w:rPr>
              <w:t>.对应提供的项目实施方案模糊，不全面，可行性不高的，未能满足采购需求，得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14:textFill>
                  <w14:solidFill>
                    <w14:schemeClr w14:val="tx1"/>
                  </w14:solidFill>
                </w14:textFill>
              </w:rPr>
              <w:t>分；</w:t>
            </w:r>
          </w:p>
          <w:p w14:paraId="62AA1F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14:textFill>
                  <w14:solidFill>
                    <w14:schemeClr w14:val="tx1"/>
                  </w14:solidFill>
                </w14:textFill>
              </w:rPr>
              <w:t>.不提供不得分。</w:t>
            </w:r>
          </w:p>
        </w:tc>
      </w:tr>
      <w:tr w14:paraId="38B88E51">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22A5A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0368E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质量保证措施</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C8A5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7分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54FA3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根据供应商对项目提供的服务质量保证措施进行综合评审： </w:t>
            </w:r>
          </w:p>
          <w:p w14:paraId="1EE4C22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1.质量保证措施合理全面、详细、可行性强，优于或满足采购需求，得7分； </w:t>
            </w:r>
          </w:p>
          <w:p w14:paraId="094EAD1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2.质量保证措施较合理、较详细、可行性较强，基本满足采购需求，得5分； </w:t>
            </w:r>
          </w:p>
          <w:p w14:paraId="386218D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3.质量保证措施不够合理，有一定的可行性但不足，部分满足采购需求，得3分；</w:t>
            </w:r>
          </w:p>
          <w:p w14:paraId="187A077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4.质量保证措施欠缺，欠缺可行性，未能满足采购需求，得1分； </w:t>
            </w:r>
          </w:p>
          <w:p w14:paraId="3D0FA52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5.不提供不得分。</w:t>
            </w:r>
          </w:p>
        </w:tc>
      </w:tr>
      <w:tr w14:paraId="01556F3D">
        <w:tblPrEx>
          <w:shd w:val="clear" w:color="auto" w:fill="FFFFFF"/>
          <w:tblCellMar>
            <w:top w:w="0" w:type="dxa"/>
            <w:left w:w="0" w:type="dxa"/>
            <w:bottom w:w="0" w:type="dxa"/>
            <w:right w:w="0" w:type="dxa"/>
          </w:tblCellMar>
        </w:tblPrEx>
        <w:trPr>
          <w:cantSplit/>
          <w:trHeight w:val="488" w:hRule="atLeast"/>
          <w:jc w:val="center"/>
        </w:trPr>
        <w:tc>
          <w:tcPr>
            <w:tcW w:w="2199"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73B77E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AD51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3ECE3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0C1811A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1609"/>
        <w:gridCol w:w="975"/>
        <w:gridCol w:w="6306"/>
      </w:tblGrid>
      <w:tr w14:paraId="526B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2" w:type="dxa"/>
            <w:noWrap w:val="0"/>
            <w:tcMar>
              <w:top w:w="0" w:type="dxa"/>
              <w:left w:w="108" w:type="dxa"/>
              <w:bottom w:w="0" w:type="dxa"/>
              <w:right w:w="108" w:type="dxa"/>
            </w:tcMar>
            <w:vAlign w:val="center"/>
          </w:tcPr>
          <w:p w14:paraId="773DCFCF">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1609" w:type="dxa"/>
            <w:noWrap w:val="0"/>
            <w:tcMar>
              <w:top w:w="0" w:type="dxa"/>
              <w:left w:w="108" w:type="dxa"/>
              <w:bottom w:w="0" w:type="dxa"/>
              <w:right w:w="108" w:type="dxa"/>
            </w:tcMar>
            <w:vAlign w:val="center"/>
          </w:tcPr>
          <w:p w14:paraId="1133421D">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评审内容</w:t>
            </w:r>
          </w:p>
        </w:tc>
        <w:tc>
          <w:tcPr>
            <w:tcW w:w="975" w:type="dxa"/>
            <w:noWrap w:val="0"/>
            <w:tcMar>
              <w:top w:w="0" w:type="dxa"/>
              <w:left w:w="108" w:type="dxa"/>
              <w:bottom w:w="0" w:type="dxa"/>
              <w:right w:w="108" w:type="dxa"/>
            </w:tcMar>
            <w:vAlign w:val="center"/>
          </w:tcPr>
          <w:p w14:paraId="0CA26021">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分值</w:t>
            </w:r>
          </w:p>
        </w:tc>
        <w:tc>
          <w:tcPr>
            <w:tcW w:w="6306" w:type="dxa"/>
            <w:noWrap w:val="0"/>
            <w:tcMar>
              <w:top w:w="0" w:type="dxa"/>
              <w:left w:w="108" w:type="dxa"/>
              <w:bottom w:w="0" w:type="dxa"/>
              <w:right w:w="108" w:type="dxa"/>
            </w:tcMar>
            <w:vAlign w:val="center"/>
          </w:tcPr>
          <w:p w14:paraId="4F1FBC47">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r>
      <w:tr w14:paraId="6F54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00" w:hRule="atLeast"/>
          <w:jc w:val="center"/>
        </w:trPr>
        <w:tc>
          <w:tcPr>
            <w:tcW w:w="772" w:type="dxa"/>
            <w:noWrap w:val="0"/>
            <w:tcMar>
              <w:top w:w="0" w:type="dxa"/>
              <w:left w:w="108" w:type="dxa"/>
              <w:bottom w:w="0" w:type="dxa"/>
              <w:right w:w="108" w:type="dxa"/>
            </w:tcMar>
            <w:vAlign w:val="center"/>
          </w:tcPr>
          <w:p w14:paraId="79E30E44">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1609" w:type="dxa"/>
            <w:noWrap w:val="0"/>
            <w:tcMar>
              <w:top w:w="0" w:type="dxa"/>
              <w:left w:w="108" w:type="dxa"/>
              <w:bottom w:w="0" w:type="dxa"/>
              <w:right w:w="108" w:type="dxa"/>
            </w:tcMar>
            <w:vAlign w:val="center"/>
          </w:tcPr>
          <w:p w14:paraId="576BE111">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b w:val="0"/>
                <w:bCs w:val="0"/>
                <w:color w:val="000000" w:themeColor="text1"/>
                <w:sz w:val="21"/>
                <w:szCs w:val="21"/>
                <w:highlight w:val="none"/>
                <w14:textFill>
                  <w14:solidFill>
                    <w14:schemeClr w14:val="tx1"/>
                  </w14:solidFill>
                </w14:textFill>
              </w:rPr>
              <w:t>业绩</w:t>
            </w:r>
          </w:p>
        </w:tc>
        <w:tc>
          <w:tcPr>
            <w:tcW w:w="975" w:type="dxa"/>
            <w:noWrap w:val="0"/>
            <w:tcMar>
              <w:top w:w="0" w:type="dxa"/>
              <w:left w:w="108" w:type="dxa"/>
              <w:bottom w:w="0" w:type="dxa"/>
              <w:right w:w="108" w:type="dxa"/>
            </w:tcMar>
            <w:vAlign w:val="center"/>
          </w:tcPr>
          <w:p w14:paraId="1F5791AA">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06" w:type="dxa"/>
            <w:noWrap w:val="0"/>
            <w:tcMar>
              <w:top w:w="0" w:type="dxa"/>
              <w:left w:w="108" w:type="dxa"/>
              <w:bottom w:w="0" w:type="dxa"/>
              <w:right w:w="108" w:type="dxa"/>
            </w:tcMar>
            <w:vAlign w:val="center"/>
          </w:tcPr>
          <w:p w14:paraId="7894B490">
            <w:pPr>
              <w:spacing w:line="360" w:lineRule="exact"/>
              <w:jc w:val="left"/>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根据供应商提供的2022年1月1日至今（以签订合同时间为准）完成的同类业绩，每提供一份得5分，最高得10分。</w:t>
            </w:r>
          </w:p>
          <w:p w14:paraId="6517476C">
            <w:pPr>
              <w:spacing w:line="360" w:lineRule="exact"/>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注：提供合同关键页复印件并加盖供应商公章，不提供不得分。</w:t>
            </w:r>
          </w:p>
        </w:tc>
      </w:tr>
      <w:tr w14:paraId="1F01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5BEB939E">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w:t>
            </w:r>
          </w:p>
        </w:tc>
        <w:tc>
          <w:tcPr>
            <w:tcW w:w="1609" w:type="dxa"/>
            <w:noWrap w:val="0"/>
            <w:tcMar>
              <w:top w:w="0" w:type="dxa"/>
              <w:left w:w="108" w:type="dxa"/>
              <w:bottom w:w="0" w:type="dxa"/>
              <w:right w:w="108" w:type="dxa"/>
            </w:tcMar>
            <w:vAlign w:val="center"/>
          </w:tcPr>
          <w:p w14:paraId="1460EE4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售后服务方案</w:t>
            </w:r>
          </w:p>
        </w:tc>
        <w:tc>
          <w:tcPr>
            <w:tcW w:w="975" w:type="dxa"/>
            <w:noWrap w:val="0"/>
            <w:tcMar>
              <w:top w:w="0" w:type="dxa"/>
              <w:left w:w="108" w:type="dxa"/>
              <w:bottom w:w="0" w:type="dxa"/>
              <w:right w:w="108" w:type="dxa"/>
            </w:tcMar>
            <w:vAlign w:val="center"/>
          </w:tcPr>
          <w:p w14:paraId="43EFC149">
            <w:pPr>
              <w:spacing w:line="40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10分</w:t>
            </w:r>
          </w:p>
        </w:tc>
        <w:tc>
          <w:tcPr>
            <w:tcW w:w="6306" w:type="dxa"/>
            <w:noWrap w:val="0"/>
            <w:tcMar>
              <w:top w:w="0" w:type="dxa"/>
              <w:left w:w="108" w:type="dxa"/>
              <w:bottom w:w="0" w:type="dxa"/>
              <w:right w:w="108" w:type="dxa"/>
            </w:tcMar>
            <w:vAlign w:val="center"/>
          </w:tcPr>
          <w:p w14:paraId="6B01077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根据供应商提供的售后服务方案（质保期、故障响应时间、售后服务技术支持等）进行综合评审：  </w:t>
            </w:r>
          </w:p>
          <w:p w14:paraId="24BF451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1.售后服务方案内容完整详细，维修响应时间及时，优于或满足采购需求，得10分； </w:t>
            </w:r>
          </w:p>
          <w:p w14:paraId="6D4572D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2.售后服务方案内容较完整详细，维修响应速度较快，基本满足采购需求，得7分； </w:t>
            </w:r>
          </w:p>
          <w:p w14:paraId="085E5AD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3.售后服务方案内容不够完整详细，维修响应速度不够快，部分满足采购需求，得4分； </w:t>
            </w:r>
          </w:p>
          <w:p w14:paraId="4C2653F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4.售后服务方案内容简单，响应速度不及时，未能满足采购需求，得1分； </w:t>
            </w:r>
          </w:p>
          <w:p w14:paraId="3673BD6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5.不提供不得分。</w:t>
            </w:r>
          </w:p>
        </w:tc>
      </w:tr>
      <w:tr w14:paraId="19FD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2381" w:type="dxa"/>
            <w:gridSpan w:val="2"/>
            <w:noWrap w:val="0"/>
            <w:vAlign w:val="center"/>
          </w:tcPr>
          <w:p w14:paraId="1D94BB11">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合计</w:t>
            </w:r>
          </w:p>
        </w:tc>
        <w:tc>
          <w:tcPr>
            <w:tcW w:w="975" w:type="dxa"/>
            <w:noWrap w:val="0"/>
            <w:tcMar>
              <w:top w:w="0" w:type="dxa"/>
              <w:left w:w="108" w:type="dxa"/>
              <w:bottom w:w="0" w:type="dxa"/>
              <w:right w:w="108" w:type="dxa"/>
            </w:tcMar>
            <w:vAlign w:val="center"/>
          </w:tcPr>
          <w:p w14:paraId="53691B66">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分</w:t>
            </w:r>
          </w:p>
        </w:tc>
        <w:tc>
          <w:tcPr>
            <w:tcW w:w="6306" w:type="dxa"/>
            <w:noWrap w:val="0"/>
            <w:tcMar>
              <w:top w:w="0" w:type="dxa"/>
              <w:left w:w="108" w:type="dxa"/>
              <w:bottom w:w="0" w:type="dxa"/>
              <w:right w:w="108" w:type="dxa"/>
            </w:tcMar>
            <w:vAlign w:val="center"/>
          </w:tcPr>
          <w:p w14:paraId="339F8233">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r>
    </w:tbl>
    <w:p w14:paraId="36EF17D0">
      <w:pPr>
        <w:spacing w:line="360" w:lineRule="auto"/>
        <w:rPr>
          <w:rFonts w:ascii="宋体" w:hAnsi="宋体"/>
          <w:b/>
          <w:color w:val="000000" w:themeColor="text1"/>
          <w:highlight w:val="none"/>
          <w14:textFill>
            <w14:solidFill>
              <w14:schemeClr w14:val="tx1"/>
            </w14:solidFill>
          </w14:textFill>
        </w:rPr>
      </w:pPr>
    </w:p>
    <w:p w14:paraId="1E1F18C4">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56" w:name="_Toc430771059"/>
      <w:bookmarkStart w:id="157" w:name="_Toc432682726"/>
      <w:bookmarkStart w:id="158" w:name="_Toc480010734"/>
      <w:bookmarkStart w:id="159" w:name="_Toc480020283"/>
      <w:bookmarkStart w:id="160" w:name="_Toc479991608"/>
      <w:bookmarkStart w:id="161" w:name="_Toc491658677"/>
      <w:bookmarkStart w:id="162" w:name="_Toc467236766"/>
      <w:bookmarkStart w:id="163" w:name="_Toc500861024"/>
      <w:bookmarkStart w:id="164" w:name="_Toc468606055"/>
      <w:bookmarkStart w:id="165" w:name="_Toc468157562"/>
      <w:bookmarkStart w:id="166" w:name="_Toc480021079"/>
      <w:bookmarkStart w:id="167" w:name="_Toc467987849"/>
      <w:bookmarkStart w:id="168" w:name="_Toc500861027"/>
      <w:bookmarkStart w:id="169" w:name="_Toc26066260"/>
      <w:bookmarkStart w:id="170" w:name="_Toc491658680"/>
      <w:bookmarkStart w:id="171" w:name="_Toc6727972"/>
      <w:bookmarkStart w:id="172" w:name="_Toc6397151"/>
    </w:p>
    <w:p w14:paraId="4A99D41A">
      <w:pPr>
        <w:spacing w:line="360" w:lineRule="auto"/>
        <w:jc w:val="center"/>
        <w:rPr>
          <w:rFonts w:ascii="宋体" w:hAnsi="宋体"/>
          <w:b/>
          <w:color w:val="000000" w:themeColor="text1"/>
          <w:highlight w:val="none"/>
          <w14:textFill>
            <w14:solidFill>
              <w14:schemeClr w14:val="tx1"/>
            </w14:solidFill>
          </w14:textFill>
        </w:rPr>
      </w:pPr>
    </w:p>
    <w:bookmarkEnd w:id="156"/>
    <w:bookmarkEnd w:id="157"/>
    <w:p w14:paraId="0F4C88D9">
      <w:pPr>
        <w:pStyle w:val="3"/>
        <w:numPr>
          <w:ilvl w:val="0"/>
          <w:numId w:val="0"/>
        </w:numPr>
        <w:rPr>
          <w:color w:val="000000" w:themeColor="text1"/>
          <w:sz w:val="24"/>
          <w:highlight w:val="none"/>
          <w14:textFill>
            <w14:solidFill>
              <w14:schemeClr w14:val="tx1"/>
            </w14:solidFill>
          </w14:textFill>
        </w:rPr>
      </w:pPr>
      <w:bookmarkStart w:id="173" w:name="_Toc500843104"/>
      <w:bookmarkStart w:id="174" w:name="_Toc28136"/>
      <w:bookmarkStart w:id="175" w:name="_Toc430771060"/>
      <w:bookmarkStart w:id="176" w:name="_Toc430185803"/>
      <w:r>
        <w:rPr>
          <w:rFonts w:hint="eastAsia"/>
          <w:color w:val="000000" w:themeColor="text1"/>
          <w:sz w:val="24"/>
          <w:highlight w:val="none"/>
          <w14:textFill>
            <w14:solidFill>
              <w14:schemeClr w14:val="tx1"/>
            </w14:solidFill>
          </w14:textFill>
        </w:rPr>
        <w:t>政府采购政策</w:t>
      </w:r>
      <w:bookmarkEnd w:id="173"/>
      <w:bookmarkEnd w:id="174"/>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5"/>
      <w:bookmarkEnd w:id="176"/>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77" w:name="_Toc430771061"/>
      <w:bookmarkStart w:id="178" w:name="_Toc430185804"/>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7"/>
      <w:bookmarkEnd w:id="178"/>
    </w:p>
    <w:p w14:paraId="26F0F14E">
      <w:pPr>
        <w:spacing w:line="360" w:lineRule="auto"/>
        <w:rPr>
          <w:rFonts w:ascii="宋体" w:hAnsi="宋体"/>
          <w:color w:val="000000" w:themeColor="text1"/>
          <w:highlight w:val="none"/>
          <w14:textFill>
            <w14:solidFill>
              <w14:schemeClr w14:val="tx1"/>
            </w14:solidFill>
          </w14:textFill>
        </w:rPr>
      </w:pPr>
      <w:bookmarkStart w:id="179" w:name="_Toc430185805"/>
      <w:bookmarkStart w:id="180"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9"/>
      <w:bookmarkEnd w:id="180"/>
    </w:p>
    <w:p w14:paraId="12FE0F0E">
      <w:pPr>
        <w:spacing w:line="360" w:lineRule="auto"/>
        <w:rPr>
          <w:rFonts w:ascii="宋体" w:hAnsi="宋体"/>
          <w:color w:val="000000" w:themeColor="text1"/>
          <w:highlight w:val="none"/>
          <w14:textFill>
            <w14:solidFill>
              <w14:schemeClr w14:val="tx1"/>
            </w14:solidFill>
          </w14:textFill>
        </w:rPr>
      </w:pPr>
      <w:bookmarkStart w:id="181" w:name="_Toc430771063"/>
      <w:bookmarkStart w:id="182" w:name="_Toc430185806"/>
      <w:r>
        <w:rPr>
          <w:rFonts w:hint="eastAsia" w:ascii="宋体" w:hAnsi="宋体"/>
          <w:color w:val="000000" w:themeColor="text1"/>
          <w:highlight w:val="none"/>
          <w14:textFill>
            <w14:solidFill>
              <w14:schemeClr w14:val="tx1"/>
            </w14:solidFill>
          </w14:textFill>
        </w:rPr>
        <w:t>4．</w:t>
      </w:r>
      <w:bookmarkEnd w:id="181"/>
      <w:bookmarkEnd w:id="182"/>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8"/>
    <w:bookmarkEnd w:id="159"/>
    <w:bookmarkEnd w:id="160"/>
    <w:bookmarkEnd w:id="161"/>
    <w:bookmarkEnd w:id="162"/>
    <w:bookmarkEnd w:id="163"/>
    <w:bookmarkEnd w:id="164"/>
    <w:bookmarkEnd w:id="165"/>
    <w:bookmarkEnd w:id="166"/>
    <w:bookmarkEnd w:id="167"/>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83" w:name="_Hlt21939000"/>
      <w:bookmarkEnd w:id="183"/>
      <w:bookmarkStart w:id="184" w:name="_Toc365985187"/>
      <w:bookmarkStart w:id="185" w:name="_Toc345513910"/>
      <w:bookmarkStart w:id="186" w:name="_Toc332270355"/>
      <w:bookmarkStart w:id="187" w:name="_Toc366072538"/>
      <w:bookmarkStart w:id="188" w:name="_Toc340672878"/>
      <w:bookmarkStart w:id="189" w:name="_Toc333237797"/>
      <w:bookmarkStart w:id="190" w:name="_Toc342060383"/>
      <w:bookmarkStart w:id="191" w:name="_Toc337632367"/>
      <w:bookmarkStart w:id="192" w:name="_Toc350756459"/>
      <w:bookmarkStart w:id="193" w:name="_Toc339020104"/>
      <w:bookmarkStart w:id="194" w:name="_Toc340507451"/>
      <w:bookmarkStart w:id="195" w:name="_Toc331684047"/>
      <w:bookmarkStart w:id="196" w:name="_Toc333935696"/>
      <w:bookmarkStart w:id="197" w:name="_Toc332206717"/>
      <w:bookmarkStart w:id="198" w:name="_Toc340677079"/>
      <w:bookmarkStart w:id="199" w:name="_Toc365967081"/>
      <w:bookmarkStart w:id="200" w:name="_Toc341348347"/>
      <w:bookmarkStart w:id="201" w:name="_Toc333238642"/>
      <w:bookmarkStart w:id="202" w:name="_Toc336681944"/>
      <w:bookmarkStart w:id="203" w:name="_Toc339020242"/>
      <w:bookmarkStart w:id="204" w:name="_Toc374454610"/>
      <w:bookmarkStart w:id="205" w:name="_Toc339019898"/>
      <w:bookmarkStart w:id="206" w:name="_Toc333237686"/>
      <w:bookmarkStart w:id="207" w:name="_Toc349143598"/>
      <w:bookmarkStart w:id="208" w:name="_Toc342296769"/>
      <w:bookmarkStart w:id="209" w:name="_Toc330459994"/>
      <w:bookmarkStart w:id="210" w:name="_Toc333935355"/>
      <w:bookmarkStart w:id="211" w:name="_Toc331512907"/>
      <w:bookmarkStart w:id="212" w:name="_Toc339362309"/>
      <w:bookmarkStart w:id="213" w:name="_Toc339441096"/>
      <w:bookmarkStart w:id="214" w:name="_Toc336681589"/>
      <w:bookmarkStart w:id="215" w:name="_Toc349127635"/>
      <w:bookmarkStart w:id="216" w:name="_Toc350438758"/>
      <w:bookmarkStart w:id="217" w:name="_Toc339020024"/>
      <w:bookmarkStart w:id="218" w:name="_Toc27576"/>
      <w:r>
        <w:rPr>
          <w:rFonts w:hint="eastAsia" w:ascii="宋体" w:hAnsi="宋体" w:eastAsia="宋体"/>
          <w:b/>
          <w:color w:val="000000" w:themeColor="text1"/>
          <w:highlight w:val="none"/>
          <w14:textFill>
            <w14:solidFill>
              <w14:schemeClr w14:val="tx1"/>
            </w14:solidFill>
          </w14:textFill>
        </w:rPr>
        <w:t xml:space="preserve">第五部分  </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Start w:id="219" w:name="_Hlt97188170"/>
      <w:bookmarkEnd w:id="219"/>
      <w:r>
        <w:rPr>
          <w:rFonts w:hint="eastAsia" w:ascii="宋体" w:hAnsi="宋体"/>
          <w:b/>
          <w:color w:val="000000" w:themeColor="text1"/>
          <w:sz w:val="21"/>
          <w:szCs w:val="21"/>
          <w:highlight w:val="none"/>
          <w14:textFill>
            <w14:solidFill>
              <w14:schemeClr w14:val="tx1"/>
            </w14:solidFill>
          </w14:textFill>
        </w:rPr>
        <w:t>合同书格式（参考范本）</w:t>
      </w:r>
      <w:bookmarkEnd w:id="218"/>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20" w:name="_Toc333237798"/>
      <w:bookmarkStart w:id="221" w:name="_Toc339020243"/>
      <w:bookmarkStart w:id="222" w:name="_Toc349127636"/>
      <w:bookmarkStart w:id="223" w:name="_Toc336681590"/>
      <w:bookmarkStart w:id="224" w:name="_Toc350438759"/>
      <w:bookmarkStart w:id="225" w:name="_Toc365967082"/>
      <w:bookmarkStart w:id="226" w:name="_Toc350756460"/>
      <w:bookmarkStart w:id="227" w:name="_Toc330459995"/>
      <w:bookmarkStart w:id="228" w:name="_Toc342060384"/>
      <w:bookmarkStart w:id="229" w:name="_Toc331684048"/>
      <w:bookmarkStart w:id="230" w:name="_Toc340677080"/>
      <w:bookmarkStart w:id="231" w:name="_Toc332270356"/>
      <w:bookmarkStart w:id="232" w:name="_Toc339441097"/>
      <w:bookmarkStart w:id="233" w:name="_Toc336681945"/>
      <w:bookmarkStart w:id="234" w:name="_Toc340507452"/>
      <w:bookmarkStart w:id="235" w:name="_Toc333935697"/>
      <w:bookmarkStart w:id="236" w:name="_Toc333237687"/>
      <w:bookmarkStart w:id="237" w:name="_Toc366072539"/>
      <w:bookmarkStart w:id="238" w:name="_Toc333238643"/>
      <w:bookmarkStart w:id="239" w:name="_Toc337632368"/>
      <w:bookmarkStart w:id="240" w:name="_Toc345513911"/>
      <w:bookmarkStart w:id="241" w:name="_Toc333935356"/>
      <w:bookmarkStart w:id="242" w:name="_Toc491658678"/>
      <w:bookmarkStart w:id="243" w:name="_Toc339362310"/>
      <w:bookmarkStart w:id="244" w:name="_Toc365985188"/>
      <w:bookmarkStart w:id="245" w:name="_Toc342296770"/>
      <w:bookmarkStart w:id="246" w:name="_Toc349143599"/>
      <w:bookmarkStart w:id="247" w:name="_Toc331512908"/>
      <w:bookmarkStart w:id="248" w:name="_Toc500861025"/>
      <w:bookmarkStart w:id="249" w:name="_Toc341348348"/>
      <w:bookmarkStart w:id="250" w:name="_Toc339020025"/>
      <w:bookmarkStart w:id="251" w:name="_Toc339019899"/>
      <w:bookmarkStart w:id="252" w:name="_Toc332206718"/>
      <w:bookmarkStart w:id="253" w:name="_Toc339020105"/>
      <w:bookmarkStart w:id="254" w:name="_Toc340672879"/>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55" w:name="_Toc30177"/>
      <w:r>
        <w:rPr>
          <w:rFonts w:hint="eastAsia" w:ascii="宋体" w:hAnsi="宋体" w:eastAsia="宋体"/>
          <w:b/>
          <w:color w:val="000000" w:themeColor="text1"/>
          <w:highlight w:val="none"/>
          <w14:textFill>
            <w14:solidFill>
              <w14:schemeClr w14:val="tx1"/>
            </w14:solidFill>
          </w14:textFill>
        </w:rPr>
        <w:t>第六部分</w:t>
      </w:r>
      <w:bookmarkStart w:id="256" w:name="_Hlt97188172"/>
      <w:bookmarkEnd w:id="256"/>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Start w:id="257" w:name="_Hlt21938933"/>
      <w:bookmarkEnd w:id="257"/>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58" w:name="_Toc333237799"/>
      <w:bookmarkStart w:id="259" w:name="_Toc365967083"/>
      <w:bookmarkStart w:id="260" w:name="_Toc333935357"/>
      <w:bookmarkStart w:id="261" w:name="_Toc331684049"/>
      <w:bookmarkStart w:id="262" w:name="_Toc342296771"/>
      <w:bookmarkStart w:id="263" w:name="_Toc333238644"/>
      <w:bookmarkStart w:id="264" w:name="_Toc332206719"/>
      <w:bookmarkStart w:id="265" w:name="_Toc342060385"/>
      <w:bookmarkStart w:id="266" w:name="_Toc331512909"/>
      <w:bookmarkStart w:id="267" w:name="_Toc336681946"/>
      <w:bookmarkStart w:id="268" w:name="_Toc339019900"/>
      <w:bookmarkStart w:id="269" w:name="_Toc366072540"/>
      <w:bookmarkStart w:id="270" w:name="_Toc336681591"/>
      <w:bookmarkStart w:id="271" w:name="_Toc340507453"/>
      <w:bookmarkStart w:id="272" w:name="_Toc349143600"/>
      <w:bookmarkStart w:id="273" w:name="_Toc339020106"/>
      <w:bookmarkStart w:id="274" w:name="_Toc337632369"/>
      <w:bookmarkStart w:id="275" w:name="_Toc350756461"/>
      <w:bookmarkStart w:id="276" w:name="_Toc340672880"/>
      <w:bookmarkStart w:id="277" w:name="_Toc339020244"/>
      <w:bookmarkStart w:id="278" w:name="_Toc340677081"/>
      <w:bookmarkStart w:id="279" w:name="_Toc339020026"/>
      <w:bookmarkStart w:id="280" w:name="_Toc332270357"/>
      <w:bookmarkStart w:id="281" w:name="_Toc345513912"/>
      <w:bookmarkStart w:id="282" w:name="_Toc3460"/>
      <w:bookmarkStart w:id="283" w:name="_Toc333237688"/>
      <w:bookmarkStart w:id="284" w:name="_Toc349127637"/>
      <w:bookmarkStart w:id="285" w:name="_Toc350438760"/>
      <w:bookmarkStart w:id="286" w:name="_Toc341348349"/>
      <w:bookmarkStart w:id="287" w:name="_Toc339362311"/>
      <w:bookmarkStart w:id="288" w:name="_Toc365985189"/>
      <w:bookmarkStart w:id="289" w:name="_Toc330459996"/>
      <w:bookmarkStart w:id="290" w:name="_Toc339441098"/>
      <w:bookmarkStart w:id="291" w:name="_Toc333935698"/>
      <w:r>
        <w:rPr>
          <w:rFonts w:hint="eastAsia" w:ascii="宋体" w:hAnsi="宋体"/>
          <w:color w:val="000000" w:themeColor="text1"/>
          <w:sz w:val="24"/>
          <w:highlight w:val="none"/>
          <w14:textFill>
            <w14:solidFill>
              <w14:schemeClr w14:val="tx1"/>
            </w14:solidFill>
          </w14:textFill>
        </w:rPr>
        <w:t>封面格式</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YXCG-20260807</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92" w:name="_Toc8563"/>
      <w:r>
        <w:rPr>
          <w:rFonts w:hint="eastAsia" w:ascii="宋体" w:hAnsi="宋体"/>
          <w:b w:val="0"/>
          <w:color w:val="000000" w:themeColor="text1"/>
          <w:sz w:val="24"/>
          <w:highlight w:val="none"/>
          <w14:textFill>
            <w14:solidFill>
              <w14:schemeClr w14:val="tx1"/>
            </w14:solidFill>
          </w14:textFill>
        </w:rPr>
        <w:t>自查表</w:t>
      </w:r>
      <w:bookmarkEnd w:id="292"/>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93" w:name="_Toc31777"/>
      <w:bookmarkStart w:id="294" w:name="_Toc7568"/>
      <w:bookmarkStart w:id="295" w:name="_Toc18086"/>
      <w:r>
        <w:rPr>
          <w:rFonts w:hint="eastAsia" w:ascii="宋体"/>
          <w:bCs w:val="0"/>
          <w:color w:val="000000" w:themeColor="text1"/>
          <w:szCs w:val="21"/>
          <w:highlight w:val="none"/>
          <w14:textFill>
            <w14:solidFill>
              <w14:schemeClr w14:val="tx1"/>
            </w14:solidFill>
          </w14:textFill>
        </w:rPr>
        <w:t>1.1  资格性/符合性自查表</w:t>
      </w:r>
      <w:bookmarkEnd w:id="293"/>
      <w:bookmarkEnd w:id="294"/>
      <w:bookmarkEnd w:id="295"/>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266"/>
        <w:gridCol w:w="3365"/>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6"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365"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266" w:type="dxa"/>
            <w:vMerge w:val="restart"/>
            <w:vAlign w:val="center"/>
          </w:tcPr>
          <w:p w14:paraId="06D42787">
            <w:pPr>
              <w:tabs>
                <w:tab w:val="left" w:pos="-200"/>
                <w:tab w:val="left" w:pos="1050"/>
              </w:tabs>
              <w:ind w:left="0" w:leftChars="0" w:firstLine="0" w:firstLineChars="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w:t>
            </w:r>
          </w:p>
          <w:p w14:paraId="61BED871">
            <w:pPr>
              <w:tabs>
                <w:tab w:val="left" w:pos="-200"/>
                <w:tab w:val="left" w:pos="105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w:t>
            </w:r>
          </w:p>
        </w:tc>
        <w:tc>
          <w:tcPr>
            <w:tcW w:w="3365"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66"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3365"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C3C2662">
            <w:pPr>
              <w:tabs>
                <w:tab w:val="left" w:pos="0"/>
              </w:tabs>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8CD288B">
            <w:pPr>
              <w:tabs>
                <w:tab w:val="left" w:pos="0"/>
              </w:tabs>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266" w:type="dxa"/>
            <w:vAlign w:val="center"/>
          </w:tcPr>
          <w:p w14:paraId="249F0249">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3365" w:type="dxa"/>
            <w:vAlign w:val="center"/>
          </w:tcPr>
          <w:p w14:paraId="0EA3EFEF">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E5CEEB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C30CC0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0E8D4E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165C8EA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0EB3C4">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365"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E1070D">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365"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A746ACC">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3365"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1B1493F5">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365"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8"/>
    <w:bookmarkEnd w:id="169"/>
    <w:bookmarkEnd w:id="170"/>
    <w:bookmarkEnd w:id="171"/>
    <w:bookmarkEnd w:id="172"/>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296" w:name="_Toc469160785"/>
      <w:bookmarkStart w:id="297" w:name="_Toc26669"/>
      <w:bookmarkStart w:id="298" w:name="_Toc200414515"/>
      <w:r>
        <w:rPr>
          <w:rFonts w:hint="eastAsia" w:ascii="宋体" w:hAnsi="宋体"/>
          <w:color w:val="000000" w:themeColor="text1"/>
          <w:sz w:val="28"/>
          <w:szCs w:val="28"/>
          <w:highlight w:val="none"/>
          <w14:textFill>
            <w14:solidFill>
              <w14:schemeClr w14:val="tx1"/>
            </w14:solidFill>
          </w14:textFill>
        </w:rPr>
        <w:t>（一）无重大违法记录声明函</w:t>
      </w:r>
      <w:bookmarkEnd w:id="296"/>
      <w:bookmarkEnd w:id="297"/>
      <w:bookmarkEnd w:id="298"/>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9" w:name="_Toc22382"/>
      <w:bookmarkStart w:id="300" w:name="_Toc469160786"/>
      <w:bookmarkStart w:id="301" w:name="_Toc20041451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9"/>
      <w:bookmarkEnd w:id="300"/>
      <w:bookmarkEnd w:id="301"/>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2" w:name="_Toc14479"/>
      <w:bookmarkStart w:id="303" w:name="_Toc200414517"/>
      <w:bookmarkStart w:id="304" w:name="_Toc469160787"/>
      <w:r>
        <w:rPr>
          <w:rFonts w:hint="eastAsia" w:ascii="宋体" w:hAnsi="宋体"/>
          <w:color w:val="000000" w:themeColor="text1"/>
          <w:sz w:val="28"/>
          <w:szCs w:val="28"/>
          <w:highlight w:val="none"/>
          <w14:textFill>
            <w14:solidFill>
              <w14:schemeClr w14:val="tx1"/>
            </w14:solidFill>
          </w14:textFill>
        </w:rPr>
        <w:t>（三）法定代表人（负责人）授权书</w:t>
      </w:r>
      <w:bookmarkEnd w:id="302"/>
      <w:bookmarkEnd w:id="303"/>
      <w:bookmarkEnd w:id="304"/>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5" w:name="_Toc29678"/>
      <w:bookmarkStart w:id="306" w:name="_Toc6326"/>
      <w:bookmarkStart w:id="307" w:name="_Toc200414523"/>
      <w:bookmarkStart w:id="308" w:name="_Toc46916079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5"/>
      <w:bookmarkEnd w:id="306"/>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7"/>
    <w:bookmarkEnd w:id="308"/>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9" w:name="_Toc469160794"/>
      <w:bookmarkStart w:id="310" w:name="_Toc200414524"/>
      <w:bookmarkStart w:id="311" w:name="_Toc9015"/>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9"/>
      <w:bookmarkEnd w:id="310"/>
      <w:bookmarkEnd w:id="311"/>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12" w:name="_Toc469160795"/>
      <w:bookmarkStart w:id="313" w:name="_Toc14366"/>
      <w:bookmarkStart w:id="314"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12"/>
      <w:bookmarkEnd w:id="313"/>
      <w:bookmarkEnd w:id="314"/>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5" w:name="_Toc31830"/>
      <w:bookmarkStart w:id="316" w:name="_Toc200414526"/>
      <w:bookmarkStart w:id="317"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15"/>
      <w:bookmarkEnd w:id="316"/>
      <w:bookmarkEnd w:id="317"/>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YXCG-20260807</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阳江市特殊教育学校网络与监控设施设备采购及安装项目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lang w:eastAsia="zh-CN"/>
                <w14:textFill>
                  <w14:solidFill>
                    <w14:schemeClr w14:val="tx1"/>
                  </w14:solidFill>
                </w14:textFill>
              </w:rPr>
              <w:t>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8" w:name="_Toc9558"/>
      <w:bookmarkStart w:id="319" w:name="_Toc469160797"/>
      <w:bookmarkStart w:id="320" w:name="_Toc200414527"/>
      <w:bookmarkStart w:id="321" w:name="_Toc11866826"/>
      <w:bookmarkStart w:id="322" w:name="_Toc469160798"/>
      <w:bookmarkStart w:id="323"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8"/>
      <w:bookmarkEnd w:id="319"/>
      <w:bookmarkEnd w:id="320"/>
      <w:bookmarkEnd w:id="321"/>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YXCG-20260807</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阳江市特殊教育学校网络与监控设施设备采购及安装项目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4" w:name="_Toc3595"/>
      <w:r>
        <w:rPr>
          <w:rFonts w:hint="eastAsia" w:ascii="宋体" w:hAnsi="宋体"/>
          <w:color w:val="000000" w:themeColor="text1"/>
          <w:sz w:val="28"/>
          <w:szCs w:val="28"/>
          <w:highlight w:val="none"/>
          <w14:textFill>
            <w14:solidFill>
              <w14:schemeClr w14:val="tx1"/>
            </w14:solidFill>
          </w14:textFill>
        </w:rPr>
        <w:t>附件四：商务条款偏离一览表</w:t>
      </w:r>
      <w:bookmarkEnd w:id="322"/>
      <w:bookmarkEnd w:id="323"/>
      <w:bookmarkEnd w:id="324"/>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YXCG-20260807</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阳江市特殊教育学校网络与监控设施设备采购及安装项目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5" w:name="_Toc200414529"/>
      <w:bookmarkStart w:id="326" w:name="_Toc469160799"/>
      <w:bookmarkStart w:id="327" w:name="_Toc6848"/>
      <w:r>
        <w:rPr>
          <w:rFonts w:hint="eastAsia" w:ascii="宋体" w:hAnsi="宋体"/>
          <w:color w:val="000000" w:themeColor="text1"/>
          <w:sz w:val="28"/>
          <w:szCs w:val="28"/>
          <w:highlight w:val="none"/>
          <w14:textFill>
            <w14:solidFill>
              <w14:schemeClr w14:val="tx1"/>
            </w14:solidFill>
          </w14:textFill>
        </w:rPr>
        <w:t>附件五：技术条款偏离一览表</w:t>
      </w:r>
      <w:bookmarkEnd w:id="325"/>
      <w:bookmarkEnd w:id="326"/>
      <w:bookmarkEnd w:id="327"/>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YXCG-20260807</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阳江市特殊教育学校网络与监控设施设备采购及安装项目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8" w:name="_Toc2642"/>
      <w:r>
        <w:rPr>
          <w:rFonts w:hint="eastAsia" w:ascii="宋体" w:hAnsi="宋体"/>
          <w:color w:val="000000" w:themeColor="text1"/>
          <w:sz w:val="28"/>
          <w:szCs w:val="28"/>
          <w:highlight w:val="none"/>
          <w14:textFill>
            <w14:solidFill>
              <w14:schemeClr w14:val="tx1"/>
            </w14:solidFill>
          </w14:textFill>
        </w:rPr>
        <w:t>附件六：同类业绩一览表</w:t>
      </w:r>
      <w:bookmarkEnd w:id="328"/>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YXCG-20260807</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阳江市特殊教育学校网络与监控设施设备采购及安装项目</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9" w:name="_Toc430771089"/>
      <w:bookmarkStart w:id="330" w:name="_Toc11866689"/>
      <w:bookmarkStart w:id="331" w:name="_Toc432695229"/>
      <w:bookmarkStart w:id="332" w:name="_Toc432682754"/>
      <w:bookmarkStart w:id="333" w:name="_Toc31735"/>
      <w:bookmarkStart w:id="334" w:name="_Toc11866431"/>
      <w:bookmarkStart w:id="335" w:name="_Toc7149"/>
      <w:bookmarkStart w:id="336" w:name="_Toc342398160"/>
      <w:bookmarkStart w:id="337" w:name="_Toc339441117"/>
      <w:bookmarkStart w:id="338" w:name="_Toc342296791"/>
      <w:bookmarkStart w:id="339" w:name="_Toc343612950"/>
      <w:bookmarkStart w:id="340" w:name="_Toc342312473"/>
      <w:bookmarkStart w:id="341" w:name="_Toc365967105"/>
      <w:bookmarkStart w:id="342" w:name="_Toc340672899"/>
      <w:bookmarkStart w:id="343" w:name="_Toc332206739"/>
      <w:bookmarkStart w:id="344" w:name="_Toc339019919"/>
      <w:bookmarkStart w:id="345" w:name="_Toc341348370"/>
      <w:bookmarkStart w:id="346" w:name="_Toc339362330"/>
      <w:bookmarkStart w:id="347" w:name="_Toc343247130"/>
      <w:bookmarkStart w:id="348" w:name="_Toc343248448"/>
      <w:bookmarkStart w:id="349" w:name="_Toc340677100"/>
      <w:bookmarkStart w:id="350" w:name="_Toc345312627"/>
      <w:bookmarkStart w:id="351" w:name="_Toc342060405"/>
      <w:bookmarkStart w:id="352" w:name="_Toc331512931"/>
      <w:bookmarkStart w:id="353" w:name="_Toc333238664"/>
      <w:bookmarkStart w:id="354" w:name="_Toc339020125"/>
      <w:bookmarkStart w:id="355" w:name="_Toc350756480"/>
      <w:bookmarkStart w:id="356" w:name="_Toc337632388"/>
      <w:bookmarkStart w:id="357" w:name="_Toc333237708"/>
      <w:bookmarkStart w:id="358" w:name="_Toc333237819"/>
      <w:bookmarkStart w:id="359" w:name="_Toc340507472"/>
      <w:bookmarkStart w:id="360" w:name="_Toc333935717"/>
      <w:bookmarkStart w:id="361" w:name="_Toc336681965"/>
      <w:bookmarkStart w:id="362" w:name="_Toc331684072"/>
      <w:bookmarkStart w:id="363" w:name="_Toc366072562"/>
      <w:bookmarkStart w:id="364" w:name="_Toc339020263"/>
      <w:bookmarkStart w:id="365" w:name="_Toc336681610"/>
      <w:bookmarkStart w:id="366" w:name="_Toc102451601"/>
      <w:bookmarkStart w:id="367" w:name="_Toc365985211"/>
      <w:bookmarkStart w:id="368" w:name="_Toc339020045"/>
      <w:bookmarkStart w:id="369" w:name="_Toc333935376"/>
      <w:bookmarkStart w:id="370" w:name="_Toc350438779"/>
      <w:bookmarkStart w:id="371" w:name="_Toc330460016"/>
      <w:bookmarkStart w:id="372" w:name="_Toc332270377"/>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29"/>
      <w:bookmarkEnd w:id="330"/>
      <w:bookmarkEnd w:id="331"/>
      <w:bookmarkEnd w:id="332"/>
      <w:bookmarkEnd w:id="333"/>
      <w:bookmarkEnd w:id="334"/>
      <w:bookmarkEnd w:id="335"/>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73" w:name="_Toc11866432"/>
      <w:bookmarkStart w:id="374" w:name="_Toc8615"/>
      <w:bookmarkStart w:id="375" w:name="_Toc32373"/>
      <w:bookmarkStart w:id="376" w:name="_Toc11866690"/>
      <w:bookmarkStart w:id="377" w:name="_Toc20242"/>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73"/>
      <w:bookmarkEnd w:id="374"/>
      <w:bookmarkEnd w:id="375"/>
      <w:bookmarkEnd w:id="376"/>
      <w:bookmarkEnd w:id="377"/>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8" w:name="_Toc200414534"/>
      <w:bookmarkStart w:id="379" w:name="_Toc469160804"/>
      <w:bookmarkStart w:id="380" w:name="_Toc19883"/>
      <w:r>
        <w:rPr>
          <w:rFonts w:hint="eastAsia" w:ascii="宋体" w:hAnsi="宋体"/>
          <w:color w:val="000000" w:themeColor="text1"/>
          <w:sz w:val="28"/>
          <w:szCs w:val="28"/>
          <w:highlight w:val="none"/>
          <w14:textFill>
            <w14:solidFill>
              <w14:schemeClr w14:val="tx1"/>
            </w14:solidFill>
          </w14:textFill>
        </w:rPr>
        <w:t>附件九：成交服务费承诺</w:t>
      </w:r>
      <w:bookmarkEnd w:id="378"/>
      <w:bookmarkEnd w:id="379"/>
      <w:bookmarkEnd w:id="380"/>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1" w:name="_Toc2962"/>
      <w:bookmarkStart w:id="382" w:name="_Toc469160805"/>
      <w:bookmarkStart w:id="383" w:name="_Toc200414535"/>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81"/>
      <w:bookmarkEnd w:id="382"/>
      <w:bookmarkEnd w:id="383"/>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YXCG-20260807</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阳江市特殊教育学校网络与监控设施设备采购及安装项目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84"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5" w:name="_Toc118"/>
      <w:bookmarkStart w:id="386" w:name="_Toc469160806"/>
      <w:r>
        <w:rPr>
          <w:rFonts w:hint="eastAsia" w:ascii="宋体" w:hAnsi="宋体"/>
          <w:color w:val="000000" w:themeColor="text1"/>
          <w:sz w:val="52"/>
          <w:highlight w:val="none"/>
          <w14:textFill>
            <w14:solidFill>
              <w14:schemeClr w14:val="tx1"/>
            </w14:solidFill>
          </w14:textFill>
        </w:rPr>
        <w:t>其 他 格 式</w:t>
      </w:r>
      <w:bookmarkEnd w:id="384"/>
      <w:bookmarkEnd w:id="385"/>
      <w:bookmarkEnd w:id="386"/>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0468A710">
      <w:pP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F72CA9"/>
    <w:rsid w:val="02053A9A"/>
    <w:rsid w:val="020B6E95"/>
    <w:rsid w:val="023575E5"/>
    <w:rsid w:val="03095929"/>
    <w:rsid w:val="04A54C2A"/>
    <w:rsid w:val="04C72734"/>
    <w:rsid w:val="054902A3"/>
    <w:rsid w:val="06125662"/>
    <w:rsid w:val="066223B2"/>
    <w:rsid w:val="077870CF"/>
    <w:rsid w:val="07C02B8E"/>
    <w:rsid w:val="086A7949"/>
    <w:rsid w:val="096B0965"/>
    <w:rsid w:val="09C552BB"/>
    <w:rsid w:val="09E97E6D"/>
    <w:rsid w:val="0C6E02C3"/>
    <w:rsid w:val="0EE54141"/>
    <w:rsid w:val="0F696B20"/>
    <w:rsid w:val="0FCB1589"/>
    <w:rsid w:val="10167589"/>
    <w:rsid w:val="10192FF7"/>
    <w:rsid w:val="102B3FF9"/>
    <w:rsid w:val="10D0384E"/>
    <w:rsid w:val="12802304"/>
    <w:rsid w:val="13553E48"/>
    <w:rsid w:val="13D82E31"/>
    <w:rsid w:val="14342437"/>
    <w:rsid w:val="15252698"/>
    <w:rsid w:val="1695469E"/>
    <w:rsid w:val="180E5847"/>
    <w:rsid w:val="18A1707D"/>
    <w:rsid w:val="1A0F0E51"/>
    <w:rsid w:val="1A930EF5"/>
    <w:rsid w:val="1B087B35"/>
    <w:rsid w:val="1D012A8E"/>
    <w:rsid w:val="1E221F5D"/>
    <w:rsid w:val="1E6663E7"/>
    <w:rsid w:val="1F071EB1"/>
    <w:rsid w:val="1FA3658C"/>
    <w:rsid w:val="20980330"/>
    <w:rsid w:val="217D46AD"/>
    <w:rsid w:val="23610733"/>
    <w:rsid w:val="26AF70B6"/>
    <w:rsid w:val="26B26BA7"/>
    <w:rsid w:val="27E44D70"/>
    <w:rsid w:val="28823125"/>
    <w:rsid w:val="28995944"/>
    <w:rsid w:val="29A8300E"/>
    <w:rsid w:val="29AE3098"/>
    <w:rsid w:val="2A9C3593"/>
    <w:rsid w:val="2B45623B"/>
    <w:rsid w:val="2BB46F1D"/>
    <w:rsid w:val="2BB60730"/>
    <w:rsid w:val="2BE27997"/>
    <w:rsid w:val="2CD517FF"/>
    <w:rsid w:val="2F2C6B99"/>
    <w:rsid w:val="30744ECD"/>
    <w:rsid w:val="312F6347"/>
    <w:rsid w:val="320504D2"/>
    <w:rsid w:val="322C3CB1"/>
    <w:rsid w:val="35CF148F"/>
    <w:rsid w:val="366C6D34"/>
    <w:rsid w:val="36B174C5"/>
    <w:rsid w:val="36B44275"/>
    <w:rsid w:val="380642BC"/>
    <w:rsid w:val="38293998"/>
    <w:rsid w:val="391761E1"/>
    <w:rsid w:val="39565AB7"/>
    <w:rsid w:val="396E2E01"/>
    <w:rsid w:val="39AE31FE"/>
    <w:rsid w:val="39C42A21"/>
    <w:rsid w:val="3A9E14C4"/>
    <w:rsid w:val="3C7921E9"/>
    <w:rsid w:val="3E32264F"/>
    <w:rsid w:val="3EE819BF"/>
    <w:rsid w:val="404F5864"/>
    <w:rsid w:val="411D2B3D"/>
    <w:rsid w:val="419B7FB5"/>
    <w:rsid w:val="43FE4D82"/>
    <w:rsid w:val="4439400C"/>
    <w:rsid w:val="4587602A"/>
    <w:rsid w:val="45A162E7"/>
    <w:rsid w:val="470703F1"/>
    <w:rsid w:val="47ED5839"/>
    <w:rsid w:val="48B03F8E"/>
    <w:rsid w:val="4963480B"/>
    <w:rsid w:val="4B1C090F"/>
    <w:rsid w:val="4E2E121F"/>
    <w:rsid w:val="4F2953A8"/>
    <w:rsid w:val="4F473A81"/>
    <w:rsid w:val="4F701229"/>
    <w:rsid w:val="4F8B6063"/>
    <w:rsid w:val="5067593F"/>
    <w:rsid w:val="51FC3386"/>
    <w:rsid w:val="52BC6534"/>
    <w:rsid w:val="54684F5D"/>
    <w:rsid w:val="56C40339"/>
    <w:rsid w:val="58240E03"/>
    <w:rsid w:val="591B097C"/>
    <w:rsid w:val="5AC84A5B"/>
    <w:rsid w:val="5AFB7E85"/>
    <w:rsid w:val="5AFE3B8D"/>
    <w:rsid w:val="5B0D4F5D"/>
    <w:rsid w:val="5CF608FA"/>
    <w:rsid w:val="5D77652A"/>
    <w:rsid w:val="5E7D301B"/>
    <w:rsid w:val="5EC96260"/>
    <w:rsid w:val="60164D1C"/>
    <w:rsid w:val="60343BAD"/>
    <w:rsid w:val="6162299C"/>
    <w:rsid w:val="636656D8"/>
    <w:rsid w:val="63E72B79"/>
    <w:rsid w:val="646D002F"/>
    <w:rsid w:val="66AC1FFE"/>
    <w:rsid w:val="672725AD"/>
    <w:rsid w:val="69855479"/>
    <w:rsid w:val="69951B60"/>
    <w:rsid w:val="69E228CC"/>
    <w:rsid w:val="6A676DD1"/>
    <w:rsid w:val="6A9F256B"/>
    <w:rsid w:val="6ADF0BB9"/>
    <w:rsid w:val="6B162344"/>
    <w:rsid w:val="6BEC5086"/>
    <w:rsid w:val="6C74396D"/>
    <w:rsid w:val="6CCA1A1F"/>
    <w:rsid w:val="6CCE7137"/>
    <w:rsid w:val="6D0B7021"/>
    <w:rsid w:val="6E5D5FC9"/>
    <w:rsid w:val="6EED7D49"/>
    <w:rsid w:val="6EEF37F3"/>
    <w:rsid w:val="6F307C36"/>
    <w:rsid w:val="6FC94B10"/>
    <w:rsid w:val="6FE075B7"/>
    <w:rsid w:val="70053526"/>
    <w:rsid w:val="70860455"/>
    <w:rsid w:val="70F84783"/>
    <w:rsid w:val="725D4A5B"/>
    <w:rsid w:val="73C13552"/>
    <w:rsid w:val="73EF79C3"/>
    <w:rsid w:val="74475895"/>
    <w:rsid w:val="74F370D9"/>
    <w:rsid w:val="75C261F3"/>
    <w:rsid w:val="76746C01"/>
    <w:rsid w:val="769570A7"/>
    <w:rsid w:val="781C4B8B"/>
    <w:rsid w:val="799D0E6E"/>
    <w:rsid w:val="7A8763A1"/>
    <w:rsid w:val="7B364826"/>
    <w:rsid w:val="7B711E4D"/>
    <w:rsid w:val="7BB816DF"/>
    <w:rsid w:val="7BD858DD"/>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56</Pages>
  <Words>21161</Words>
  <Characters>23511</Characters>
  <Lines>267</Lines>
  <Paragraphs>75</Paragraphs>
  <TotalTime>3</TotalTime>
  <ScaleCrop>false</ScaleCrop>
  <LinksUpToDate>false</LinksUpToDate>
  <CharactersWithSpaces>24130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2026-07-17T00:44:00Z</cp:lastPrinted>
  <dcterms:modified xsi:type="dcterms:W3CDTF">2026-08-11T10:29:15Z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EA4350270A0142A4BEE66FE2D287338E_13</vt:lpwstr>
  </property>
  <property fmtid="{D5CDD505-2E9C-101B-9397-08002B2CF9AE}" pid="4" name="KSOTemplateDocerSaveRecord">
    <vt:lpwstr>eyJoZGlkIjoiNjRhODA0MGJlYjkwYzhjNWY3NDVmZDZhNTM4ODVlZmIiLCJ1c2VySWQiOiI0MzkwMDY1NTEifQ==</vt:lpwstr>
  </property>
</Properties>
</file>