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2C20">
      <w:pPr>
        <w:pStyle w:val="9"/>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p>
    <w:p w14:paraId="4B26FB77">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F1A422D">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0FA7586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A246B5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0434571">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7B92528C">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34E52397">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50F14E0">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064B4A69">
      <w:pPr>
        <w:pStyle w:val="9"/>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0B7876F">
      <w:pPr>
        <w:bidi w:val="0"/>
        <w:jc w:val="center"/>
        <w:rPr>
          <w:rFonts w:hint="eastAsia" w:asciiTheme="minorEastAsia" w:hAnsiTheme="minorEastAsia" w:eastAsiaTheme="minorEastAsia" w:cstheme="minorEastAsia"/>
          <w:b/>
          <w:bCs/>
          <w:color w:val="000000" w:themeColor="text1"/>
          <w:sz w:val="44"/>
          <w:szCs w:val="44"/>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44"/>
          <w:szCs w:val="4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44"/>
          <w:szCs w:val="44"/>
          <w:highlight w:val="none"/>
          <w:lang w:val="en-US" w:eastAsia="zh-CN"/>
          <w14:textFill>
            <w14:solidFill>
              <w14:schemeClr w14:val="tx1"/>
            </w14:solidFill>
          </w14:textFill>
        </w:rPr>
        <w:t>论证版</w:t>
      </w:r>
      <w:r>
        <w:rPr>
          <w:rFonts w:hint="eastAsia" w:asciiTheme="minorEastAsia" w:hAnsiTheme="minorEastAsia" w:eastAsiaTheme="minorEastAsia" w:cstheme="minorEastAsia"/>
          <w:b/>
          <w:bCs/>
          <w:color w:val="000000" w:themeColor="text1"/>
          <w:sz w:val="44"/>
          <w:szCs w:val="44"/>
          <w:highlight w:val="none"/>
          <w:lang w:eastAsia="zh-CN"/>
          <w14:textFill>
            <w14:solidFill>
              <w14:schemeClr w14:val="tx1"/>
            </w14:solidFill>
          </w14:textFill>
        </w:rPr>
        <w:t>）</w:t>
      </w:r>
    </w:p>
    <w:p w14:paraId="17E5F75E">
      <w:pPr>
        <w:pStyle w:val="9"/>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2BD5D3BA">
      <w:pPr>
        <w:pStyle w:val="9"/>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D0791A9">
      <w:pPr>
        <w:bidi w:val="0"/>
        <w:rPr>
          <w:color w:val="000000" w:themeColor="text1"/>
          <w:highlight w:val="none"/>
          <w14:textFill>
            <w14:solidFill>
              <w14:schemeClr w14:val="tx1"/>
            </w14:solidFill>
          </w14:textFill>
        </w:rPr>
      </w:pPr>
    </w:p>
    <w:tbl>
      <w:tblPr>
        <w:tblStyle w:val="16"/>
        <w:tblW w:w="8309" w:type="dxa"/>
        <w:jc w:val="center"/>
        <w:tblLayout w:type="fixed"/>
        <w:tblCellMar>
          <w:top w:w="0" w:type="dxa"/>
          <w:left w:w="108" w:type="dxa"/>
          <w:bottom w:w="0" w:type="dxa"/>
          <w:right w:w="108" w:type="dxa"/>
        </w:tblCellMar>
      </w:tblPr>
      <w:tblGrid>
        <w:gridCol w:w="1951"/>
        <w:gridCol w:w="284"/>
        <w:gridCol w:w="6074"/>
      </w:tblGrid>
      <w:tr w14:paraId="5A3C51A6">
        <w:tblPrEx>
          <w:tblCellMar>
            <w:top w:w="0" w:type="dxa"/>
            <w:left w:w="108" w:type="dxa"/>
            <w:bottom w:w="0" w:type="dxa"/>
            <w:right w:w="108" w:type="dxa"/>
          </w:tblCellMar>
        </w:tblPrEx>
        <w:trPr>
          <w:trHeight w:val="567" w:hRule="atLeast"/>
          <w:jc w:val="center"/>
        </w:trPr>
        <w:tc>
          <w:tcPr>
            <w:tcW w:w="1951" w:type="dxa"/>
            <w:vAlign w:val="center"/>
          </w:tcPr>
          <w:p w14:paraId="7A3F55DA">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58B83D3F">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6074" w:type="dxa"/>
            <w:vAlign w:val="center"/>
          </w:tcPr>
          <w:p w14:paraId="361C0AD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YXCG-20260804</w:t>
            </w:r>
          </w:p>
        </w:tc>
      </w:tr>
      <w:tr w14:paraId="201EA358">
        <w:tblPrEx>
          <w:tblCellMar>
            <w:top w:w="0" w:type="dxa"/>
            <w:left w:w="108" w:type="dxa"/>
            <w:bottom w:w="0" w:type="dxa"/>
            <w:right w:w="108" w:type="dxa"/>
          </w:tblCellMar>
        </w:tblPrEx>
        <w:trPr>
          <w:trHeight w:val="567" w:hRule="atLeast"/>
          <w:jc w:val="center"/>
        </w:trPr>
        <w:tc>
          <w:tcPr>
            <w:tcW w:w="1951" w:type="dxa"/>
            <w:vAlign w:val="center"/>
          </w:tcPr>
          <w:p w14:paraId="46C4C6AC">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8C1013">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6074" w:type="dxa"/>
            <w:vAlign w:val="center"/>
          </w:tcPr>
          <w:p w14:paraId="50278C2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阳江市第二中学采购食堂物资(肉类)配送项目</w:t>
            </w:r>
          </w:p>
        </w:tc>
      </w:tr>
      <w:tr w14:paraId="25B4EDC8">
        <w:tblPrEx>
          <w:tblCellMar>
            <w:top w:w="0" w:type="dxa"/>
            <w:left w:w="108" w:type="dxa"/>
            <w:bottom w:w="0" w:type="dxa"/>
            <w:right w:w="108" w:type="dxa"/>
          </w:tblCellMar>
        </w:tblPrEx>
        <w:trPr>
          <w:trHeight w:val="567" w:hRule="atLeast"/>
          <w:jc w:val="center"/>
        </w:trPr>
        <w:tc>
          <w:tcPr>
            <w:tcW w:w="1951" w:type="dxa"/>
            <w:vAlign w:val="center"/>
          </w:tcPr>
          <w:p w14:paraId="635A148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B9DAA92">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6074" w:type="dxa"/>
            <w:vAlign w:val="center"/>
          </w:tcPr>
          <w:p w14:paraId="0DF35F5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阳江市第二中学</w:t>
            </w:r>
          </w:p>
        </w:tc>
      </w:tr>
      <w:tr w14:paraId="04EA55A4">
        <w:tblPrEx>
          <w:tblCellMar>
            <w:top w:w="0" w:type="dxa"/>
            <w:left w:w="108" w:type="dxa"/>
            <w:bottom w:w="0" w:type="dxa"/>
            <w:right w:w="108" w:type="dxa"/>
          </w:tblCellMar>
        </w:tblPrEx>
        <w:trPr>
          <w:trHeight w:val="567" w:hRule="atLeast"/>
          <w:jc w:val="center"/>
        </w:trPr>
        <w:tc>
          <w:tcPr>
            <w:tcW w:w="1951" w:type="dxa"/>
            <w:vAlign w:val="center"/>
          </w:tcPr>
          <w:p w14:paraId="173D92AD">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6226FD9E">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6074" w:type="dxa"/>
            <w:vAlign w:val="center"/>
          </w:tcPr>
          <w:p w14:paraId="13520CA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7B6BC2A1">
      <w:pPr>
        <w:pStyle w:val="9"/>
        <w:widowControl/>
        <w:adjustRightInd w:val="0"/>
        <w:snapToGrid w:val="0"/>
        <w:spacing w:line="360" w:lineRule="auto"/>
        <w:jc w:val="center"/>
        <w:rPr>
          <w:rFonts w:hint="eastAsia" w:hAnsi="宋体"/>
          <w:b/>
          <w:bCs/>
          <w:color w:val="000000" w:themeColor="text1"/>
          <w:sz w:val="24"/>
          <w:highlight w:val="none"/>
          <w14:textFill>
            <w14:solidFill>
              <w14:schemeClr w14:val="tx1"/>
            </w14:solidFill>
          </w14:textFill>
        </w:rPr>
      </w:pPr>
    </w:p>
    <w:p w14:paraId="37A72CD2">
      <w:pPr>
        <w:rPr>
          <w:rFonts w:ascii="宋体" w:hAnsi="宋体" w:eastAsia="宋体"/>
          <w:b/>
          <w:bCs/>
          <w:color w:val="000000" w:themeColor="text1"/>
          <w:sz w:val="32"/>
          <w:szCs w:val="32"/>
          <w:highlight w:val="none"/>
          <w14:textFill>
            <w14:solidFill>
              <w14:schemeClr w14:val="tx1"/>
            </w14:solidFill>
          </w14:textFill>
        </w:rPr>
      </w:pPr>
      <w:r>
        <w:rPr>
          <w:rFonts w:ascii="宋体" w:hAnsi="宋体" w:eastAsia="宋体"/>
          <w:b/>
          <w:bCs/>
          <w:color w:val="000000" w:themeColor="text1"/>
          <w:sz w:val="32"/>
          <w:szCs w:val="32"/>
          <w:highlight w:val="none"/>
          <w14:textFill>
            <w14:solidFill>
              <w14:schemeClr w14:val="tx1"/>
            </w14:solidFill>
          </w14:textFill>
        </w:rPr>
        <w:br w:type="page"/>
      </w:r>
    </w:p>
    <w:p w14:paraId="4F5F7FF2">
      <w:pPr>
        <w:spacing w:before="0" w:beforeLines="0" w:after="0" w:afterLines="0" w:line="240" w:lineRule="auto"/>
        <w:ind w:left="0" w:leftChars="0" w:right="0" w:rightChars="0" w:firstLine="0" w:firstLineChars="0"/>
        <w:jc w:val="center"/>
        <w:rPr>
          <w:b/>
          <w:bCs/>
          <w:color w:val="000000" w:themeColor="text1"/>
          <w:sz w:val="32"/>
          <w:szCs w:val="32"/>
          <w:highlight w:val="none"/>
          <w14:textFill>
            <w14:solidFill>
              <w14:schemeClr w14:val="tx1"/>
            </w14:solidFill>
          </w14:textFill>
        </w:rPr>
      </w:pPr>
      <w:r>
        <w:rPr>
          <w:rFonts w:ascii="宋体" w:hAnsi="宋体" w:eastAsia="宋体"/>
          <w:b/>
          <w:bCs/>
          <w:color w:val="000000" w:themeColor="text1"/>
          <w:sz w:val="32"/>
          <w:szCs w:val="32"/>
          <w:highlight w:val="none"/>
          <w14:textFill>
            <w14:solidFill>
              <w14:schemeClr w14:val="tx1"/>
            </w14:solidFill>
          </w14:textFill>
        </w:rPr>
        <w:t>目</w:t>
      </w:r>
      <w:r>
        <w:rPr>
          <w:rFonts w:hint="eastAsia" w:ascii="宋体" w:hAnsi="宋体" w:eastAsia="宋体"/>
          <w:b/>
          <w:bCs/>
          <w:color w:val="000000" w:themeColor="text1"/>
          <w:sz w:val="32"/>
          <w:szCs w:val="32"/>
          <w:highlight w:val="none"/>
          <w:lang w:val="en-US" w:eastAsia="zh-CN"/>
          <w14:textFill>
            <w14:solidFill>
              <w14:schemeClr w14:val="tx1"/>
            </w14:solidFill>
          </w14:textFill>
        </w:rPr>
        <w:t xml:space="preserve"> </w:t>
      </w:r>
      <w:r>
        <w:rPr>
          <w:rFonts w:ascii="宋体" w:hAnsi="宋体" w:eastAsia="宋体"/>
          <w:b/>
          <w:bCs/>
          <w:color w:val="000000" w:themeColor="text1"/>
          <w:sz w:val="32"/>
          <w:szCs w:val="32"/>
          <w:highlight w:val="none"/>
          <w14:textFill>
            <w14:solidFill>
              <w14:schemeClr w14:val="tx1"/>
            </w14:solidFill>
          </w14:textFill>
        </w:rPr>
        <w:t>录</w:t>
      </w:r>
    </w:p>
    <w:p w14:paraId="36B35F0E">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"1-3" \h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_Toc26032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第一章</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_Toc26032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18874A">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_Toc23788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第二章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_Toc23788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694C180">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_Toc7893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_Toc7893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4492C93">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_Toc19061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一、名词解释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_Toc19061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19B305E">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_Toc31475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_Toc31475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FAFE0B5">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_Toc30988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_Toc30988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B3CB50B">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_Toc4854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四、招标文件的澄清和修改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8FBB6D4">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_Toc32714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五、投标要求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_Toc32714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CD0E234">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_Toc25602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六、开标、评标和定标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_Toc25602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EA83386">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_Toc26607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七、询问、质疑与投诉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A400FB3">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_Toc30815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八、合同签订和履行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_Toc30815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9259A4">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_Toc10391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第四章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_Toc10391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3F7ED80">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_Toc4293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一、评标要求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08A6617">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_Toc21864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政府采购政策落实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_Toc21864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AFC4ECA">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_Toc6374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三、评审程序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_Toc6374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5E25A10">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_Toc16230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第五章 合同</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DEFEB6D">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_Toc18794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第六章 投标文件格式与要求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_Toc18794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BB0A3C0">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_Toc386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bCs w:val="0"/>
          <w:color w:val="000000" w:themeColor="text1"/>
          <w:szCs w:val="44"/>
          <w:highlight w:val="none"/>
          <w14:textFill>
            <w14:solidFill>
              <w14:schemeClr w14:val="tx1"/>
            </w14:solidFill>
          </w14:textFill>
        </w:rPr>
        <w:t>投标文件封面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C613EE">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_Toc10944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投标文件目录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_Toc10944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96EC061">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_Toc32427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_Toc32427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1014CA">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_Toc1894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1E38D7">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_Toc17774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格式三：分项报价表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_Toc17774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8883315">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_Toc4513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格式四：政策适用性说明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_Toc4513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D9B2004">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_Toc11607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格式五：关于符合本国产品标准的声明函等有关证明文件（如适用）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_Toc11607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27C7180">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_Toc24502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格式六：</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_Toc24502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B45FD6C">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_Toc25791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格式七：</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F36D476">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_Toc15139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格式八：投标保证金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_Toc15139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E9B557">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_Toc6570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格式九：提供具有独立承担民事责任的能力的证明材料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_Toc6570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1CBDE39">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_Toc25195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格式十：资格性审查要求的其他资质证明文件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_Toc25195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C9590DD">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_Toc32474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格式十一：承诺函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_Toc32474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1CD45F">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_Toc6764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格式十二：中小企业声明函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_Toc6764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2AB58A7">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_Toc13897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格式十三：监狱企业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_Toc13897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77DD101">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_Toc4965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格式十四：残疾人福利性单位声明函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_Toc4965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05E50DC">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_Toc13479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格式十五：联合体共同投标协议书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_Toc13479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59AE7F2">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_Toc1803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格式十六：投标人业绩情况表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6DB7BE">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_Toc3472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格式十七：《技术和服务要求响应表》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_Toc3472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3B423E7">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_Toc24671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格式十八：《商务条件响应表》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98EB34C">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_Toc22157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格式十九：履约进度计划表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_Toc22157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791D241">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_Toc804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格式二十：各类证明材料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479B1C7">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_Toc32553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格式二十一：采购代理服务费支付承诺书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_Toc32553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21A9DD6">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_Toc14380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格式二十二：需要采购人提供的附加条件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_Toc14380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F5A85D0">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_Toc11934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格式二十三：询问函、质疑函、投诉书格式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96FB292">
      <w:pPr>
        <w:pStyle w:val="8"/>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_Toc11469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格式二十四：项目实施方案、质量保证及售后服务承诺等内容和格式自拟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_Toc11469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6FADC49">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_Toc31710 </w:instrText>
      </w:r>
      <w:r>
        <w:rPr>
          <w:color w:val="000000" w:themeColor="text1"/>
          <w:highlight w:val="none"/>
          <w14:textFill>
            <w14:solidFill>
              <w14:schemeClr w14:val="tx1"/>
            </w14:solidFill>
          </w14:textFill>
        </w:rPr>
        <w:fldChar w:fldCharType="separate"/>
      </w:r>
      <w:r>
        <w:rPr>
          <w:rFonts w:hint="eastAsia"/>
          <w:bCs/>
          <w:color w:val="000000" w:themeColor="text1"/>
          <w:szCs w:val="28"/>
          <w:highlight w:val="none"/>
          <w14:textFill>
            <w14:solidFill>
              <w14:schemeClr w14:val="tx1"/>
            </w14:solidFill>
          </w14:textFill>
        </w:rPr>
        <w:t>附件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_Toc31710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27AE07E">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_Toc10047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阳江市政府采购供应商资格信用承诺函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_Toc10047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E494483">
      <w:pPr>
        <w:pStyle w:val="13"/>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_Toc15118 </w:instrText>
      </w:r>
      <w:r>
        <w:rPr>
          <w:color w:val="000000" w:themeColor="text1"/>
          <w:highlight w:val="none"/>
          <w14:textFill>
            <w14:solidFill>
              <w14:schemeClr w14:val="tx1"/>
            </w14:solidFill>
          </w14:textFill>
        </w:rPr>
        <w:fldChar w:fldCharType="separate"/>
      </w:r>
      <w:r>
        <w:rPr>
          <w:rFonts w:hint="eastAsia"/>
          <w:bCs/>
          <w:color w:val="000000" w:themeColor="text1"/>
          <w:szCs w:val="44"/>
          <w:highlight w:val="none"/>
          <w14:textFill>
            <w14:solidFill>
              <w14:schemeClr w14:val="tx1"/>
            </w14:solidFill>
          </w14:textFill>
        </w:rPr>
        <w:t>购买标书登记表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_Toc15118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6DAF33">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end"/>
      </w:r>
    </w:p>
    <w:p w14:paraId="183BE9AD">
      <w:pPr>
        <w:rPr>
          <w:color w:val="000000" w:themeColor="text1"/>
          <w:highlight w:val="none"/>
          <w14:textFill>
            <w14:solidFill>
              <w14:schemeClr w14:val="tx1"/>
            </w14:solidFill>
          </w14:textFill>
        </w:rPr>
      </w:pPr>
    </w:p>
    <w:p w14:paraId="6D2926E5">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692808D">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0" w:name="_Toc26032"/>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投标邀请</w:t>
      </w:r>
      <w:bookmarkEnd w:id="0"/>
    </w:p>
    <w:p w14:paraId="152FE80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阳江市第二中学</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75D5FF0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一.项目概述</w:t>
      </w:r>
    </w:p>
    <w:p w14:paraId="29DC24E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4F7D286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阳江市第二中学采购食堂物资(肉类)配送项目</w:t>
      </w:r>
    </w:p>
    <w:p w14:paraId="1409E65B">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YXCG-20260804</w:t>
      </w:r>
    </w:p>
    <w:p w14:paraId="704EAF9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49F393C4">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3500000.00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p w14:paraId="2D02960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3636894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color w:val="000000" w:themeColor="text1"/>
          <w:sz w:val="21"/>
          <w:szCs w:val="21"/>
          <w:highlight w:val="none"/>
          <w:lang w:val="en-US" w:eastAsia="zh-CN"/>
          <w14:textFill>
            <w14:solidFill>
              <w14:schemeClr w14:val="tx1"/>
            </w14:solidFill>
          </w14:textFill>
        </w:rPr>
        <w:t>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070426">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宋体" w:hAnsi="宋体" w:cs="宋体"/>
          <w:b w:val="0"/>
          <w:bCs w:val="0"/>
          <w:color w:val="000000" w:themeColor="text1"/>
          <w:kern w:val="0"/>
          <w:sz w:val="21"/>
          <w:szCs w:val="21"/>
          <w:highlight w:val="none"/>
          <w:lang w:val="en-US" w:eastAsia="zh-CN"/>
          <w14:textFill>
            <w14:solidFill>
              <w14:schemeClr w14:val="tx1"/>
            </w14:solidFill>
          </w14:textFill>
        </w:rPr>
        <w:t>3500000.00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6"/>
        <w:gridCol w:w="1234"/>
        <w:gridCol w:w="2983"/>
        <w:gridCol w:w="1296"/>
        <w:gridCol w:w="1296"/>
        <w:gridCol w:w="1296"/>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6" w:type="dxa"/>
            <w:vAlign w:val="center"/>
          </w:tcPr>
          <w:p w14:paraId="7FF0A711">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234" w:type="dxa"/>
            <w:vAlign w:val="center"/>
          </w:tcPr>
          <w:p w14:paraId="3BFEAC3B">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2983" w:type="dxa"/>
            <w:vAlign w:val="center"/>
          </w:tcPr>
          <w:p w14:paraId="762C3C9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1296" w:type="dxa"/>
            <w:vAlign w:val="center"/>
          </w:tcPr>
          <w:p w14:paraId="1170525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数量（单位）</w:t>
            </w:r>
          </w:p>
        </w:tc>
        <w:tc>
          <w:tcPr>
            <w:tcW w:w="1296" w:type="dxa"/>
            <w:vAlign w:val="center"/>
          </w:tcPr>
          <w:p w14:paraId="2F3E3B0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306DCC2B">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0FC603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6" w:type="dxa"/>
            <w:vAlign w:val="center"/>
          </w:tcPr>
          <w:p w14:paraId="46DDC788">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234" w:type="dxa"/>
            <w:vAlign w:val="center"/>
          </w:tcPr>
          <w:p w14:paraId="637D7D4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其他服务</w:t>
            </w:r>
          </w:p>
        </w:tc>
        <w:tc>
          <w:tcPr>
            <w:tcW w:w="2983" w:type="dxa"/>
            <w:vAlign w:val="center"/>
          </w:tcPr>
          <w:p w14:paraId="7087E2E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阳江市第二中学采购食堂物资(肉类)配送</w:t>
            </w:r>
          </w:p>
        </w:tc>
        <w:tc>
          <w:tcPr>
            <w:tcW w:w="1296" w:type="dxa"/>
            <w:vAlign w:val="center"/>
          </w:tcPr>
          <w:p w14:paraId="1DB0D46A">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296" w:type="dxa"/>
            <w:vAlign w:val="center"/>
          </w:tcPr>
          <w:p w14:paraId="4C8E9459">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vAlign w:val="center"/>
          </w:tcPr>
          <w:p w14:paraId="5C1E65E1">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7483E6F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p>
    <w:p w14:paraId="65109642">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合同分包：不允许合同分包</w:t>
      </w:r>
    </w:p>
    <w:p w14:paraId="0E74A9C2">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w:t>
      </w:r>
      <w:r>
        <w:rPr>
          <w:rFonts w:hint="eastAsia" w:ascii="宋体" w:hAnsi="宋体" w:eastAsia="宋体" w:cs="宋体"/>
          <w:color w:val="000000" w:themeColor="text1"/>
          <w:sz w:val="21"/>
          <w:szCs w:val="21"/>
          <w:highlight w:val="none"/>
          <w:lang w:val="en-US" w:eastAsia="zh-CN"/>
          <w14:textFill>
            <w14:solidFill>
              <w14:schemeClr w14:val="tx1"/>
            </w14:solidFill>
          </w14:textFill>
        </w:rPr>
        <w:t>自合同签订之日起至2027年7月30日止。</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（少于该服务期作无效投标处理）</w:t>
      </w:r>
    </w:p>
    <w:p w14:paraId="38EB562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二.投标人的资格要求</w:t>
      </w:r>
    </w:p>
    <w:p w14:paraId="24E94B23">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1.投标人应具备《中华人民共和国政府采购法》第二十二条规定的条件，提供下列材料：</w:t>
      </w:r>
    </w:p>
    <w:p w14:paraId="271A913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1）具有独立承担民事责任的能力：在中华人民共和国境内注册的法人或其他组织或自然人， 投</w:t>
      </w:r>
    </w:p>
    <w:p w14:paraId="7462F864">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p w14:paraId="75FFFAA8">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有依法缴纳税收和社会保障资金的良好记录：提供投标截止日前6个月内任意1个月依法缴</w:t>
      </w:r>
    </w:p>
    <w:p w14:paraId="3F51D827">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纳税收和社会保障资金的相关材料或出具《承诺函》。如依法免税或不需要缴纳社会保障资金的，提供相应证明材料。</w:t>
      </w:r>
    </w:p>
    <w:p w14:paraId="7190A8B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具有良好的商业信誉和健全的财务会计制度：投标人必须具有良好的商业信誉和健全的财务</w:t>
      </w:r>
    </w:p>
    <w:p w14:paraId="02F9CBC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会计制度（提供202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年至今任意一个月的财务报表或基本开户行出具的资信证明或出具《承诺函》）。</w:t>
      </w:r>
    </w:p>
    <w:p w14:paraId="282AA8B8">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4）履行合同所必需的设备和专业技术能力：</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设备及专业技术能力情况或出具《承诺函》。</w:t>
      </w:r>
    </w:p>
    <w:p w14:paraId="5F143DCA">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5）参加采购活动前3年内，在经营活动中没有重大违法记录：</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1011585">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3EFC7425">
      <w:pPr>
        <w:pStyle w:val="20"/>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采购包1(阳江市第二中学采购食堂物资(肉类)配送项目)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99BCB7A">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3898C1BB">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采购包1(阳江市第二中学采购食堂物资(肉类)配送项目)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F1125E4">
      <w:pPr>
        <w:pStyle w:val="20"/>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r>
        <w:rPr>
          <w:rFonts w:asciiTheme="minorEastAsia" w:hAnsiTheme="minorEastAsia" w:cstheme="minorEastAsia"/>
          <w:color w:val="000000" w:themeColor="text1"/>
          <w:sz w:val="21"/>
          <w:szCs w:val="21"/>
          <w:highlight w:val="none"/>
          <w:lang w:eastAsia="zh-CN"/>
          <w14:textFill>
            <w14:solidFill>
              <w14:schemeClr w14:val="tx1"/>
            </w14:solidFill>
          </w14:textFill>
        </w:rPr>
        <w:t>投标人</w:t>
      </w:r>
      <w:r>
        <w:rPr>
          <w:rFonts w:asciiTheme="minorEastAsia" w:hAnsiTheme="minorEastAsia" w:cstheme="minorEastAsia"/>
          <w:color w:val="000000" w:themeColor="text1"/>
          <w:sz w:val="21"/>
          <w:szCs w:val="21"/>
          <w:highlight w:val="none"/>
          <w14:textFill>
            <w14:solidFill>
              <w14:schemeClr w14:val="tx1"/>
            </w14:solidFill>
          </w14:textFill>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36AEEFED">
      <w:pPr>
        <w:pStyle w:val="20"/>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p w14:paraId="519F2DCD">
      <w:pPr>
        <w:widowControl/>
        <w:adjustRightInd w:val="0"/>
        <w:snapToGrid w:val="0"/>
        <w:spacing w:line="360" w:lineRule="auto"/>
        <w:rPr>
          <w:rFonts w:ascii="宋体" w:hAnsi="宋体"/>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3</w:t>
      </w:r>
      <w:r>
        <w:rPr>
          <w:rFonts w:hint="eastAsia" w:asciiTheme="minorEastAsia" w:hAnsiTheme="minorEastAsia" w:cstheme="minorEastAsia"/>
          <w:color w:val="000000" w:themeColor="text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投标人须具有在有效期内的《食品经营许可证》，提供复印件加盖投标人公章；</w:t>
      </w:r>
    </w:p>
    <w:p w14:paraId="1514C274">
      <w:pPr>
        <w:widowControl/>
        <w:adjustRightInd w:val="0"/>
        <w:snapToGrid w:val="0"/>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4）经营场所、仓库距离粪坑、污水池、暴露垃圾场（站）、旱厕等污染源25米以上，不得设置在粉尘、有害气体、放射性物质和其他扩散性污染源的影响范围之内。（提供</w:t>
      </w:r>
      <w:r>
        <w:rPr>
          <w:rFonts w:hint="eastAsia" w:ascii="宋体" w:hAnsi="宋体"/>
          <w:color w:val="000000" w:themeColor="text1"/>
          <w:highlight w:val="none"/>
          <w:lang w:eastAsia="zh-CN"/>
          <w14:textFill>
            <w14:solidFill>
              <w14:schemeClr w14:val="tx1"/>
            </w14:solidFill>
          </w14:textFill>
        </w:rPr>
        <w:t>《承诺函》</w:t>
      </w:r>
      <w:r>
        <w:rPr>
          <w:rFonts w:hint="eastAsia" w:ascii="宋体" w:hAnsi="宋体"/>
          <w:color w:val="000000" w:themeColor="text1"/>
          <w:highlight w:val="none"/>
          <w14:textFill>
            <w14:solidFill>
              <w14:schemeClr w14:val="tx1"/>
            </w14:solidFill>
          </w14:textFill>
        </w:rPr>
        <w:t>，格式自拟）</w:t>
      </w:r>
    </w:p>
    <w:p w14:paraId="3BD247C4">
      <w:pPr>
        <w:widowControl/>
        <w:adjustRightInd w:val="0"/>
        <w:snapToGrid w:val="0"/>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5）建立良好的食品安全管理体系，建立食品安全管理架构和相关食品安全管理制度，建立“日管控、周排查、月调度”食品安全自查制度，食品采购、贮存、加工、运输符合相关法律法规要求。（提供</w:t>
      </w:r>
      <w:r>
        <w:rPr>
          <w:rFonts w:hint="eastAsia" w:ascii="宋体" w:hAnsi="宋体"/>
          <w:color w:val="000000" w:themeColor="text1"/>
          <w:highlight w:val="none"/>
          <w:lang w:eastAsia="zh-CN"/>
          <w14:textFill>
            <w14:solidFill>
              <w14:schemeClr w14:val="tx1"/>
            </w14:solidFill>
          </w14:textFill>
        </w:rPr>
        <w:t>《承诺函》</w:t>
      </w:r>
      <w:r>
        <w:rPr>
          <w:rFonts w:hint="eastAsia" w:ascii="宋体" w:hAnsi="宋体"/>
          <w:color w:val="000000" w:themeColor="text1"/>
          <w:highlight w:val="none"/>
          <w14:textFill>
            <w14:solidFill>
              <w14:schemeClr w14:val="tx1"/>
            </w14:solidFill>
          </w14:textFill>
        </w:rPr>
        <w:t>，格式自拟）</w:t>
      </w:r>
    </w:p>
    <w:p w14:paraId="19C17370">
      <w:pPr>
        <w:widowControl/>
        <w:adjustRightInd w:val="0"/>
        <w:snapToGrid w:val="0"/>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6）建有监控系统，能够保存15天或以上的食品贮存、加工过程视频监控。（提供</w:t>
      </w:r>
      <w:r>
        <w:rPr>
          <w:rFonts w:hint="eastAsia" w:ascii="宋体" w:hAnsi="宋体"/>
          <w:color w:val="000000" w:themeColor="text1"/>
          <w:highlight w:val="none"/>
          <w:lang w:eastAsia="zh-CN"/>
          <w14:textFill>
            <w14:solidFill>
              <w14:schemeClr w14:val="tx1"/>
            </w14:solidFill>
          </w14:textFill>
        </w:rPr>
        <w:t>《承诺函》</w:t>
      </w:r>
      <w:r>
        <w:rPr>
          <w:rFonts w:hint="eastAsia" w:ascii="宋体" w:hAnsi="宋体"/>
          <w:color w:val="000000" w:themeColor="text1"/>
          <w:highlight w:val="none"/>
          <w14:textFill>
            <w14:solidFill>
              <w14:schemeClr w14:val="tx1"/>
            </w14:solidFill>
          </w14:textFill>
        </w:rPr>
        <w:t>，格式自拟）</w:t>
      </w:r>
    </w:p>
    <w:p w14:paraId="5B15D369">
      <w:pPr>
        <w:pStyle w:val="20"/>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7</w:t>
      </w:r>
      <w:r>
        <w:rPr>
          <w:rFonts w:ascii="宋体" w:hAnsi="宋体"/>
          <w:color w:val="000000" w:themeColor="text1"/>
          <w:highlight w:val="none"/>
          <w:lang w:eastAsia="zh-CN"/>
          <w14:textFill>
            <w14:solidFill>
              <w14:schemeClr w14:val="tx1"/>
            </w14:solidFill>
          </w14:textFill>
        </w:rPr>
        <w:t>）</w:t>
      </w:r>
      <w:r>
        <w:rPr>
          <w:rFonts w:ascii="宋体" w:hAnsi="宋体"/>
          <w:color w:val="000000" w:themeColor="text1"/>
          <w:highlight w:val="none"/>
          <w14:textFill>
            <w14:solidFill>
              <w14:schemeClr w14:val="tx1"/>
            </w14:solidFill>
          </w14:textFill>
        </w:rPr>
        <w:t>投标人须在采购代理机构登记并</w:t>
      </w:r>
      <w:r>
        <w:rPr>
          <w:rFonts w:hint="eastAsia" w:ascii="宋体" w:hAnsi="宋体" w:eastAsia="宋体" w:cs="宋体"/>
          <w:color w:val="000000" w:themeColor="text1"/>
          <w:highlight w:val="none"/>
          <w14:textFill>
            <w14:solidFill>
              <w14:schemeClr w14:val="tx1"/>
            </w14:solidFill>
          </w14:textFill>
        </w:rPr>
        <w:t>购买</w:t>
      </w:r>
      <w:r>
        <w:rPr>
          <w:rFonts w:hint="eastAsia" w:ascii="宋体" w:hAnsi="宋体" w:eastAsia="宋体" w:cs="宋体"/>
          <w:color w:val="000000" w:themeColor="text1"/>
          <w:highlight w:val="none"/>
          <w:lang w:eastAsia="zh-CN"/>
          <w14:textFill>
            <w14:solidFill>
              <w14:schemeClr w14:val="tx1"/>
            </w14:solidFill>
          </w14:textFill>
        </w:rPr>
        <w:t>招标</w:t>
      </w:r>
      <w:r>
        <w:rPr>
          <w:rFonts w:hint="eastAsia" w:ascii="宋体" w:hAnsi="宋体" w:eastAsia="宋体" w:cs="宋体"/>
          <w:color w:val="000000" w:themeColor="text1"/>
          <w:highlight w:val="none"/>
          <w14:textFill>
            <w14:solidFill>
              <w14:schemeClr w14:val="tx1"/>
            </w14:solidFill>
          </w14:textFill>
        </w:rPr>
        <w:t>文件。</w:t>
      </w:r>
    </w:p>
    <w:p w14:paraId="607921E9">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三.购买招标文件的时间、地点、方式及招标文件售价</w:t>
      </w:r>
    </w:p>
    <w:p w14:paraId="663ECCF8">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315" w:hanging="315" w:hangingChars="15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2026年8月4日</w:t>
      </w:r>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2026年8月11日</w:t>
      </w:r>
      <w:r>
        <w:rPr>
          <w:rFonts w:hint="eastAsia" w:ascii="宋体" w:hAnsi="宋体" w:eastAsia="宋体" w:cs="宋体"/>
          <w:bCs/>
          <w:color w:val="000000" w:themeColor="text1"/>
          <w:highlight w:val="none"/>
          <w14:textFill>
            <w14:solidFill>
              <w14:schemeClr w14:val="tx1"/>
            </w14:solidFill>
          </w14:textFill>
        </w:rPr>
        <w:t>，上午9:00～12:00，下午2:30～5:30（节假日除外）（北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212D1108">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w:t>
      </w:r>
      <w:r>
        <w:rPr>
          <w:rFonts w:hint="eastAsia" w:ascii="宋体" w:hAnsi="宋体" w:eastAsia="宋体" w:cs="宋体"/>
          <w:color w:val="000000" w:themeColor="text1"/>
          <w:szCs w:val="21"/>
          <w:highlight w:val="none"/>
          <w14:textFill>
            <w14:solidFill>
              <w14:schemeClr w14:val="tx1"/>
            </w14:solidFill>
          </w14:textFill>
        </w:rPr>
        <w:t>205室。</w:t>
      </w:r>
    </w:p>
    <w:p w14:paraId="42836859">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26162ED">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34AEE131">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22440D6C">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59" w:leftChars="164" w:hanging="315" w:hangingChars="15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79F23F04">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outlineLvl w:val="9"/>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1955268A">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36764E8F">
      <w:pPr>
        <w:keepNext w:val="0"/>
        <w:keepLines w:val="0"/>
        <w:pageBreakBefore w:val="0"/>
        <w:kinsoku/>
        <w:wordWrap/>
        <w:overflowPunct/>
        <w:topLinePunct w:val="0"/>
        <w:autoSpaceDE/>
        <w:autoSpaceDN/>
        <w:bidi w:val="0"/>
        <w:spacing w:line="360" w:lineRule="auto"/>
        <w:ind w:firstLine="210" w:firstLine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8-04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2026年8月4日</w:t>
          </w:r>
        </w:sdtContent>
      </w:sdt>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2026年8月11日</w:t>
      </w:r>
      <w:r>
        <w:rPr>
          <w:rFonts w:hint="eastAsia" w:ascii="宋体" w:hAnsi="宋体" w:eastAsia="宋体" w:cs="宋体"/>
          <w:bCs/>
          <w:color w:val="000000" w:themeColor="text1"/>
          <w:highlight w:val="none"/>
          <w14:textFill>
            <w14:solidFill>
              <w14:schemeClr w14:val="tx1"/>
            </w14:solidFill>
          </w14:textFill>
        </w:rPr>
        <w:t>。</w:t>
      </w:r>
    </w:p>
    <w:p w14:paraId="461B3135">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5815D0D2">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2026年8月25日</w:t>
      </w:r>
      <w:r>
        <w:rPr>
          <w:rFonts w:hint="eastAsia" w:ascii="宋体" w:hAnsi="宋体" w:eastAsia="宋体" w:cs="宋体"/>
          <w:color w:val="000000" w:themeColor="text1"/>
          <w:highlight w:val="none"/>
          <w14:textFill>
            <w14:solidFill>
              <w14:schemeClr w14:val="tx1"/>
            </w14:solidFill>
          </w14:textFill>
        </w:rPr>
        <w:t>9:00-9:30 (北京时间)。</w:t>
      </w:r>
    </w:p>
    <w:p w14:paraId="36FAE56E">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2026年8月25日</w:t>
      </w:r>
      <w:r>
        <w:rPr>
          <w:rFonts w:hint="eastAsia" w:ascii="宋体" w:hAnsi="宋体" w:eastAsia="宋体" w:cs="宋体"/>
          <w:color w:val="000000" w:themeColor="text1"/>
          <w:highlight w:val="none"/>
          <w14:textFill>
            <w14:solidFill>
              <w14:schemeClr w14:val="tx1"/>
            </w14:solidFill>
          </w14:textFill>
        </w:rPr>
        <w:t>9:30(北京时间)。</w:t>
      </w:r>
    </w:p>
    <w:p w14:paraId="40DF13E0">
      <w:pPr>
        <w:pStyle w:val="20"/>
        <w:keepNext w:val="0"/>
        <w:keepLines w:val="0"/>
        <w:pageBreakBefore w:val="0"/>
        <w:kinsoku/>
        <w:wordWrap/>
        <w:overflowPunct/>
        <w:topLinePunct w:val="0"/>
        <w:autoSpaceDE/>
        <w:autoSpaceDN/>
        <w:bidi w:val="0"/>
        <w:adjustRightInd/>
        <w:snapToGrid/>
        <w:spacing w:line="360" w:lineRule="auto"/>
        <w:ind w:left="0" w:leftChars="0" w:firstLine="426" w:firstLineChars="203"/>
        <w:textAlignment w:val="auto"/>
        <w:outlineLvl w:val="9"/>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2EE6EB2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六.本项目联系方式：</w:t>
      </w:r>
    </w:p>
    <w:p w14:paraId="4AF82EC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762BDF3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阳江市第二中学</w:t>
      </w:r>
    </w:p>
    <w:p w14:paraId="271F2198">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地    址：阳江市东风三路9号</w:t>
      </w:r>
    </w:p>
    <w:p w14:paraId="7EC0A7DD">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联 系 人：</w:t>
      </w:r>
      <w:r>
        <w:rPr>
          <w:rFonts w:hint="eastAsia" w:ascii="宋体" w:hAnsi="宋体" w:eastAsia="宋体" w:cs="宋体"/>
          <w:color w:val="000000" w:themeColor="text1"/>
          <w:sz w:val="21"/>
          <w:szCs w:val="21"/>
          <w:highlight w:val="none"/>
          <w:lang w:val="en-US" w:eastAsia="zh-CN"/>
          <w14:textFill>
            <w14:solidFill>
              <w14:schemeClr w14:val="tx1"/>
            </w14:solidFill>
          </w14:textFill>
        </w:rPr>
        <w:t>阮老师</w:t>
      </w:r>
    </w:p>
    <w:p w14:paraId="4514964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联系电话：</w:t>
      </w:r>
      <w:r>
        <w:rPr>
          <w:rFonts w:hint="eastAsia" w:ascii="宋体" w:hAnsi="宋体" w:eastAsia="宋体" w:cs="宋体"/>
          <w:color w:val="000000" w:themeColor="text1"/>
          <w:sz w:val="21"/>
          <w:szCs w:val="21"/>
          <w:highlight w:val="none"/>
          <w:lang w:val="en-US" w:eastAsia="zh-CN"/>
          <w14:textFill>
            <w14:solidFill>
              <w14:schemeClr w14:val="tx1"/>
            </w14:solidFill>
          </w14:textFill>
        </w:rPr>
        <w:t>0662-</w:t>
      </w:r>
      <w:r>
        <w:rPr>
          <w:rFonts w:hint="eastAsia" w:ascii="宋体" w:hAnsi="宋体" w:eastAsia="宋体" w:cs="宋体"/>
          <w:color w:val="000000" w:themeColor="text1"/>
          <w:sz w:val="21"/>
          <w:szCs w:val="21"/>
          <w:highlight w:val="none"/>
          <w:lang w:eastAsia="zh-CN"/>
          <w14:textFill>
            <w14:solidFill>
              <w14:schemeClr w14:val="tx1"/>
            </w14:solidFill>
          </w14:textFill>
        </w:rPr>
        <w:t>3227899</w:t>
      </w:r>
    </w:p>
    <w:p w14:paraId="013F29A0">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2.采购代理机构信息</w:t>
      </w:r>
    </w:p>
    <w:p w14:paraId="561A8027">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5EF78746">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阳江市江城区猫山四街33号A座2楼</w:t>
      </w:r>
    </w:p>
    <w:p w14:paraId="33A9A7F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0E91710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3.项目联系方式</w:t>
      </w:r>
    </w:p>
    <w:p w14:paraId="0E44FB77">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项目联系人：</w:t>
      </w:r>
      <w:r>
        <w:rPr>
          <w:rFonts w:hint="eastAsia" w:ascii="宋体" w:hAnsi="宋体" w:eastAsia="宋体" w:cs="宋体"/>
          <w:color w:val="000000" w:themeColor="text1"/>
          <w:sz w:val="21"/>
          <w:szCs w:val="21"/>
          <w:highlight w:val="none"/>
          <w:lang w:eastAsia="zh-CN"/>
          <w14:textFill>
            <w14:solidFill>
              <w14:schemeClr w14:val="tx1"/>
            </w14:solidFill>
          </w14:textFill>
        </w:rPr>
        <w:t>谢小姐</w:t>
      </w:r>
    </w:p>
    <w:p w14:paraId="08E61D5A">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34FBDA04">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p>
    <w:p w14:paraId="0C0E5B8C">
      <w:pPr>
        <w:pStyle w:val="20"/>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p>
    <w:p w14:paraId="4D0BA224">
      <w:pPr>
        <w:pStyle w:val="20"/>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5ACD884F">
      <w:pPr>
        <w:pStyle w:val="20"/>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2026年8月4日</w:t>
      </w:r>
    </w:p>
    <w:p w14:paraId="2DB6FF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53B046C1">
      <w:pPr>
        <w:pStyle w:val="20"/>
        <w:keepNext w:val="0"/>
        <w:keepLines w:val="0"/>
        <w:pageBreakBefore w:val="0"/>
        <w:widowControl/>
        <w:kinsoku/>
        <w:wordWrap/>
        <w:overflowPunct/>
        <w:topLinePunct w:val="0"/>
        <w:autoSpaceDE/>
        <w:autoSpaceDN/>
        <w:bidi w:val="0"/>
        <w:adjustRightInd/>
        <w:snapToGrid/>
        <w:spacing w:line="360" w:lineRule="auto"/>
        <w:ind w:firstLine="482"/>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1" w:name="_Toc23788"/>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bookmarkEnd w:id="1"/>
    </w:p>
    <w:p w14:paraId="690FF114">
      <w:pPr>
        <w:pStyle w:val="23"/>
        <w:keepNext w:val="0"/>
        <w:keepLines w:val="0"/>
        <w:pageBreakBefore w:val="0"/>
        <w:widowControl w:val="0"/>
        <w:kinsoku/>
        <w:wordWrap/>
        <w:overflowPunct/>
        <w:topLinePunct w:val="0"/>
        <w:autoSpaceDE/>
        <w:autoSpaceDN/>
        <w:bidi w:val="0"/>
        <w:adjustRightInd/>
        <w:spacing w:line="360" w:lineRule="auto"/>
        <w:ind w:firstLine="0" w:firstLineChars="0"/>
        <w:textAlignment w:val="auto"/>
        <w:outlineLvl w:val="9"/>
        <w:rPr>
          <w:rFonts w:hint="eastAsia" w:ascii="宋体" w:hAnsi="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一、</w:t>
      </w:r>
      <w:r>
        <w:rPr>
          <w:rFonts w:hint="eastAsia" w:ascii="宋体" w:hAnsi="宋体"/>
          <w:b/>
          <w:color w:val="000000" w:themeColor="text1"/>
          <w:szCs w:val="21"/>
          <w:highlight w:val="none"/>
          <w14:textFill>
            <w14:solidFill>
              <w14:schemeClr w14:val="tx1"/>
            </w14:solidFill>
          </w14:textFill>
        </w:rPr>
        <w:t>总体要求</w:t>
      </w:r>
    </w:p>
    <w:p w14:paraId="44CBAA65">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★所有食材要求为非转基因食品。</w:t>
      </w:r>
    </w:p>
    <w:p w14:paraId="4B0FC6B0">
      <w:pPr>
        <w:pStyle w:val="23"/>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outlineLvl w:val="9"/>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pacing w:val="-3"/>
          <w:szCs w:val="21"/>
          <w:highlight w:val="none"/>
          <w14:textFill>
            <w14:solidFill>
              <w14:schemeClr w14:val="tx1"/>
            </w14:solidFill>
          </w14:textFill>
        </w:rPr>
        <w:t>2</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s="宋体"/>
          <w:color w:val="000000" w:themeColor="text1"/>
          <w:spacing w:val="-3"/>
          <w:szCs w:val="21"/>
          <w:highlight w:val="none"/>
          <w14:textFill>
            <w14:solidFill>
              <w14:schemeClr w14:val="tx1"/>
            </w14:solidFill>
          </w14:textFill>
        </w:rPr>
        <w:t>食材</w:t>
      </w:r>
      <w:r>
        <w:rPr>
          <w:rFonts w:hint="eastAsia" w:ascii="宋体" w:hAnsi="宋体" w:cs="宋体"/>
          <w:color w:val="000000" w:themeColor="text1"/>
          <w:spacing w:val="-11"/>
          <w:szCs w:val="21"/>
          <w:highlight w:val="none"/>
          <w14:textFill>
            <w14:solidFill>
              <w14:schemeClr w14:val="tx1"/>
            </w14:solidFill>
          </w14:textFill>
        </w:rPr>
        <w:t>有使用</w:t>
      </w:r>
      <w:r>
        <w:rPr>
          <w:rFonts w:hint="eastAsia" w:ascii="宋体" w:hAnsi="宋体" w:cs="宋体"/>
          <w:color w:val="000000" w:themeColor="text1"/>
          <w:szCs w:val="20"/>
          <w:highlight w:val="none"/>
          <w14:textFill>
            <w14:solidFill>
              <w14:schemeClr w14:val="tx1"/>
            </w14:solidFill>
          </w14:textFill>
        </w:rPr>
        <w:t>有效期</w:t>
      </w:r>
      <w:r>
        <w:rPr>
          <w:rFonts w:hint="eastAsia" w:ascii="宋体" w:hAnsi="宋体" w:cs="宋体"/>
          <w:color w:val="000000" w:themeColor="text1"/>
          <w:spacing w:val="-11"/>
          <w:szCs w:val="21"/>
          <w:highlight w:val="none"/>
          <w14:textFill>
            <w14:solidFill>
              <w14:schemeClr w14:val="tx1"/>
            </w14:solidFill>
          </w14:textFill>
        </w:rPr>
        <w:t>的，其剩余有效期不</w:t>
      </w:r>
      <w:r>
        <w:rPr>
          <w:rFonts w:hint="eastAsia" w:ascii="宋体" w:hAnsi="宋体"/>
          <w:color w:val="000000" w:themeColor="text1"/>
          <w:kern w:val="0"/>
          <w:szCs w:val="21"/>
          <w:highlight w:val="none"/>
          <w14:textFill>
            <w14:solidFill>
              <w14:schemeClr w14:val="tx1"/>
            </w14:solidFill>
          </w14:textFill>
        </w:rPr>
        <w:t>得少于标注有效期的80%</w:t>
      </w:r>
      <w:r>
        <w:rPr>
          <w:rFonts w:hint="eastAsia" w:ascii="宋体" w:hAnsi="宋体" w:cs="宋体"/>
          <w:color w:val="000000" w:themeColor="text1"/>
          <w:szCs w:val="21"/>
          <w:highlight w:val="none"/>
          <w14:textFill>
            <w14:solidFill>
              <w14:schemeClr w14:val="tx1"/>
            </w14:solidFill>
          </w14:textFill>
        </w:rPr>
        <w:t>。</w:t>
      </w:r>
    </w:p>
    <w:p w14:paraId="3E20D0F3">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所供的物品必须符合“中华人民共和国食品卫生法”要求。</w:t>
      </w:r>
    </w:p>
    <w:p w14:paraId="0B573AAD">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供应商需承诺所供的物品必须符合国家有关标准，保证无异味、无霉烂变质，如不符合投标文件所描述的质量标准，必须退货并承担违约责任。</w:t>
      </w:r>
    </w:p>
    <w:p w14:paraId="3AB16372">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所供商品必须符合国家行业生产及经营标准，货真价实，均能提供相应批次的合格检验证明。</w:t>
      </w:r>
    </w:p>
    <w:p w14:paraId="71FA16C9">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供应的货物必须各项技术指标完全符合国家有关质量检测、环保标准及产品出厂标准。</w:t>
      </w:r>
    </w:p>
    <w:p w14:paraId="5910CB55">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供应商必须负责中标货物的运输、质量检测等工作，所产生的费用由中标供应商负责。</w:t>
      </w:r>
    </w:p>
    <w:p w14:paraId="40F03FE7">
      <w:pPr>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物品具体需求量以实际供应前一天通知的为准。</w:t>
      </w:r>
    </w:p>
    <w:p w14:paraId="679732B7">
      <w:pPr>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供应商不得将中标项目转包、分包，否则采购人有权单方终止合同,由此产生的一切经济损失由中标供应商自行承担。</w:t>
      </w:r>
    </w:p>
    <w:p w14:paraId="5AF84D36">
      <w:pPr>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10</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由于采购人工作的特殊性，供应商应做好本单位工作人员的教育工作，遵守采购人各项规定。</w:t>
      </w:r>
    </w:p>
    <w:p w14:paraId="7F648A52">
      <w:pPr>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11</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供应商除不可抗力，不得因其他任何理由延迟送货。采购人如遇特殊情况需推迟送货，应提前通知供应商。因供应商原因延误交货日期的（采购人要求推迟的除外），采购人有权自行采购，并由供应商承担由此产生的一切损失和费用。</w:t>
      </w:r>
    </w:p>
    <w:p w14:paraId="3002AC16">
      <w:pPr>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12</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供应商不得变更供应商品，应严格按招标要求（含商标、名称、产地、规格和重量等）供应，否则，采购人有权拒收。如因市场流通问题确实需要变更的，应书面向采购人申请，按采购人书面回复的意见执行。</w:t>
      </w:r>
    </w:p>
    <w:p w14:paraId="10F098E6">
      <w:pPr>
        <w:snapToGrid w:val="0"/>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供应商供应假冒伪劣、以次充好的商品，除立即更换外，以不予支付本批货物货款作为处罚。采购人将事件记录在案，同一个月份内同类问题发生达到2次，采购人有权单方面终止合同取消其供应资格。一年合同期内累计达到5次或以上，今后将作为不合格供应商列入黑名单，不能参加采购人今后任何的招标采购活动。</w:t>
      </w:r>
    </w:p>
    <w:p w14:paraId="155152A8">
      <w:pPr>
        <w:keepNext w:val="0"/>
        <w:keepLines w:val="0"/>
        <w:pageBreakBefore w:val="0"/>
        <w:widowControl/>
        <w:tabs>
          <w:tab w:val="left" w:pos="502"/>
          <w:tab w:val="left" w:pos="753"/>
          <w:tab w:val="left" w:pos="840"/>
        </w:tabs>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color w:val="000000" w:themeColor="text1"/>
          <w:highlight w:val="none"/>
          <w14:textFill>
            <w14:solidFill>
              <w14:schemeClr w14:val="tx1"/>
            </w14:solidFill>
          </w14:textFill>
        </w:rPr>
        <w:t>14</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如有国家政策要求采购其他食品物资的，以国家政策为准，中标供应商需无条件执行。</w:t>
      </w:r>
    </w:p>
    <w:p w14:paraId="67C82E17">
      <w:pPr>
        <w:pStyle w:val="9"/>
        <w:keepNext w:val="0"/>
        <w:keepLines w:val="0"/>
        <w:pageBreakBefore w:val="0"/>
        <w:tabs>
          <w:tab w:val="left" w:pos="540"/>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二、采购食品验收标准</w:t>
      </w:r>
    </w:p>
    <w:p w14:paraId="43B8D8C6">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eastAsia="zh-CN"/>
          <w14:textFill>
            <w14:solidFill>
              <w14:schemeClr w14:val="tx1"/>
            </w14:solidFill>
          </w14:textFill>
        </w:rPr>
        <w:t>.中标供应商</w:t>
      </w:r>
      <w:r>
        <w:rPr>
          <w:rFonts w:hint="eastAsia" w:ascii="宋体" w:hAnsi="宋体" w:eastAsia="宋体" w:cs="宋体"/>
          <w:color w:val="000000" w:themeColor="text1"/>
          <w:highlight w:val="none"/>
          <w14:textFill>
            <w14:solidFill>
              <w14:schemeClr w14:val="tx1"/>
            </w14:solidFill>
          </w14:textFill>
        </w:rPr>
        <w:t>必须在签订服务合同前5天内成功办理针对本项目的《食品安全责任保险》</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投标文件中须单独提供承诺函作证明材料</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w:t>
      </w:r>
    </w:p>
    <w:p w14:paraId="30EF0DD7">
      <w:pPr>
        <w:pStyle w:val="9"/>
        <w:keepNext w:val="0"/>
        <w:keepLines w:val="0"/>
        <w:pageBreakBefore w:val="0"/>
        <w:tabs>
          <w:tab w:val="left" w:pos="540"/>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sz w:val="21"/>
          <w:szCs w:val="21"/>
          <w:highlight w:val="none"/>
          <w14:textFill>
            <w14:solidFill>
              <w14:schemeClr w14:val="tx1"/>
            </w14:solidFill>
          </w14:textFill>
        </w:rPr>
        <w:t>.符合《中华人民共和国食品安全法》要求。</w:t>
      </w:r>
    </w:p>
    <w:p w14:paraId="6455C0C7">
      <w:pPr>
        <w:pStyle w:val="9"/>
        <w:keepNext w:val="0"/>
        <w:keepLines w:val="0"/>
        <w:pageBreakBefore w:val="0"/>
        <w:tabs>
          <w:tab w:val="left" w:pos="540"/>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Cs/>
          <w:color w:val="000000" w:themeColor="text1"/>
          <w:sz w:val="21"/>
          <w:szCs w:val="21"/>
          <w:highlight w:val="none"/>
          <w14:textFill>
            <w14:solidFill>
              <w14:schemeClr w14:val="tx1"/>
            </w14:solidFill>
          </w14:textFill>
        </w:rPr>
        <w:t>.符合中华人民共和国国家和履约地相关安全质量标准、行业规范标准、环保标准等。</w:t>
      </w:r>
    </w:p>
    <w:p w14:paraId="225437FC">
      <w:pPr>
        <w:pStyle w:val="9"/>
        <w:keepNext w:val="0"/>
        <w:keepLines w:val="0"/>
        <w:pageBreakBefore w:val="0"/>
        <w:tabs>
          <w:tab w:val="left" w:pos="540"/>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14:textFill>
            <w14:solidFill>
              <w14:schemeClr w14:val="tx1"/>
            </w14:solidFill>
          </w14:textFill>
        </w:rPr>
        <w:t>.符合招标文件和投标承诺中各方共同认可的各项要求。</w:t>
      </w:r>
    </w:p>
    <w:p w14:paraId="27ABE93E">
      <w:pPr>
        <w:pStyle w:val="9"/>
        <w:keepNext w:val="0"/>
        <w:keepLines w:val="0"/>
        <w:pageBreakBefore w:val="0"/>
        <w:tabs>
          <w:tab w:val="left" w:pos="540"/>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14:textFill>
            <w14:solidFill>
              <w14:schemeClr w14:val="tx1"/>
            </w14:solidFill>
          </w14:textFill>
        </w:rPr>
        <w:t>.所供食品必须符合国家行业生产及经营标准，货真价实，并能提供相应批次的检验合格证明（如动物检疫证、产品检验合格证等凭据）。</w:t>
      </w:r>
    </w:p>
    <w:p w14:paraId="1555B397">
      <w:pPr>
        <w:keepNext w:val="0"/>
        <w:keepLines w:val="0"/>
        <w:pageBreakBefore w:val="0"/>
        <w:widowControl/>
        <w:tabs>
          <w:tab w:val="left" w:pos="502"/>
          <w:tab w:val="left" w:pos="753"/>
          <w:tab w:val="left" w:pos="840"/>
        </w:tabs>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三、食品配送要求</w:t>
      </w:r>
    </w:p>
    <w:p w14:paraId="0CA66937">
      <w:pPr>
        <w:keepNext w:val="0"/>
        <w:keepLines w:val="0"/>
        <w:pageBreakBefore w:val="0"/>
        <w:widowControl/>
        <w:tabs>
          <w:tab w:val="left" w:pos="502"/>
          <w:tab w:val="left" w:pos="753"/>
          <w:tab w:val="left" w:pos="840"/>
        </w:tabs>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1. 包装与标志要求</w:t>
      </w:r>
    </w:p>
    <w:p w14:paraId="68638E6A">
      <w:pPr>
        <w:keepNext w:val="0"/>
        <w:keepLines w:val="0"/>
        <w:pageBreakBefore w:val="0"/>
        <w:widowControl/>
        <w:tabs>
          <w:tab w:val="left" w:pos="502"/>
          <w:tab w:val="left" w:pos="753"/>
          <w:tab w:val="left" w:pos="840"/>
        </w:tabs>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1.1 包装：容器</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框、箱、袋</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要求清洁、干燥、牢固、透气，无污染、无异味、无霉变现象。</w:t>
      </w:r>
    </w:p>
    <w:p w14:paraId="4EB91749">
      <w:pPr>
        <w:keepNext w:val="0"/>
        <w:keepLines w:val="0"/>
        <w:pageBreakBefore w:val="0"/>
        <w:widowControl/>
        <w:tabs>
          <w:tab w:val="left" w:pos="502"/>
          <w:tab w:val="left" w:pos="753"/>
          <w:tab w:val="left" w:pos="840"/>
        </w:tabs>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1.2 标志：每件食品包装必须按《农产品包装和标识管理办法》贴标签，并标明产地、品种、净含量、生产单位、地址和采收日期等。</w:t>
      </w:r>
    </w:p>
    <w:p w14:paraId="1DA8CFE0">
      <w:pPr>
        <w:keepNext w:val="0"/>
        <w:keepLines w:val="0"/>
        <w:pageBreakBefore w:val="0"/>
        <w:widowControl/>
        <w:tabs>
          <w:tab w:val="left" w:pos="502"/>
          <w:tab w:val="left" w:pos="753"/>
          <w:tab w:val="left" w:pos="840"/>
        </w:tabs>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2. 食品运输要求</w:t>
      </w:r>
    </w:p>
    <w:p w14:paraId="339CC698">
      <w:pPr>
        <w:keepNext w:val="0"/>
        <w:keepLines w:val="0"/>
        <w:pageBreakBefore w:val="0"/>
        <w:widowControl/>
        <w:tabs>
          <w:tab w:val="left" w:pos="502"/>
          <w:tab w:val="left" w:pos="753"/>
          <w:tab w:val="left" w:pos="840"/>
        </w:tabs>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2.1 运输工具应清洁卫生无污染，并且要保持清洁和定期消毒。</w:t>
      </w:r>
    </w:p>
    <w:p w14:paraId="7DEBD070">
      <w:pPr>
        <w:numPr>
          <w:ilvl w:val="0"/>
          <w:numId w:val="0"/>
        </w:num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四</w:t>
      </w:r>
      <w:r>
        <w:rPr>
          <w:rFonts w:hint="eastAsia" w:ascii="宋体" w:hAnsi="宋体" w:eastAsia="宋体" w:cs="宋体"/>
          <w:b/>
          <w:bCs/>
          <w:color w:val="000000" w:themeColor="text1"/>
          <w:highlight w:val="none"/>
          <w:lang w:eastAsia="zh-CN"/>
          <w14:textFill>
            <w14:solidFill>
              <w14:schemeClr w14:val="tx1"/>
            </w14:solidFill>
          </w14:textFill>
        </w:rPr>
        <w:t>、配送服务要求</w:t>
      </w:r>
    </w:p>
    <w:p w14:paraId="646E27B4">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1.采购人提前一天以邮件、传真或电话的方式向中标供应商下订单，订单内容包括所要采购的名称、规格、数量等。</w:t>
      </w:r>
    </w:p>
    <w:p w14:paraId="524F72FB">
      <w:pPr>
        <w:numPr>
          <w:ilvl w:val="0"/>
          <w:numId w:val="0"/>
        </w:num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2.采购人根据自身的需求。有权终止某类包组中的某些货物的采购或变更某类货物的采</w:t>
      </w:r>
      <w:r>
        <w:rPr>
          <w:rFonts w:hint="eastAsia" w:ascii="宋体" w:hAnsi="宋体" w:eastAsia="宋体" w:cs="宋体"/>
          <w:color w:val="000000" w:themeColor="text1"/>
          <w:highlight w:val="none"/>
          <w:lang w:val="en-US" w:eastAsia="zh-CN"/>
          <w14:textFill>
            <w14:solidFill>
              <w14:schemeClr w14:val="tx1"/>
            </w14:solidFill>
          </w14:textFill>
        </w:rPr>
        <w:t>购。</w:t>
      </w:r>
    </w:p>
    <w:p w14:paraId="7A67D3CF">
      <w:pPr>
        <w:numPr>
          <w:ilvl w:val="0"/>
          <w:numId w:val="0"/>
        </w:num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3.在采购人未签收之前，食品的所有权和风险属于中标供应商，食品发生遗失、损坏由中标供应商</w:t>
      </w:r>
      <w:r>
        <w:rPr>
          <w:rFonts w:hint="eastAsia" w:ascii="宋体" w:hAnsi="宋体" w:eastAsia="宋体" w:cs="宋体"/>
          <w:color w:val="000000" w:themeColor="text1"/>
          <w:highlight w:val="none"/>
          <w:lang w:val="en-US" w:eastAsia="zh-CN"/>
          <w14:textFill>
            <w14:solidFill>
              <w14:schemeClr w14:val="tx1"/>
            </w14:solidFill>
          </w14:textFill>
        </w:rPr>
        <w:t>负责。</w:t>
      </w:r>
    </w:p>
    <w:p w14:paraId="42EFA9BF">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4.中标供应商根据采购人实际要求运送食品，按采购人要求进行加工。</w:t>
      </w:r>
    </w:p>
    <w:p w14:paraId="528454D4">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5.中标供应商应当根据采购人实际情况。按与采购人的</w:t>
      </w:r>
      <w:r>
        <w:rPr>
          <w:rFonts w:hint="eastAsia" w:ascii="宋体" w:hAnsi="宋体" w:eastAsia="宋体" w:cs="宋体"/>
          <w:color w:val="000000" w:themeColor="text1"/>
          <w:highlight w:val="none"/>
          <w:lang w:val="en-US" w:eastAsia="zh-CN"/>
          <w14:textFill>
            <w14:solidFill>
              <w14:schemeClr w14:val="tx1"/>
            </w14:solidFill>
          </w14:textFill>
        </w:rPr>
        <w:t>约</w:t>
      </w:r>
      <w:r>
        <w:rPr>
          <w:rFonts w:hint="eastAsia" w:ascii="宋体" w:hAnsi="宋体" w:eastAsia="宋体" w:cs="宋体"/>
          <w:color w:val="000000" w:themeColor="text1"/>
          <w:highlight w:val="none"/>
          <w:lang w:eastAsia="zh-CN"/>
          <w14:textFill>
            <w14:solidFill>
              <w14:schemeClr w14:val="tx1"/>
            </w14:solidFill>
          </w14:textFill>
        </w:rPr>
        <w:t>定，在规定的时间内将规定的食品数量送到采购人指定地点。除客观不可抗力外，中标供应商不得推迟送货。如确需延迟送货的，中标供应商应在得知情况的同时告知采购人并征得采购人同意。因中标供应商原因逾</w:t>
      </w:r>
      <w:r>
        <w:rPr>
          <w:rFonts w:hint="eastAsia" w:ascii="宋体" w:hAnsi="宋体" w:eastAsia="宋体" w:cs="宋体"/>
          <w:color w:val="000000" w:themeColor="text1"/>
          <w:highlight w:val="none"/>
          <w:lang w:val="en-US" w:eastAsia="zh-CN"/>
          <w14:textFill>
            <w14:solidFill>
              <w14:schemeClr w14:val="tx1"/>
            </w14:solidFill>
          </w14:textFill>
        </w:rPr>
        <w:t>期</w:t>
      </w:r>
      <w:r>
        <w:rPr>
          <w:rFonts w:hint="eastAsia" w:ascii="宋体" w:hAnsi="宋体" w:eastAsia="宋体" w:cs="宋体"/>
          <w:color w:val="000000" w:themeColor="text1"/>
          <w:highlight w:val="none"/>
          <w:lang w:eastAsia="zh-CN"/>
          <w14:textFill>
            <w14:solidFill>
              <w14:schemeClr w14:val="tx1"/>
            </w14:solidFill>
          </w14:textFill>
        </w:rPr>
        <w:t>交货，采购人有权自行采购，并由中标供应商承担由此产生的一切损失和费用。采购人可直接在</w:t>
      </w:r>
      <w:r>
        <w:rPr>
          <w:rFonts w:hint="eastAsia" w:ascii="宋体" w:hAnsi="宋体" w:eastAsia="宋体" w:cs="宋体"/>
          <w:color w:val="000000" w:themeColor="text1"/>
          <w:highlight w:val="none"/>
          <w:lang w:val="en-US" w:eastAsia="zh-CN"/>
          <w14:textFill>
            <w14:solidFill>
              <w14:schemeClr w14:val="tx1"/>
            </w14:solidFill>
          </w14:textFill>
        </w:rPr>
        <w:t>履</w:t>
      </w:r>
      <w:r>
        <w:rPr>
          <w:rFonts w:hint="eastAsia" w:ascii="宋体" w:hAnsi="宋体" w:eastAsia="宋体" w:cs="宋体"/>
          <w:color w:val="000000" w:themeColor="text1"/>
          <w:highlight w:val="none"/>
          <w:lang w:eastAsia="zh-CN"/>
          <w14:textFill>
            <w14:solidFill>
              <w14:schemeClr w14:val="tx1"/>
            </w14:solidFill>
          </w14:textFill>
        </w:rPr>
        <w:t>约保证金中扣除。</w:t>
      </w:r>
    </w:p>
    <w:p w14:paraId="3508C2C8">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6.若采购人临时修改订单内容的，中标供应商必须在接到通知后的60分钟内将食品</w:t>
      </w:r>
      <w:r>
        <w:rPr>
          <w:rFonts w:hint="eastAsia" w:ascii="宋体" w:hAnsi="宋体" w:eastAsia="宋体" w:cs="宋体"/>
          <w:color w:val="000000" w:themeColor="text1"/>
          <w:highlight w:val="none"/>
          <w:lang w:val="en-US" w:eastAsia="zh-CN"/>
          <w14:textFill>
            <w14:solidFill>
              <w14:schemeClr w14:val="tx1"/>
            </w14:solidFill>
          </w14:textFill>
        </w:rPr>
        <w:t>送</w:t>
      </w:r>
      <w:r>
        <w:rPr>
          <w:rFonts w:hint="eastAsia" w:ascii="宋体" w:hAnsi="宋体" w:eastAsia="宋体" w:cs="宋体"/>
          <w:color w:val="000000" w:themeColor="text1"/>
          <w:highlight w:val="none"/>
          <w:lang w:eastAsia="zh-CN"/>
          <w14:textFill>
            <w14:solidFill>
              <w14:schemeClr w14:val="tx1"/>
            </w14:solidFill>
          </w14:textFill>
        </w:rPr>
        <w:t>达，经采购人验收核对后才算完成。</w:t>
      </w:r>
    </w:p>
    <w:p w14:paraId="2E6A6EFC">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7.除客观不可抗力外，中标供应商不得更改送货内容（包</w:t>
      </w:r>
      <w:bookmarkStart w:id="120" w:name="_GoBack"/>
      <w:bookmarkEnd w:id="120"/>
      <w:r>
        <w:rPr>
          <w:rFonts w:hint="eastAsia" w:ascii="宋体" w:hAnsi="宋体" w:eastAsia="宋体" w:cs="宋体"/>
          <w:color w:val="000000" w:themeColor="text1"/>
          <w:highlight w:val="none"/>
          <w:lang w:eastAsia="zh-CN"/>
          <w14:textFill>
            <w14:solidFill>
              <w14:schemeClr w14:val="tx1"/>
            </w14:solidFill>
          </w14:textFill>
        </w:rPr>
        <w:t>括但不限于商标、名称、产地、包装、规格和重量）。如确需变更供货内容的，中标供应商应在得知情况的同时告知采购人并征得采购人同意，双方一致同意。如中标供应商有私自更改订单中货品行为属于严重违约，采购人有权要求中标供应商更换或视同中标供应商逾期交货，中标供应商须向采购人承担相应的违</w:t>
      </w:r>
      <w:r>
        <w:rPr>
          <w:rFonts w:hint="eastAsia" w:ascii="宋体" w:hAnsi="宋体" w:eastAsia="宋体" w:cs="宋体"/>
          <w:color w:val="000000" w:themeColor="text1"/>
          <w:highlight w:val="none"/>
          <w:lang w:val="en-US" w:eastAsia="zh-CN"/>
          <w14:textFill>
            <w14:solidFill>
              <w14:schemeClr w14:val="tx1"/>
            </w14:solidFill>
          </w14:textFill>
        </w:rPr>
        <w:t>约</w:t>
      </w:r>
      <w:r>
        <w:rPr>
          <w:rFonts w:hint="eastAsia" w:ascii="宋体" w:hAnsi="宋体" w:eastAsia="宋体" w:cs="宋体"/>
          <w:color w:val="000000" w:themeColor="text1"/>
          <w:highlight w:val="none"/>
          <w:lang w:eastAsia="zh-CN"/>
          <w14:textFill>
            <w14:solidFill>
              <w14:schemeClr w14:val="tx1"/>
            </w14:solidFill>
          </w14:textFill>
        </w:rPr>
        <w:t>责任。</w:t>
      </w:r>
    </w:p>
    <w:p w14:paraId="04B4585D">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8.中标供应商的送货单必须详细注明货物的品牌、型号、单价、数量，送货单不得涂改。标记不清的，采购人将拒绝签收。结算期末中标供应商还应提供</w:t>
      </w:r>
      <w:r>
        <w:rPr>
          <w:rFonts w:hint="eastAsia" w:ascii="宋体" w:hAnsi="宋体" w:eastAsia="宋体" w:cs="宋体"/>
          <w:color w:val="000000" w:themeColor="text1"/>
          <w:highlight w:val="none"/>
          <w:lang w:val="en-US" w:eastAsia="zh-CN"/>
          <w14:textFill>
            <w14:solidFill>
              <w14:schemeClr w14:val="tx1"/>
            </w14:solidFill>
          </w14:textFill>
        </w:rPr>
        <w:t>送</w:t>
      </w:r>
      <w:r>
        <w:rPr>
          <w:rFonts w:hint="eastAsia" w:ascii="宋体" w:hAnsi="宋体" w:eastAsia="宋体" w:cs="宋体"/>
          <w:color w:val="000000" w:themeColor="text1"/>
          <w:highlight w:val="none"/>
          <w:lang w:eastAsia="zh-CN"/>
          <w14:textFill>
            <w14:solidFill>
              <w14:schemeClr w14:val="tx1"/>
            </w14:solidFill>
          </w14:textFill>
        </w:rPr>
        <w:t>货清单供采购人结算。</w:t>
      </w:r>
    </w:p>
    <w:p w14:paraId="05B8B390">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9.采购人发现食品变质不能食用或在保质期内出现包装损坏的，中标供应商承诺无条件退换。因退换货产生的费用由中标供应商负责，同时中标供应商需采购人承担相应的违</w:t>
      </w:r>
      <w:r>
        <w:rPr>
          <w:rFonts w:hint="eastAsia" w:ascii="宋体" w:hAnsi="宋体" w:eastAsia="宋体" w:cs="宋体"/>
          <w:color w:val="000000" w:themeColor="text1"/>
          <w:highlight w:val="none"/>
          <w:lang w:val="en-US" w:eastAsia="zh-CN"/>
          <w14:textFill>
            <w14:solidFill>
              <w14:schemeClr w14:val="tx1"/>
            </w14:solidFill>
          </w14:textFill>
        </w:rPr>
        <w:t>约</w:t>
      </w:r>
      <w:r>
        <w:rPr>
          <w:rFonts w:hint="eastAsia" w:ascii="宋体" w:hAnsi="宋体" w:eastAsia="宋体" w:cs="宋体"/>
          <w:color w:val="000000" w:themeColor="text1"/>
          <w:highlight w:val="none"/>
          <w:lang w:eastAsia="zh-CN"/>
          <w14:textFill>
            <w14:solidFill>
              <w14:schemeClr w14:val="tx1"/>
            </w14:solidFill>
          </w14:textFill>
        </w:rPr>
        <w:t>责任。</w:t>
      </w:r>
    </w:p>
    <w:p w14:paraId="2F168A30">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10.每次配送中标供应商必须安排配送员及配送专车。配送员负责货物的运输、过</w:t>
      </w:r>
      <w:r>
        <w:rPr>
          <w:rFonts w:hint="eastAsia" w:ascii="宋体" w:hAnsi="宋体" w:eastAsia="宋体" w:cs="宋体"/>
          <w:color w:val="000000" w:themeColor="text1"/>
          <w:highlight w:val="none"/>
          <w:lang w:val="en-US" w:eastAsia="zh-CN"/>
          <w14:textFill>
            <w14:solidFill>
              <w14:schemeClr w14:val="tx1"/>
            </w14:solidFill>
          </w14:textFill>
        </w:rPr>
        <w:t>程</w:t>
      </w:r>
      <w:r>
        <w:rPr>
          <w:rFonts w:hint="eastAsia" w:ascii="宋体" w:hAnsi="宋体" w:eastAsia="宋体" w:cs="宋体"/>
          <w:color w:val="000000" w:themeColor="text1"/>
          <w:highlight w:val="none"/>
          <w:lang w:eastAsia="zh-CN"/>
          <w14:textFill>
            <w14:solidFill>
              <w14:schemeClr w14:val="tx1"/>
            </w14:solidFill>
          </w14:textFill>
        </w:rPr>
        <w:t>，并协助采购人验收食品，货物的品种和重量以采购人验收的结果为准。中标供应商必须保证安全卸货且送往采购人指定的卸货区域，运输车辆为带有不锈钢尾板的</w:t>
      </w:r>
      <w:r>
        <w:rPr>
          <w:rFonts w:hint="eastAsia" w:ascii="宋体" w:hAnsi="宋体" w:eastAsia="宋体" w:cs="宋体"/>
          <w:color w:val="000000" w:themeColor="text1"/>
          <w:highlight w:val="none"/>
          <w:lang w:val="en-US" w:eastAsia="zh-CN"/>
          <w14:textFill>
            <w14:solidFill>
              <w14:schemeClr w14:val="tx1"/>
            </w14:solidFill>
          </w14:textFill>
        </w:rPr>
        <w:t>冷藏</w:t>
      </w:r>
      <w:r>
        <w:rPr>
          <w:rFonts w:hint="eastAsia" w:ascii="宋体" w:hAnsi="宋体" w:eastAsia="宋体" w:cs="宋体"/>
          <w:color w:val="000000" w:themeColor="text1"/>
          <w:highlight w:val="none"/>
          <w:lang w:eastAsia="zh-CN"/>
          <w14:textFill>
            <w14:solidFill>
              <w14:schemeClr w14:val="tx1"/>
            </w14:solidFill>
          </w14:textFill>
        </w:rPr>
        <w:t>车。</w:t>
      </w:r>
    </w:p>
    <w:p w14:paraId="7364D88D">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11.中标供应商指定的配送专员必须具有健康证、穿着便于辨认的工衣和佩戴胸卡，配送专员在校内活动必须严格</w:t>
      </w:r>
      <w:r>
        <w:rPr>
          <w:rFonts w:hint="eastAsia" w:ascii="宋体" w:hAnsi="宋体" w:eastAsia="宋体" w:cs="宋体"/>
          <w:color w:val="000000" w:themeColor="text1"/>
          <w:highlight w:val="none"/>
          <w:lang w:val="en-US" w:eastAsia="zh-CN"/>
          <w14:textFill>
            <w14:solidFill>
              <w14:schemeClr w14:val="tx1"/>
            </w14:solidFill>
          </w14:textFill>
        </w:rPr>
        <w:t>遵守</w:t>
      </w:r>
      <w:r>
        <w:rPr>
          <w:rFonts w:hint="eastAsia" w:ascii="宋体" w:hAnsi="宋体" w:eastAsia="宋体" w:cs="宋体"/>
          <w:color w:val="000000" w:themeColor="text1"/>
          <w:highlight w:val="none"/>
          <w:lang w:eastAsia="zh-CN"/>
          <w14:textFill>
            <w14:solidFill>
              <w14:schemeClr w14:val="tx1"/>
            </w14:solidFill>
          </w14:textFill>
        </w:rPr>
        <w:t>采购人各项规章制度，不得做出有损采购人形象和利益的事情。中标供应商应将配送专员的名单向采购人登记，若有变更的，应向采购人作出变更登记。</w:t>
      </w:r>
    </w:p>
    <w:p w14:paraId="3B46E593">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12.进入校区的配送车必须为已在采购人登记备案车辆。同时，中标供应商应将送货的时间与送货的路线向采购人登记，记内容如有发生变更的，应向采购人作出变更登记。</w:t>
      </w:r>
    </w:p>
    <w:p w14:paraId="4D8A73B0">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13.配送车进入校区后车</w:t>
      </w:r>
      <w:r>
        <w:rPr>
          <w:rFonts w:hint="eastAsia" w:ascii="宋体" w:hAnsi="宋体" w:eastAsia="宋体" w:cs="宋体"/>
          <w:color w:val="000000" w:themeColor="text1"/>
          <w:highlight w:val="none"/>
          <w:lang w:val="en-US" w:eastAsia="zh-CN"/>
          <w14:textFill>
            <w14:solidFill>
              <w14:schemeClr w14:val="tx1"/>
            </w14:solidFill>
          </w14:textFill>
        </w:rPr>
        <w:t>速</w:t>
      </w:r>
      <w:r>
        <w:rPr>
          <w:rFonts w:hint="eastAsia" w:ascii="宋体" w:hAnsi="宋体" w:eastAsia="宋体" w:cs="宋体"/>
          <w:color w:val="000000" w:themeColor="text1"/>
          <w:highlight w:val="none"/>
          <w:lang w:eastAsia="zh-CN"/>
          <w14:textFill>
            <w14:solidFill>
              <w14:schemeClr w14:val="tx1"/>
            </w14:solidFill>
          </w14:textFill>
        </w:rPr>
        <w:t>不得超过5KM，配送车辆在校区内应主动避让师生，如属中标供应商车辆责任造成校内人员（师生）事故的，一切责任由中标供应商承担。</w:t>
      </w:r>
    </w:p>
    <w:p w14:paraId="49012F61">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14.中标供应商应能够配合采购人及时更新所提供的符合卫监部门的有效证明材料。如有效的营业执照、产品合格证、食品经营许可证等。</w:t>
      </w:r>
    </w:p>
    <w:p w14:paraId="490759DD">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15.中标供应商不得</w:t>
      </w:r>
      <w:r>
        <w:rPr>
          <w:rFonts w:hint="eastAsia" w:ascii="宋体" w:hAnsi="宋体" w:eastAsia="宋体" w:cs="宋体"/>
          <w:color w:val="000000" w:themeColor="text1"/>
          <w:highlight w:val="none"/>
          <w:lang w:val="en-US" w:eastAsia="zh-CN"/>
          <w14:textFill>
            <w14:solidFill>
              <w14:schemeClr w14:val="tx1"/>
            </w14:solidFill>
          </w14:textFill>
        </w:rPr>
        <w:t>泄</w:t>
      </w:r>
      <w:r>
        <w:rPr>
          <w:rFonts w:hint="eastAsia" w:ascii="宋体" w:hAnsi="宋体" w:eastAsia="宋体" w:cs="宋体"/>
          <w:color w:val="000000" w:themeColor="text1"/>
          <w:highlight w:val="none"/>
          <w:lang w:eastAsia="zh-CN"/>
          <w14:textFill>
            <w14:solidFill>
              <w14:schemeClr w14:val="tx1"/>
            </w14:solidFill>
          </w14:textFill>
        </w:rPr>
        <w:t>露采购人的商业秘密。</w:t>
      </w:r>
      <w:r>
        <w:rPr>
          <w:rFonts w:hint="eastAsia" w:ascii="宋体" w:hAnsi="宋体" w:eastAsia="宋体" w:cs="宋体"/>
          <w:color w:val="000000" w:themeColor="text1"/>
          <w:highlight w:val="none"/>
          <w:lang w:val="en-US" w:eastAsia="zh-CN"/>
          <w14:textFill>
            <w14:solidFill>
              <w14:schemeClr w14:val="tx1"/>
            </w14:solidFill>
          </w14:textFill>
        </w:rPr>
        <w:t>泄</w:t>
      </w:r>
      <w:r>
        <w:rPr>
          <w:rFonts w:hint="eastAsia" w:ascii="宋体" w:hAnsi="宋体" w:eastAsia="宋体" w:cs="宋体"/>
          <w:color w:val="000000" w:themeColor="text1"/>
          <w:highlight w:val="none"/>
          <w:lang w:eastAsia="zh-CN"/>
          <w14:textFill>
            <w14:solidFill>
              <w14:schemeClr w14:val="tx1"/>
            </w14:solidFill>
          </w14:textFill>
        </w:rPr>
        <w:t>密造成采购人损失的，中标供应商将承担由此产生的一切损失和法律责任。</w:t>
      </w:r>
    </w:p>
    <w:p w14:paraId="0FB16BCA">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16.中标供应商的工作人员在履行合同的过程中发生人身损害事故的。相应的责任与损失由中标供应商自行承担；中标供应商的工作人员因履行合同造成采购人财产损失或采购人师生人员损害的，中标供应商承担连带责任。</w:t>
      </w:r>
    </w:p>
    <w:p w14:paraId="7228229E">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17.如中标供应商在履行合同的过程中有不正当竞争行为的，采购人有权解除服务合同，没收中标供应商全部</w:t>
      </w:r>
      <w:r>
        <w:rPr>
          <w:rFonts w:hint="eastAsia" w:ascii="宋体" w:hAnsi="宋体" w:eastAsia="宋体" w:cs="宋体"/>
          <w:color w:val="000000" w:themeColor="text1"/>
          <w:highlight w:val="none"/>
          <w:lang w:val="en-US" w:eastAsia="zh-CN"/>
          <w14:textFill>
            <w14:solidFill>
              <w14:schemeClr w14:val="tx1"/>
            </w14:solidFill>
          </w14:textFill>
        </w:rPr>
        <w:t>履约</w:t>
      </w:r>
      <w:r>
        <w:rPr>
          <w:rFonts w:hint="eastAsia" w:ascii="宋体" w:hAnsi="宋体" w:eastAsia="宋体" w:cs="宋体"/>
          <w:color w:val="000000" w:themeColor="text1"/>
          <w:highlight w:val="none"/>
          <w:lang w:eastAsia="zh-CN"/>
          <w14:textFill>
            <w14:solidFill>
              <w14:schemeClr w14:val="tx1"/>
            </w14:solidFill>
          </w14:textFill>
        </w:rPr>
        <w:t>保证金。并按《中华人民共和国反不正当竞争法》的规定由相关部门追究其法律责任。</w:t>
      </w:r>
    </w:p>
    <w:p w14:paraId="5033ACF4">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18、每季度定期或不定期接受主管部门、职能部门委托的第三方检测机构的抽样检验以上所产生的所有费用，均由中标供应商负担。</w:t>
      </w:r>
    </w:p>
    <w:p w14:paraId="0F2B9EAD">
      <w:pPr>
        <w:numPr>
          <w:ilvl w:val="0"/>
          <w:numId w:val="0"/>
        </w:num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五</w:t>
      </w:r>
      <w:r>
        <w:rPr>
          <w:rFonts w:hint="eastAsia" w:ascii="宋体" w:hAnsi="宋体" w:eastAsia="宋体" w:cs="宋体"/>
          <w:b/>
          <w:bCs/>
          <w:color w:val="000000" w:themeColor="text1"/>
          <w:highlight w:val="none"/>
          <w:lang w:eastAsia="zh-CN"/>
          <w14:textFill>
            <w14:solidFill>
              <w14:schemeClr w14:val="tx1"/>
            </w14:solidFill>
          </w14:textFill>
        </w:rPr>
        <w:t>、配送车辆及运</w:t>
      </w:r>
      <w:r>
        <w:rPr>
          <w:rFonts w:hint="eastAsia" w:ascii="宋体" w:hAnsi="宋体" w:eastAsia="宋体" w:cs="宋体"/>
          <w:b/>
          <w:bCs/>
          <w:color w:val="000000" w:themeColor="text1"/>
          <w:highlight w:val="none"/>
          <w:lang w:val="en-US" w:eastAsia="zh-CN"/>
          <w14:textFill>
            <w14:solidFill>
              <w14:schemeClr w14:val="tx1"/>
            </w14:solidFill>
          </w14:textFill>
        </w:rPr>
        <w:t>载</w:t>
      </w:r>
      <w:r>
        <w:rPr>
          <w:rFonts w:hint="eastAsia" w:ascii="宋体" w:hAnsi="宋体" w:eastAsia="宋体" w:cs="宋体"/>
          <w:b/>
          <w:bCs/>
          <w:color w:val="000000" w:themeColor="text1"/>
          <w:highlight w:val="none"/>
          <w:lang w:eastAsia="zh-CN"/>
          <w14:textFill>
            <w14:solidFill>
              <w14:schemeClr w14:val="tx1"/>
            </w14:solidFill>
          </w14:textFill>
        </w:rPr>
        <w:t>工具要求</w:t>
      </w:r>
    </w:p>
    <w:p w14:paraId="79E91402">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1.食品运输必须采用符合卫生标准的外包装和运载工具，所有运</w:t>
      </w:r>
      <w:r>
        <w:rPr>
          <w:rFonts w:hint="eastAsia" w:ascii="宋体" w:hAnsi="宋体" w:eastAsia="宋体" w:cs="宋体"/>
          <w:color w:val="000000" w:themeColor="text1"/>
          <w:highlight w:val="none"/>
          <w:lang w:val="en-US" w:eastAsia="zh-CN"/>
          <w14:textFill>
            <w14:solidFill>
              <w14:schemeClr w14:val="tx1"/>
            </w14:solidFill>
          </w14:textFill>
        </w:rPr>
        <w:t>输</w:t>
      </w:r>
      <w:r>
        <w:rPr>
          <w:rFonts w:hint="eastAsia" w:ascii="宋体" w:hAnsi="宋体" w:eastAsia="宋体" w:cs="宋体"/>
          <w:color w:val="000000" w:themeColor="text1"/>
          <w:highlight w:val="none"/>
          <w:lang w:eastAsia="zh-CN"/>
          <w14:textFill>
            <w14:solidFill>
              <w14:schemeClr w14:val="tx1"/>
            </w14:solidFill>
          </w14:textFill>
        </w:rPr>
        <w:t>工具都要保持干净。</w:t>
      </w:r>
    </w:p>
    <w:p w14:paraId="7EC6EF63">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2.配送车辆专车专用，车身有明确的公司标识。车厢的内仓，包括地面、墙面和顶，应使用抗腐蚀、防潮，易清洁消毒的材料。车厢内无不良气味、异味。</w:t>
      </w:r>
    </w:p>
    <w:p w14:paraId="1426F901">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3.整个运输过程应科学合理，保持性能稳定，符合规定的温度要求，使运输食品处于恒定的环境中。</w:t>
      </w:r>
    </w:p>
    <w:p w14:paraId="3B50CD10">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4.车厢内外应保持清洁</w:t>
      </w:r>
      <w:r>
        <w:rPr>
          <w:rFonts w:hint="eastAsia" w:ascii="宋体" w:hAnsi="宋体" w:eastAsia="宋体" w:cs="宋体"/>
          <w:color w:val="000000" w:themeColor="text1"/>
          <w:highlight w:val="none"/>
          <w:lang w:val="en-US" w:eastAsia="zh-CN"/>
          <w14:textFill>
            <w14:solidFill>
              <w14:schemeClr w14:val="tx1"/>
            </w14:solidFill>
          </w14:textFill>
        </w:rPr>
        <w:t>并</w:t>
      </w:r>
      <w:r>
        <w:rPr>
          <w:rFonts w:hint="eastAsia" w:ascii="宋体" w:hAnsi="宋体" w:eastAsia="宋体" w:cs="宋体"/>
          <w:color w:val="000000" w:themeColor="text1"/>
          <w:highlight w:val="none"/>
          <w:lang w:eastAsia="zh-CN"/>
          <w14:textFill>
            <w14:solidFill>
              <w14:schemeClr w14:val="tx1"/>
            </w14:solidFill>
          </w14:textFill>
        </w:rPr>
        <w:t>定期消毒，食品堆放科学合理，避免造成食品的交叉</w:t>
      </w:r>
      <w:r>
        <w:rPr>
          <w:rFonts w:hint="eastAsia" w:ascii="宋体" w:hAnsi="宋体" w:eastAsia="宋体" w:cs="宋体"/>
          <w:color w:val="000000" w:themeColor="text1"/>
          <w:highlight w:val="none"/>
          <w:lang w:val="en-US" w:eastAsia="zh-CN"/>
          <w14:textFill>
            <w14:solidFill>
              <w14:schemeClr w14:val="tx1"/>
            </w14:solidFill>
          </w14:textFill>
        </w:rPr>
        <w:t>污染。</w:t>
      </w:r>
      <w:r>
        <w:rPr>
          <w:rFonts w:hint="eastAsia" w:ascii="宋体" w:hAnsi="宋体" w:eastAsia="宋体" w:cs="宋体"/>
          <w:color w:val="000000" w:themeColor="text1"/>
          <w:highlight w:val="none"/>
          <w:lang w:eastAsia="zh-CN"/>
          <w14:textFill>
            <w14:solidFill>
              <w14:schemeClr w14:val="tx1"/>
            </w14:solidFill>
          </w14:textFill>
        </w:rPr>
        <w:t>如对温度有要求的食品应确定食品的温度，记</w:t>
      </w:r>
      <w:r>
        <w:rPr>
          <w:rFonts w:hint="eastAsia" w:ascii="宋体" w:hAnsi="宋体" w:eastAsia="宋体" w:cs="宋体"/>
          <w:color w:val="000000" w:themeColor="text1"/>
          <w:highlight w:val="none"/>
          <w:lang w:val="en-US" w:eastAsia="zh-CN"/>
          <w14:textFill>
            <w14:solidFill>
              <w14:schemeClr w14:val="tx1"/>
            </w14:solidFill>
          </w14:textFill>
        </w:rPr>
        <w:t>录</w:t>
      </w:r>
      <w:r>
        <w:rPr>
          <w:rFonts w:hint="eastAsia" w:ascii="宋体" w:hAnsi="宋体" w:eastAsia="宋体" w:cs="宋体"/>
          <w:color w:val="000000" w:themeColor="text1"/>
          <w:highlight w:val="none"/>
          <w:lang w:eastAsia="zh-CN"/>
          <w14:textFill>
            <w14:solidFill>
              <w14:schemeClr w14:val="tx1"/>
            </w14:solidFill>
          </w14:textFill>
        </w:rPr>
        <w:t>送货车辆温度，并记录存档。</w:t>
      </w:r>
    </w:p>
    <w:p w14:paraId="72AAD24A">
      <w:pPr>
        <w:numPr>
          <w:ilvl w:val="0"/>
          <w:numId w:val="0"/>
        </w:num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5.配送车辆实行一小时配送</w:t>
      </w:r>
      <w:r>
        <w:rPr>
          <w:rFonts w:hint="eastAsia" w:ascii="宋体" w:hAnsi="宋体" w:eastAsia="宋体" w:cs="宋体"/>
          <w:color w:val="000000" w:themeColor="text1"/>
          <w:highlight w:val="none"/>
          <w:lang w:val="en-US" w:eastAsia="zh-CN"/>
          <w14:textFill>
            <w14:solidFill>
              <w14:schemeClr w14:val="tx1"/>
            </w14:solidFill>
          </w14:textFill>
        </w:rPr>
        <w:t>圈</w:t>
      </w:r>
      <w:r>
        <w:rPr>
          <w:rFonts w:hint="eastAsia" w:ascii="宋体" w:hAnsi="宋体" w:eastAsia="宋体" w:cs="宋体"/>
          <w:color w:val="000000" w:themeColor="text1"/>
          <w:highlight w:val="none"/>
          <w:lang w:eastAsia="zh-CN"/>
          <w14:textFill>
            <w14:solidFill>
              <w14:schemeClr w14:val="tx1"/>
            </w14:solidFill>
          </w14:textFill>
        </w:rPr>
        <w:t>运作</w:t>
      </w:r>
      <w:r>
        <w:rPr>
          <w:rFonts w:hint="eastAsia" w:ascii="宋体" w:hAnsi="宋体" w:eastAsia="宋体" w:cs="宋体"/>
          <w:color w:val="000000" w:themeColor="text1"/>
          <w:highlight w:val="none"/>
          <w:lang w:val="en-US" w:eastAsia="zh-CN"/>
          <w14:textFill>
            <w14:solidFill>
              <w14:schemeClr w14:val="tx1"/>
            </w14:solidFill>
          </w14:textFill>
        </w:rPr>
        <w:t>。</w:t>
      </w:r>
    </w:p>
    <w:p w14:paraId="5900A776">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6.在配送卸货环节中应保证冷藏食品</w:t>
      </w:r>
      <w:r>
        <w:rPr>
          <w:rFonts w:hint="eastAsia" w:ascii="宋体" w:hAnsi="宋体" w:eastAsia="宋体" w:cs="宋体"/>
          <w:color w:val="000000" w:themeColor="text1"/>
          <w:highlight w:val="none"/>
          <w:lang w:val="en-US" w:eastAsia="zh-CN"/>
          <w14:textFill>
            <w14:solidFill>
              <w14:schemeClr w14:val="tx1"/>
            </w14:solidFill>
          </w14:textFill>
        </w:rPr>
        <w:t>脱离</w:t>
      </w:r>
      <w:r>
        <w:rPr>
          <w:rFonts w:hint="eastAsia" w:ascii="宋体" w:hAnsi="宋体" w:eastAsia="宋体" w:cs="宋体"/>
          <w:color w:val="000000" w:themeColor="text1"/>
          <w:highlight w:val="none"/>
          <w:lang w:eastAsia="zh-CN"/>
          <w14:textFill>
            <w14:solidFill>
              <w14:schemeClr w14:val="tx1"/>
            </w14:solidFill>
          </w14:textFill>
        </w:rPr>
        <w:t>冷链时间不超过20分钟。</w:t>
      </w:r>
    </w:p>
    <w:p w14:paraId="797746F6">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7.配送车辆内的食品应有包装</w:t>
      </w:r>
      <w:r>
        <w:rPr>
          <w:rFonts w:hint="eastAsia" w:ascii="宋体" w:hAnsi="宋体" w:eastAsia="宋体" w:cs="宋体"/>
          <w:color w:val="000000" w:themeColor="text1"/>
          <w:highlight w:val="none"/>
          <w:lang w:val="en-US" w:eastAsia="zh-CN"/>
          <w14:textFill>
            <w14:solidFill>
              <w14:schemeClr w14:val="tx1"/>
            </w14:solidFill>
          </w14:textFill>
        </w:rPr>
        <w:t>或</w:t>
      </w:r>
      <w:r>
        <w:rPr>
          <w:rFonts w:hint="eastAsia" w:ascii="宋体" w:hAnsi="宋体" w:eastAsia="宋体" w:cs="宋体"/>
          <w:color w:val="000000" w:themeColor="text1"/>
          <w:highlight w:val="none"/>
          <w:lang w:eastAsia="zh-CN"/>
          <w14:textFill>
            <w14:solidFill>
              <w14:schemeClr w14:val="tx1"/>
            </w14:solidFill>
          </w14:textFill>
        </w:rPr>
        <w:t>使用密闭容器盛放，容器材料应符合食品安全</w:t>
      </w:r>
      <w:r>
        <w:rPr>
          <w:rFonts w:hint="eastAsia" w:ascii="宋体" w:hAnsi="宋体" w:eastAsia="宋体" w:cs="宋体"/>
          <w:color w:val="000000" w:themeColor="text1"/>
          <w:highlight w:val="none"/>
          <w:lang w:val="en-US" w:eastAsia="zh-CN"/>
          <w14:textFill>
            <w14:solidFill>
              <w14:schemeClr w14:val="tx1"/>
            </w14:solidFill>
          </w14:textFill>
        </w:rPr>
        <w:t>国</w:t>
      </w:r>
      <w:r>
        <w:rPr>
          <w:rFonts w:hint="eastAsia" w:ascii="宋体" w:hAnsi="宋体" w:eastAsia="宋体" w:cs="宋体"/>
          <w:color w:val="000000" w:themeColor="text1"/>
          <w:highlight w:val="none"/>
          <w:lang w:eastAsia="zh-CN"/>
          <w14:textFill>
            <w14:solidFill>
              <w14:schemeClr w14:val="tx1"/>
            </w14:solidFill>
          </w14:textFill>
        </w:rPr>
        <w:t>家标准</w:t>
      </w:r>
      <w:r>
        <w:rPr>
          <w:rFonts w:hint="eastAsia" w:ascii="宋体" w:hAnsi="宋体" w:eastAsia="宋体" w:cs="宋体"/>
          <w:color w:val="000000" w:themeColor="text1"/>
          <w:highlight w:val="none"/>
          <w:lang w:val="en-US" w:eastAsia="zh-CN"/>
          <w14:textFill>
            <w14:solidFill>
              <w14:schemeClr w14:val="tx1"/>
            </w14:solidFill>
          </w14:textFill>
        </w:rPr>
        <w:t>或</w:t>
      </w:r>
      <w:r>
        <w:rPr>
          <w:rFonts w:hint="eastAsia" w:ascii="宋体" w:hAnsi="宋体" w:eastAsia="宋体" w:cs="宋体"/>
          <w:color w:val="000000" w:themeColor="text1"/>
          <w:highlight w:val="none"/>
          <w:lang w:eastAsia="zh-CN"/>
          <w14:textFill>
            <w14:solidFill>
              <w14:schemeClr w14:val="tx1"/>
            </w14:solidFill>
          </w14:textFill>
        </w:rPr>
        <w:t>有关规定，高危易腐食品应采用冷冻（</w:t>
      </w:r>
      <w:r>
        <w:rPr>
          <w:rFonts w:hint="eastAsia" w:ascii="宋体" w:hAnsi="宋体" w:eastAsia="宋体" w:cs="宋体"/>
          <w:color w:val="000000" w:themeColor="text1"/>
          <w:highlight w:val="none"/>
          <w:lang w:val="en-US" w:eastAsia="zh-CN"/>
          <w14:textFill>
            <w14:solidFill>
              <w14:schemeClr w14:val="tx1"/>
            </w14:solidFill>
          </w14:textFill>
        </w:rPr>
        <w:t>藏）</w:t>
      </w:r>
      <w:r>
        <w:rPr>
          <w:rFonts w:hint="eastAsia" w:ascii="宋体" w:hAnsi="宋体" w:eastAsia="宋体" w:cs="宋体"/>
          <w:color w:val="000000" w:themeColor="text1"/>
          <w:highlight w:val="none"/>
          <w:lang w:eastAsia="zh-CN"/>
          <w14:textFill>
            <w14:solidFill>
              <w14:schemeClr w14:val="tx1"/>
            </w14:solidFill>
          </w14:textFill>
        </w:rPr>
        <w:t>方式配</w:t>
      </w:r>
      <w:r>
        <w:rPr>
          <w:rFonts w:hint="eastAsia" w:ascii="宋体" w:hAnsi="宋体" w:eastAsia="宋体" w:cs="宋体"/>
          <w:color w:val="000000" w:themeColor="text1"/>
          <w:highlight w:val="none"/>
          <w:lang w:val="en-US" w:eastAsia="zh-CN"/>
          <w14:textFill>
            <w14:solidFill>
              <w14:schemeClr w14:val="tx1"/>
            </w14:solidFill>
          </w14:textFill>
        </w:rPr>
        <w:t>送</w:t>
      </w:r>
      <w:r>
        <w:rPr>
          <w:rFonts w:hint="eastAsia" w:ascii="宋体" w:hAnsi="宋体" w:eastAsia="宋体" w:cs="宋体"/>
          <w:color w:val="000000" w:themeColor="text1"/>
          <w:highlight w:val="none"/>
          <w:lang w:eastAsia="zh-CN"/>
          <w14:textFill>
            <w14:solidFill>
              <w14:schemeClr w14:val="tx1"/>
            </w14:solidFill>
          </w14:textFill>
        </w:rPr>
        <w:t>。</w:t>
      </w:r>
    </w:p>
    <w:p w14:paraId="2763A916">
      <w:pPr>
        <w:numPr>
          <w:ilvl w:val="0"/>
          <w:numId w:val="0"/>
        </w:num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六</w:t>
      </w:r>
      <w:r>
        <w:rPr>
          <w:rFonts w:hint="eastAsia" w:ascii="宋体" w:hAnsi="宋体" w:eastAsia="宋体" w:cs="宋体"/>
          <w:b/>
          <w:bCs/>
          <w:color w:val="000000" w:themeColor="text1"/>
          <w:highlight w:val="none"/>
          <w:lang w:eastAsia="zh-CN"/>
          <w14:textFill>
            <w14:solidFill>
              <w14:schemeClr w14:val="tx1"/>
            </w14:solidFill>
          </w14:textFill>
        </w:rPr>
        <w:t>、验收要求</w:t>
      </w:r>
    </w:p>
    <w:p w14:paraId="6470313A">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1.做好卸货前的检查。采购人和中标供应商双方的验收人员卸货前应对场地和验收设备做好准备。并对货物的外观质量进行初步了解。</w:t>
      </w:r>
    </w:p>
    <w:p w14:paraId="71733E0C">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2.采取现场验收的方式，双方验收人员应认真检查物资的质量，按索票、</w:t>
      </w:r>
      <w:r>
        <w:rPr>
          <w:rFonts w:hint="eastAsia" w:ascii="宋体" w:hAnsi="宋体" w:eastAsia="宋体" w:cs="宋体"/>
          <w:color w:val="000000" w:themeColor="text1"/>
          <w:highlight w:val="none"/>
          <w:lang w:val="en-US" w:eastAsia="zh-CN"/>
          <w14:textFill>
            <w14:solidFill>
              <w14:schemeClr w14:val="tx1"/>
            </w14:solidFill>
          </w14:textFill>
        </w:rPr>
        <w:t>索据、</w:t>
      </w:r>
      <w:r>
        <w:rPr>
          <w:rFonts w:hint="eastAsia" w:ascii="宋体" w:hAnsi="宋体" w:eastAsia="宋体" w:cs="宋体"/>
          <w:color w:val="000000" w:themeColor="text1"/>
          <w:highlight w:val="none"/>
          <w:lang w:eastAsia="zh-CN"/>
          <w14:textFill>
            <w14:solidFill>
              <w14:schemeClr w14:val="tx1"/>
            </w14:solidFill>
          </w14:textFill>
        </w:rPr>
        <w:t>验证</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eastAsia="zh-CN"/>
          <w14:textFill>
            <w14:solidFill>
              <w14:schemeClr w14:val="tx1"/>
            </w14:solidFill>
          </w14:textFill>
        </w:rPr>
        <w:t>抽查</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eastAsia="zh-CN"/>
          <w14:textFill>
            <w14:solidFill>
              <w14:schemeClr w14:val="tx1"/>
            </w14:solidFill>
          </w14:textFill>
        </w:rPr>
        <w:t>过磅（清点）</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eastAsia="zh-CN"/>
          <w14:textFill>
            <w14:solidFill>
              <w14:schemeClr w14:val="tx1"/>
            </w14:solidFill>
          </w14:textFill>
        </w:rPr>
        <w:t>入库的程序完成验收，中标供应商可提供原件的留件，件只有一份无法提供给采购人的，查验原件后索取复印件留存。</w:t>
      </w:r>
    </w:p>
    <w:p w14:paraId="605946AC">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3.对每次验收的物资均记录物资名称、数量、验收情况等事项，并由双方签名确认。</w:t>
      </w:r>
    </w:p>
    <w:p w14:paraId="7608B8F4">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4.采购人在签收的同时，将随机抽取一份封存并做好相关的标识记录，中标供应商配送人员对此应予以确认，该封存食物封存时间将不少于48小时，且作为中标供应商所配送的食物品质依据之一，以备今后核查。</w:t>
      </w:r>
    </w:p>
    <w:p w14:paraId="57BA89DD">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5.每批次每种货物均抽查验收，按前附产品质量描述对货物质量进行抽查。</w:t>
      </w:r>
    </w:p>
    <w:p w14:paraId="295E70F0">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6.整批食品无或缺少《</w:t>
      </w:r>
      <w:r>
        <w:rPr>
          <w:rFonts w:hint="eastAsia" w:ascii="宋体" w:hAnsi="宋体" w:eastAsia="宋体" w:cs="宋体"/>
          <w:color w:val="000000" w:themeColor="text1"/>
          <w:highlight w:val="none"/>
          <w:lang w:val="en-US" w:eastAsia="zh-CN"/>
          <w14:textFill>
            <w14:solidFill>
              <w14:schemeClr w14:val="tx1"/>
            </w14:solidFill>
          </w14:textFill>
        </w:rPr>
        <w:t>溯</w:t>
      </w:r>
      <w:r>
        <w:rPr>
          <w:rFonts w:hint="eastAsia" w:ascii="宋体" w:hAnsi="宋体" w:eastAsia="宋体" w:cs="宋体"/>
          <w:color w:val="000000" w:themeColor="text1"/>
          <w:highlight w:val="none"/>
          <w:lang w:eastAsia="zh-CN"/>
          <w14:textFill>
            <w14:solidFill>
              <w14:schemeClr w14:val="tx1"/>
            </w14:solidFill>
          </w14:textFill>
        </w:rPr>
        <w:t>源标准及要求》中提及的相应票证的全部退货。</w:t>
      </w:r>
    </w:p>
    <w:p w14:paraId="1BE1632F">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7.对缺斤短两的按实际缺少重量进行扣减，对含水量超标的作退货处理。</w:t>
      </w:r>
    </w:p>
    <w:p w14:paraId="392A0BFC">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w:t>
      </w:r>
      <w:r>
        <w:rPr>
          <w:rFonts w:hint="eastAsia" w:ascii="宋体" w:hAnsi="宋体" w:eastAsia="宋体" w:cs="宋体"/>
          <w:color w:val="000000" w:themeColor="text1"/>
          <w:highlight w:val="none"/>
          <w:lang w:eastAsia="zh-CN"/>
          <w14:textFill>
            <w14:solidFill>
              <w14:schemeClr w14:val="tx1"/>
            </w14:solidFill>
          </w14:textFill>
        </w:rPr>
        <w:t>.发现食品安全质量问题的处理</w:t>
      </w:r>
    </w:p>
    <w:p w14:paraId="59A8F8E9">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（1）对危及人身安全的食品质量问题采取零</w:t>
      </w:r>
      <w:r>
        <w:rPr>
          <w:rFonts w:hint="eastAsia" w:ascii="宋体" w:hAnsi="宋体" w:eastAsia="宋体" w:cs="宋体"/>
          <w:color w:val="000000" w:themeColor="text1"/>
          <w:highlight w:val="none"/>
          <w:lang w:val="en-US" w:eastAsia="zh-CN"/>
          <w14:textFill>
            <w14:solidFill>
              <w14:schemeClr w14:val="tx1"/>
            </w14:solidFill>
          </w14:textFill>
        </w:rPr>
        <w:t>容忍</w:t>
      </w:r>
      <w:r>
        <w:rPr>
          <w:rFonts w:hint="eastAsia" w:ascii="宋体" w:hAnsi="宋体" w:eastAsia="宋体" w:cs="宋体"/>
          <w:color w:val="000000" w:themeColor="text1"/>
          <w:highlight w:val="none"/>
          <w:lang w:eastAsia="zh-CN"/>
          <w14:textFill>
            <w14:solidFill>
              <w14:schemeClr w14:val="tx1"/>
            </w14:solidFill>
          </w14:textFill>
        </w:rPr>
        <w:t>措施，中标供应商提供假冒伪劣、过期、变质、有毒对身体产生不利影响或不符合卫生标准的食品，一经发现，当日所送同批次食品全部退货。</w:t>
      </w:r>
    </w:p>
    <w:p w14:paraId="2BFC4413">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（2）若抽查未发现问题，而在加工食用前发现部分产品质量问题，采购人有权通知中标供应商将问题食品或全部食品进行退货处理。</w:t>
      </w:r>
    </w:p>
    <w:p w14:paraId="195A0C30">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（3）采购人</w:t>
      </w:r>
      <w:r>
        <w:rPr>
          <w:rFonts w:hint="eastAsia" w:ascii="宋体" w:hAnsi="宋体" w:eastAsia="宋体" w:cs="宋体"/>
          <w:color w:val="000000" w:themeColor="text1"/>
          <w:highlight w:val="none"/>
          <w:lang w:val="en-US" w:eastAsia="zh-CN"/>
          <w14:textFill>
            <w14:solidFill>
              <w14:schemeClr w14:val="tx1"/>
            </w14:solidFill>
          </w14:textFill>
        </w:rPr>
        <w:t>退</w:t>
      </w:r>
      <w:r>
        <w:rPr>
          <w:rFonts w:hint="eastAsia" w:ascii="宋体" w:hAnsi="宋体" w:eastAsia="宋体" w:cs="宋体"/>
          <w:color w:val="000000" w:themeColor="text1"/>
          <w:highlight w:val="none"/>
          <w:lang w:eastAsia="zh-CN"/>
          <w14:textFill>
            <w14:solidFill>
              <w14:schemeClr w14:val="tx1"/>
            </w14:solidFill>
          </w14:textFill>
        </w:rPr>
        <w:t>货后将记录在案，并向中标供应商主张违约金，除要承担因此产生的一切损失和费用外。同时采购人有权取消中标供应商服务资格。</w:t>
      </w:r>
    </w:p>
    <w:p w14:paraId="54FD2BE0">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lang w:eastAsia="zh-CN"/>
          <w14:textFill>
            <w14:solidFill>
              <w14:schemeClr w14:val="tx1"/>
            </w14:solidFill>
          </w14:textFill>
        </w:rPr>
        <w:t>.退（补）货流程</w:t>
      </w:r>
    </w:p>
    <w:p w14:paraId="32A4C268">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对不符合采购要求的食品由采购人提出清退,如双方对质量或重量有争议的可送具有检验资质的部门检测，同时留样备检，对数量不足或退货的，责令中标供应商以不影响学生伙食供应为前提。1小时内补送到位。</w:t>
      </w:r>
    </w:p>
    <w:p w14:paraId="11EA284C">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lang w:eastAsia="zh-CN"/>
          <w14:textFill>
            <w14:solidFill>
              <w14:schemeClr w14:val="tx1"/>
            </w14:solidFill>
          </w14:textFill>
        </w:rPr>
        <w:t>.食品的质量问</w:t>
      </w:r>
      <w:r>
        <w:rPr>
          <w:rFonts w:hint="eastAsia" w:ascii="宋体" w:hAnsi="宋体" w:eastAsia="宋体" w:cs="宋体"/>
          <w:color w:val="000000" w:themeColor="text1"/>
          <w:highlight w:val="none"/>
          <w:lang w:val="en-US" w:eastAsia="zh-CN"/>
          <w14:textFill>
            <w14:solidFill>
              <w14:schemeClr w14:val="tx1"/>
            </w14:solidFill>
          </w14:textFill>
        </w:rPr>
        <w:t>题</w:t>
      </w:r>
      <w:r>
        <w:rPr>
          <w:rFonts w:hint="eastAsia" w:ascii="宋体" w:hAnsi="宋体" w:eastAsia="宋体" w:cs="宋体"/>
          <w:color w:val="000000" w:themeColor="text1"/>
          <w:highlight w:val="none"/>
          <w:lang w:eastAsia="zh-CN"/>
          <w14:textFill>
            <w14:solidFill>
              <w14:schemeClr w14:val="tx1"/>
            </w14:solidFill>
          </w14:textFill>
        </w:rPr>
        <w:t>争议及解决办法</w:t>
      </w:r>
    </w:p>
    <w:p w14:paraId="16146768">
      <w:pPr>
        <w:numPr>
          <w:ilvl w:val="0"/>
          <w:numId w:val="0"/>
        </w:numPr>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因食品的质量问题发生争议,由当地质量鉴定单位或国家法定的质量鉴定单位进行质量鉴定。食品符合质量标准的，鉴定费由采购人承担</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eastAsia="zh-CN"/>
          <w14:textFill>
            <w14:solidFill>
              <w14:schemeClr w14:val="tx1"/>
            </w14:solidFill>
          </w14:textFill>
        </w:rPr>
        <w:t>食品不符合质量标准的，鉴定费由中标供应商承担，并且采购人有权追究中标供应商的相关责任。</w:t>
      </w:r>
    </w:p>
    <w:p w14:paraId="541867C5">
      <w:pPr>
        <w:numPr>
          <w:ilvl w:val="0"/>
          <w:numId w:val="0"/>
        </w:num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七</w:t>
      </w:r>
      <w:r>
        <w:rPr>
          <w:rFonts w:hint="eastAsia" w:ascii="宋体" w:hAnsi="宋体" w:eastAsia="宋体" w:cs="宋体"/>
          <w:b/>
          <w:bCs/>
          <w:color w:val="000000" w:themeColor="text1"/>
          <w:highlight w:val="none"/>
          <w:lang w:eastAsia="zh-CN"/>
          <w14:textFill>
            <w14:solidFill>
              <w14:schemeClr w14:val="tx1"/>
            </w14:solidFill>
          </w14:textFill>
        </w:rPr>
        <w:t>、溯源标准及要求</w:t>
      </w:r>
    </w:p>
    <w:p w14:paraId="5BD3C099">
      <w:pPr>
        <w:numPr>
          <w:ilvl w:val="0"/>
          <w:numId w:val="0"/>
        </w:numPr>
        <w:spacing w:line="36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食品溯源要求，中标供应商对食品供应链进行明确，所有食品的来源必须清晰，直接接触食品相关产品（包装材料）要有S标志，预包装食品要有以SC开头的生产许可证号（2018年10月1日起，必须为以SC开头的生产许可证号），生产食品的源头与中标供应商要有固定的合法的供应关系，严禁收购非标准产品供应。招标文件要求对食品的来源和质量标准要有详尽的描述，并提出验收的行业标准和感官标准。如该品牌商品无质量标准，则由投标人按国家和行业的要求自行描述。为做到“来源可追溯、去向可查证”的目的，中标供应商要严格按照“测源标准”提供票证，做到货到票证到，并将票据原件交用申方饭堂存档备查。验收中无票证、货与票证不相符的以及要素不全的，采购人有权拒收，溯源的相关标准如下，如有最新规定，则遵从最新规定。</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8"/>
        <w:gridCol w:w="2323"/>
        <w:gridCol w:w="5405"/>
      </w:tblGrid>
      <w:tr w14:paraId="0250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559"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3DA8F302">
            <w:pPr>
              <w:numPr>
                <w:ilvl w:val="0"/>
                <w:numId w:val="0"/>
              </w:numPr>
              <w:snapToGrid w:val="0"/>
              <w:jc w:val="cente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p>
          <w:p w14:paraId="79A73167">
            <w:pPr>
              <w:numPr>
                <w:ilvl w:val="0"/>
                <w:numId w:val="0"/>
              </w:numPr>
              <w:snapToGrid w:val="0"/>
              <w:jc w:val="left"/>
              <mc:AlternateContent>
                <mc:Choice Requires="wpsCustomData">
                  <wpsCustomData:diagonalParaType/>
                </mc:Choice>
              </mc:AlternateContent>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食品种类</w:t>
            </w:r>
          </w:p>
          <w:p w14:paraId="1A9F5249">
            <w:pPr>
              <w:numPr>
                <w:ilvl w:val="0"/>
                <w:numId w:val="0"/>
              </w:numPr>
              <w:snapToGrid w:val="0"/>
              <w:jc w:val="cente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票证要求</w:t>
            </w:r>
          </w:p>
          <w:p w14:paraId="3FE541CA">
            <w:pPr>
              <w:numPr>
                <w:ilvl w:val="0"/>
                <w:numId w:val="0"/>
              </w:numPr>
              <w:jc w:val="cente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p>
        </w:tc>
        <w:tc>
          <w:tcPr>
            <w:tcW w:w="2323" w:type="dxa"/>
            <w:vAlign w:val="center"/>
          </w:tcPr>
          <w:p w14:paraId="5384E9AB">
            <w:pPr>
              <w:numPr>
                <w:ilvl w:val="0"/>
                <w:numId w:val="0"/>
              </w:numPr>
              <w:jc w:val="cente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产品</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的资质证明；（首次供应时提供）</w:t>
            </w:r>
          </w:p>
        </w:tc>
        <w:tc>
          <w:tcPr>
            <w:tcW w:w="5406" w:type="dxa"/>
            <w:vAlign w:val="center"/>
          </w:tcPr>
          <w:p w14:paraId="2F332E5C">
            <w:pPr>
              <w:numPr>
                <w:ilvl w:val="0"/>
                <w:numId w:val="0"/>
              </w:numPr>
              <w:jc w:val="cente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产品票证要求</w:t>
            </w:r>
          </w:p>
        </w:tc>
      </w:tr>
      <w:tr w14:paraId="3C98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Align w:val="center"/>
          </w:tcPr>
          <w:p w14:paraId="7F332464">
            <w:pPr>
              <w:numPr>
                <w:ilvl w:val="0"/>
                <w:numId w:val="0"/>
              </w:numPr>
              <w:jc w:val="cente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肉类</w:t>
            </w:r>
          </w:p>
        </w:tc>
        <w:tc>
          <w:tcPr>
            <w:tcW w:w="2323" w:type="dxa"/>
            <w:vAlign w:val="center"/>
          </w:tcPr>
          <w:p w14:paraId="4268AE92">
            <w:pPr>
              <w:numPr>
                <w:ilvl w:val="0"/>
                <w:numId w:val="0"/>
              </w:numPr>
              <w:jc w:val="both"/>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《企业法人营业执照》副本（三证合一）、《食品经营许可证》</w:t>
            </w:r>
          </w:p>
        </w:tc>
        <w:tc>
          <w:tcPr>
            <w:tcW w:w="5406" w:type="dxa"/>
            <w:vAlign w:val="center"/>
          </w:tcPr>
          <w:p w14:paraId="72EB90F5">
            <w:pPr>
              <w:numPr>
                <w:ilvl w:val="0"/>
                <w:numId w:val="0"/>
              </w:numPr>
              <w:jc w:val="both"/>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每批次食品提供《出县境动物产品检疫合格证》/《动物产品检疫合格证》、《产品合格证》、《卫生检疫报告》、《贮存地的出入库检疫证明》（水产品适用）；</w:t>
            </w:r>
          </w:p>
          <w:p w14:paraId="3B7B00D4">
            <w:pPr>
              <w:numPr>
                <w:ilvl w:val="0"/>
                <w:numId w:val="0"/>
              </w:numPr>
              <w:jc w:val="both"/>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鲜肉类均为定点屠宰场（厂）经检</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疫</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和肉品品质检验合格的产品，具有由定点屠宰场（厂）加盖</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验讫</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印章并出具《产品检验证明》</w:t>
            </w:r>
          </w:p>
          <w:p w14:paraId="3EFAB623">
            <w:pPr>
              <w:numPr>
                <w:ilvl w:val="0"/>
                <w:numId w:val="0"/>
              </w:numPr>
              <w:jc w:val="both"/>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3、每次供货票据（供货发票与送货清单）应当包括供货方名称、产品名称、产品数量、送货或购买日期等内容。并加盖中标供应商公章。</w:t>
            </w:r>
          </w:p>
        </w:tc>
      </w:tr>
    </w:tbl>
    <w:p w14:paraId="44CFA35F">
      <w:pPr>
        <w:keepNext w:val="0"/>
        <w:keepLines w:val="0"/>
        <w:pageBreakBefore w:val="0"/>
        <w:kinsoku/>
        <w:wordWrap/>
        <w:overflowPunct/>
        <w:topLinePunct w:val="0"/>
        <w:autoSpaceDE/>
        <w:autoSpaceDN/>
        <w:bidi w:val="0"/>
        <w:spacing w:line="360" w:lineRule="auto"/>
        <w:textAlignment w:val="auto"/>
        <w:outlineLvl w:val="9"/>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八</w:t>
      </w:r>
      <w:r>
        <w:rPr>
          <w:rFonts w:hint="eastAsia" w:ascii="宋体" w:hAnsi="宋体" w:eastAsia="宋体" w:cs="宋体"/>
          <w:b/>
          <w:bCs/>
          <w:color w:val="000000" w:themeColor="text1"/>
          <w:sz w:val="21"/>
          <w:szCs w:val="21"/>
          <w:highlight w:val="none"/>
          <w14:textFill>
            <w14:solidFill>
              <w14:schemeClr w14:val="tx1"/>
            </w14:solidFill>
          </w14:textFill>
        </w:rPr>
        <w:t>、项目其它要求</w:t>
      </w:r>
    </w:p>
    <w:p w14:paraId="08F11C28">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中标供应商在食品配送过程中如出现需向采购人支付经济赔偿金、违约罚金等相关费用时，采购人可直接在每月食品配送结算金额或履约金中扣除，如金额不足以支付时，差额部分中标供应商需另行向采购人支付。</w:t>
      </w:r>
    </w:p>
    <w:p w14:paraId="76C69443">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2.中标供应商因违反合同约定给采购人造成重大影响或经济损失，由此所造成采购人的经济损失以及引致的法律责任由中标供应商承担。</w:t>
      </w:r>
    </w:p>
    <w:p w14:paraId="3FFE9CE6">
      <w:pPr>
        <w:keepNext w:val="0"/>
        <w:keepLines w:val="0"/>
        <w:pageBreakBefore w:val="0"/>
        <w:widowControl/>
        <w:tabs>
          <w:tab w:val="left" w:pos="502"/>
          <w:tab w:val="left" w:pos="753"/>
          <w:tab w:val="left" w:pos="840"/>
        </w:tabs>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3.非采购人的原因而出现食品质量问题，由中标供应商负责更换或退货，并承担因此而产生的一切责任及费用。</w:t>
      </w:r>
    </w:p>
    <w:p w14:paraId="24E3F653">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4.采购人对中标供应商食品配送工作进行不定期抽查考核，原则上每月考核一次。</w:t>
      </w:r>
    </w:p>
    <w:p w14:paraId="7F91168E">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5.中标供应商有以下行为，经调查属实的，采购人将立即解除相关供应合同：</w:t>
      </w:r>
    </w:p>
    <w:p w14:paraId="02F24B5F">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5.1 弄虚作假，提供虚假材料取得中标资格的；</w:t>
      </w:r>
    </w:p>
    <w:p w14:paraId="6E6C009A">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5.2 因所供货物质量原因导致发生食品安全事故的；</w:t>
      </w:r>
    </w:p>
    <w:p w14:paraId="298EC008">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5.3 中标后将项目转包、分包行为的；</w:t>
      </w:r>
    </w:p>
    <w:p w14:paraId="1EF91DC1">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5.4 无正当理由拒绝履行合同向采购人供货的；</w:t>
      </w:r>
    </w:p>
    <w:p w14:paraId="7DE03990">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5.5 有行贿、给回扣等不正当竞争行为的；</w:t>
      </w:r>
    </w:p>
    <w:p w14:paraId="458F3DB5">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5.6 所供应食品存在故意假冒伪劣行为的；</w:t>
      </w:r>
    </w:p>
    <w:p w14:paraId="430468E7">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5.7 经营情况发生重大变化，已经不具备承接中标供应项目能力的；</w:t>
      </w:r>
    </w:p>
    <w:p w14:paraId="2184CBD1">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5.8 违反招标文件和合同相关管理规定，或有其它违法违纪行为的。</w:t>
      </w:r>
    </w:p>
    <w:p w14:paraId="021614E5">
      <w:pPr>
        <w:pStyle w:val="20"/>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cstheme="minorEastAsia"/>
          <w:b/>
          <w:color w:val="000000" w:themeColor="text1"/>
          <w:sz w:val="21"/>
          <w:szCs w:val="21"/>
          <w:highlight w:val="none"/>
          <w:lang w:val="en-US" w:eastAsia="zh-CN"/>
          <w14:textFill>
            <w14:solidFill>
              <w14:schemeClr w14:val="tx1"/>
            </w14:solidFill>
          </w14:textFill>
        </w:rPr>
      </w:pPr>
    </w:p>
    <w:p w14:paraId="04B13CFC">
      <w:pPr>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br w:type="page"/>
      </w:r>
    </w:p>
    <w:p w14:paraId="5A178D7D">
      <w:pPr>
        <w:spacing w:line="240" w:lineRule="auto"/>
        <w:jc w:val="left"/>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 xml:space="preserve">附件                            </w:t>
      </w:r>
    </w:p>
    <w:p w14:paraId="20702A29">
      <w:pPr>
        <w:spacing w:line="240" w:lineRule="auto"/>
        <w:jc w:val="center"/>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配送服务质量考核评价办法</w:t>
      </w:r>
    </w:p>
    <w:p w14:paraId="6F4A973F">
      <w:pPr>
        <w:spacing w:line="240" w:lineRule="auto"/>
        <w:rPr>
          <w:rFonts w:hint="eastAsia" w:ascii="宋体" w:hAnsi="宋体" w:cs="宋体"/>
          <w:color w:val="000000" w:themeColor="text1"/>
          <w:highlight w:val="none"/>
          <w14:textFill>
            <w14:solidFill>
              <w14:schemeClr w14:val="tx1"/>
            </w14:solidFill>
          </w14:textFill>
        </w:rPr>
      </w:pPr>
    </w:p>
    <w:p w14:paraId="4288D73E">
      <w:pPr>
        <w:ind w:firstLine="420" w:firstLineChars="200"/>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lang w:val="en-US"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每月综合服务满意度满分为</w:t>
      </w:r>
      <w:r>
        <w:rPr>
          <w:rFonts w:ascii="宋体" w:hAnsi="宋体" w:cs="宋体"/>
          <w:color w:val="000000" w:themeColor="text1"/>
          <w:highlight w:val="none"/>
          <w14:textFill>
            <w14:solidFill>
              <w14:schemeClr w14:val="tx1"/>
            </w14:solidFill>
          </w14:textFill>
        </w:rPr>
        <w:t>100</w:t>
      </w:r>
      <w:r>
        <w:rPr>
          <w:rFonts w:hint="eastAsia" w:ascii="宋体" w:hAnsi="宋体" w:cs="宋体"/>
          <w:color w:val="000000" w:themeColor="text1"/>
          <w:highlight w:val="none"/>
          <w14:textFill>
            <w14:solidFill>
              <w14:schemeClr w14:val="tx1"/>
            </w14:solidFill>
          </w14:textFill>
        </w:rPr>
        <w:t>分，合格标准为</w:t>
      </w:r>
      <w:r>
        <w:rPr>
          <w:rFonts w:ascii="宋体" w:hAnsi="宋体" w:cs="宋体"/>
          <w:color w:val="000000" w:themeColor="text1"/>
          <w:highlight w:val="none"/>
          <w14:textFill>
            <w14:solidFill>
              <w14:schemeClr w14:val="tx1"/>
            </w14:solidFill>
          </w14:textFill>
        </w:rPr>
        <w:t>90</w:t>
      </w:r>
      <w:r>
        <w:rPr>
          <w:rFonts w:hint="eastAsia" w:ascii="宋体" w:hAnsi="宋体" w:cs="宋体"/>
          <w:color w:val="000000" w:themeColor="text1"/>
          <w:highlight w:val="none"/>
          <w14:textFill>
            <w14:solidFill>
              <w14:schemeClr w14:val="tx1"/>
            </w14:solidFill>
          </w14:textFill>
        </w:rPr>
        <w:t>分，满意度低于</w:t>
      </w:r>
      <w:r>
        <w:rPr>
          <w:rFonts w:ascii="宋体" w:hAnsi="宋体" w:cs="宋体"/>
          <w:color w:val="000000" w:themeColor="text1"/>
          <w:highlight w:val="none"/>
          <w14:textFill>
            <w14:solidFill>
              <w14:schemeClr w14:val="tx1"/>
            </w14:solidFill>
          </w14:textFill>
        </w:rPr>
        <w:t>90</w:t>
      </w:r>
      <w:r>
        <w:rPr>
          <w:rFonts w:hint="eastAsia" w:ascii="宋体" w:hAnsi="宋体" w:cs="宋体"/>
          <w:color w:val="000000" w:themeColor="text1"/>
          <w:highlight w:val="none"/>
          <w14:textFill>
            <w14:solidFill>
              <w14:schemeClr w14:val="tx1"/>
            </w14:solidFill>
          </w14:textFill>
        </w:rPr>
        <w:t>分的每下降</w:t>
      </w:r>
      <w:r>
        <w:rPr>
          <w:rFonts w:ascii="宋体" w:hAnsi="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扣除当月结算金额的</w:t>
      </w:r>
      <w:r>
        <w:rPr>
          <w:rFonts w:ascii="宋体" w:hAnsi="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。半年内累计出现低于合格满意度次数超过</w:t>
      </w:r>
      <w:r>
        <w:rPr>
          <w:rFonts w:ascii="宋体" w:hAnsi="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14:textFill>
            <w14:solidFill>
              <w14:schemeClr w14:val="tx1"/>
            </w14:solidFill>
          </w14:textFill>
        </w:rPr>
        <w:t>次的，采购人有权解除合同。</w:t>
      </w:r>
    </w:p>
    <w:p w14:paraId="32B084AC">
      <w:pPr>
        <w:ind w:firstLine="420" w:firstLineChars="200"/>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中标供应商需及时对采购人提出的存在问题作出响应并实施整改，次月未作出整改的，采购人将发出警告函</w:t>
      </w:r>
      <w:r>
        <w:rPr>
          <w:rFonts w:ascii="宋体" w:hAnsi="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次，连续因同一问题发出警告函</w:t>
      </w:r>
      <w:r>
        <w:rPr>
          <w:rFonts w:ascii="宋体" w:hAnsi="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14:textFill>
            <w14:solidFill>
              <w14:schemeClr w14:val="tx1"/>
            </w14:solidFill>
          </w14:textFill>
        </w:rPr>
        <w:t>次的，采购人有权终止其供货资格。</w:t>
      </w:r>
    </w:p>
    <w:tbl>
      <w:tblPr>
        <w:tblStyle w:val="16"/>
        <w:tblpPr w:leftFromText="180" w:rightFromText="180" w:vertAnchor="text" w:horzAnchor="page" w:tblpXSpec="center" w:tblpY="312"/>
        <w:tblOverlap w:val="never"/>
        <w:tblW w:w="9248" w:type="dxa"/>
        <w:jc w:val="center"/>
        <w:tblLayout w:type="autofit"/>
        <w:tblCellMar>
          <w:top w:w="0" w:type="dxa"/>
          <w:left w:w="10" w:type="dxa"/>
          <w:bottom w:w="0" w:type="dxa"/>
          <w:right w:w="10" w:type="dxa"/>
        </w:tblCellMar>
      </w:tblPr>
      <w:tblGrid>
        <w:gridCol w:w="558"/>
        <w:gridCol w:w="540"/>
        <w:gridCol w:w="5430"/>
        <w:gridCol w:w="591"/>
        <w:gridCol w:w="2129"/>
      </w:tblGrid>
      <w:tr w14:paraId="207778D4">
        <w:tblPrEx>
          <w:tblCellMar>
            <w:top w:w="0" w:type="dxa"/>
            <w:left w:w="10" w:type="dxa"/>
            <w:bottom w:w="0" w:type="dxa"/>
            <w:right w:w="10" w:type="dxa"/>
          </w:tblCellMar>
        </w:tblPrEx>
        <w:trPr>
          <w:trHeight w:val="293" w:hRule="atLeast"/>
          <w:jc w:val="center"/>
        </w:trPr>
        <w:tc>
          <w:tcPr>
            <w:tcW w:w="9248" w:type="dxa"/>
            <w:gridSpan w:val="5"/>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2FCA5E7">
            <w:pPr>
              <w:jc w:val="center"/>
              <w:rPr>
                <w:rFonts w:asci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考核细则</w:t>
            </w:r>
          </w:p>
        </w:tc>
      </w:tr>
      <w:tr w14:paraId="5090BDAA">
        <w:tblPrEx>
          <w:tblCellMar>
            <w:top w:w="0" w:type="dxa"/>
            <w:left w:w="10" w:type="dxa"/>
            <w:bottom w:w="0" w:type="dxa"/>
            <w:right w:w="10" w:type="dxa"/>
          </w:tblCellMar>
        </w:tblPrEx>
        <w:trPr>
          <w:trHeight w:val="380" w:hRule="atLeast"/>
          <w:jc w:val="center"/>
        </w:trPr>
        <w:tc>
          <w:tcPr>
            <w:tcW w:w="558"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1C0A5B5E">
            <w:pPr>
              <w:jc w:val="center"/>
              <w:rPr>
                <w:rFonts w:asci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项目</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51A06CD6">
            <w:pPr>
              <w:jc w:val="center"/>
              <w:rPr>
                <w:rFonts w:asci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序号</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4180701">
            <w:pPr>
              <w:jc w:val="center"/>
              <w:rPr>
                <w:rFonts w:asci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评分细则</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122FA62B">
            <w:pPr>
              <w:jc w:val="center"/>
              <w:rPr>
                <w:rFonts w:asci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扣分</w:t>
            </w: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1EA0093">
            <w:pPr>
              <w:jc w:val="center"/>
              <w:rPr>
                <w:rFonts w:asci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备注</w:t>
            </w:r>
          </w:p>
        </w:tc>
      </w:tr>
      <w:tr w14:paraId="52347BA6">
        <w:tblPrEx>
          <w:tblCellMar>
            <w:top w:w="0" w:type="dxa"/>
            <w:left w:w="10" w:type="dxa"/>
            <w:bottom w:w="0" w:type="dxa"/>
            <w:right w:w="10" w:type="dxa"/>
          </w:tblCellMar>
        </w:tblPrEx>
        <w:trPr>
          <w:trHeight w:val="524" w:hRule="atLeast"/>
          <w:jc w:val="center"/>
        </w:trPr>
        <w:tc>
          <w:tcPr>
            <w:tcW w:w="558"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D148159">
            <w:pPr>
              <w:jc w:val="center"/>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配送要求</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3F265BD">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507D98AC">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配送车辆、实际运输不符合招标文件及合同约定的，每次扣</w:t>
            </w:r>
            <w:r>
              <w:rPr>
                <w:rFonts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717F477">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5569410E">
            <w:pPr>
              <w:jc w:val="center"/>
              <w:rPr>
                <w:rFonts w:ascii="宋体" w:cs="宋体"/>
                <w:color w:val="000000" w:themeColor="text1"/>
                <w:sz w:val="22"/>
                <w:highlight w:val="none"/>
                <w14:textFill>
                  <w14:solidFill>
                    <w14:schemeClr w14:val="tx1"/>
                  </w14:solidFill>
                </w14:textFill>
              </w:rPr>
            </w:pPr>
          </w:p>
        </w:tc>
      </w:tr>
      <w:tr w14:paraId="226A01F9">
        <w:tblPrEx>
          <w:tblCellMar>
            <w:top w:w="0" w:type="dxa"/>
            <w:left w:w="10" w:type="dxa"/>
            <w:bottom w:w="0" w:type="dxa"/>
            <w:right w:w="10" w:type="dxa"/>
          </w:tblCellMar>
        </w:tblPrEx>
        <w:trPr>
          <w:trHeight w:val="614" w:hRule="atLeast"/>
          <w:jc w:val="center"/>
        </w:trPr>
        <w:tc>
          <w:tcPr>
            <w:tcW w:w="558"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D9F55D8">
            <w:pPr>
              <w:spacing w:after="200" w:line="276" w:lineRule="auto"/>
              <w:jc w:val="left"/>
              <w:rPr>
                <w:rFonts w:ascii="宋体" w:cs="宋体"/>
                <w:color w:val="000000" w:themeColor="text1"/>
                <w:sz w:val="22"/>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5214F273">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2</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2AA3E4F6">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在协议供货期，未在规定时间内（迟到超过半小时）完成配送、供货，每次扣</w:t>
            </w:r>
            <w:r>
              <w:rPr>
                <w:rFonts w:ascii="宋体" w:hAnsi="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793F5071">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E1AD01F">
            <w:pPr>
              <w:jc w:val="center"/>
              <w:rPr>
                <w:rFonts w:ascii="宋体" w:cs="宋体"/>
                <w:color w:val="000000" w:themeColor="text1"/>
                <w:sz w:val="22"/>
                <w:highlight w:val="none"/>
                <w14:textFill>
                  <w14:solidFill>
                    <w14:schemeClr w14:val="tx1"/>
                  </w14:solidFill>
                </w14:textFill>
              </w:rPr>
            </w:pPr>
          </w:p>
        </w:tc>
      </w:tr>
      <w:tr w14:paraId="1BF9496D">
        <w:tblPrEx>
          <w:tblCellMar>
            <w:top w:w="0" w:type="dxa"/>
            <w:left w:w="10" w:type="dxa"/>
            <w:bottom w:w="0" w:type="dxa"/>
            <w:right w:w="10" w:type="dxa"/>
          </w:tblCellMar>
        </w:tblPrEx>
        <w:trPr>
          <w:trHeight w:val="569" w:hRule="atLeast"/>
          <w:jc w:val="center"/>
        </w:trPr>
        <w:tc>
          <w:tcPr>
            <w:tcW w:w="558"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7A7D7B57">
            <w:pPr>
              <w:spacing w:after="200" w:line="276" w:lineRule="auto"/>
              <w:jc w:val="left"/>
              <w:rPr>
                <w:rFonts w:ascii="宋体" w:cs="宋体"/>
                <w:color w:val="000000" w:themeColor="text1"/>
                <w:sz w:val="22"/>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104F4E3E">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3</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42E8E62">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实际配送货物少于订购数量且不能及时补充的，每次扣</w:t>
            </w:r>
            <w:r>
              <w:rPr>
                <w:rFonts w:ascii="宋体" w:hAnsi="宋体" w:cs="宋体"/>
                <w:color w:val="000000" w:themeColor="text1"/>
                <w:highlight w:val="none"/>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7E7821EF">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7F2A774">
            <w:pPr>
              <w:jc w:val="center"/>
              <w:rPr>
                <w:rFonts w:ascii="宋体" w:cs="宋体"/>
                <w:color w:val="000000" w:themeColor="text1"/>
                <w:sz w:val="22"/>
                <w:highlight w:val="none"/>
                <w14:textFill>
                  <w14:solidFill>
                    <w14:schemeClr w14:val="tx1"/>
                  </w14:solidFill>
                </w14:textFill>
              </w:rPr>
            </w:pPr>
          </w:p>
        </w:tc>
      </w:tr>
      <w:tr w14:paraId="75295A9F">
        <w:tblPrEx>
          <w:tblCellMar>
            <w:top w:w="0" w:type="dxa"/>
            <w:left w:w="10" w:type="dxa"/>
            <w:bottom w:w="0" w:type="dxa"/>
            <w:right w:w="10" w:type="dxa"/>
          </w:tblCellMar>
        </w:tblPrEx>
        <w:trPr>
          <w:trHeight w:val="590" w:hRule="atLeast"/>
          <w:jc w:val="center"/>
        </w:trPr>
        <w:tc>
          <w:tcPr>
            <w:tcW w:w="558"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C43307D">
            <w:pPr>
              <w:spacing w:after="200" w:line="276" w:lineRule="auto"/>
              <w:jc w:val="left"/>
              <w:rPr>
                <w:rFonts w:ascii="宋体" w:cs="宋体"/>
                <w:color w:val="000000" w:themeColor="text1"/>
                <w:sz w:val="22"/>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3CB6892F">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4</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27E9886B">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实际配送的货物与订购货物种类、质量不符，每次扣</w:t>
            </w:r>
            <w:r>
              <w:rPr>
                <w:rFonts w:ascii="宋体" w:hAnsi="宋体" w:cs="宋体"/>
                <w:color w:val="000000" w:themeColor="text1"/>
                <w:highlight w:val="none"/>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分；未能及时更换的，采购人有权拒收，并每次加扣</w:t>
            </w:r>
            <w:r>
              <w:rPr>
                <w:rFonts w:ascii="宋体" w:hAnsi="宋体" w:cs="宋体"/>
                <w:color w:val="000000" w:themeColor="text1"/>
                <w:highlight w:val="none"/>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19D9B43">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5BB3A0A9">
            <w:pPr>
              <w:jc w:val="center"/>
              <w:rPr>
                <w:rFonts w:ascii="宋体" w:cs="宋体"/>
                <w:color w:val="000000" w:themeColor="text1"/>
                <w:sz w:val="22"/>
                <w:highlight w:val="none"/>
                <w14:textFill>
                  <w14:solidFill>
                    <w14:schemeClr w14:val="tx1"/>
                  </w14:solidFill>
                </w14:textFill>
              </w:rPr>
            </w:pPr>
          </w:p>
        </w:tc>
      </w:tr>
      <w:tr w14:paraId="39EE1F08">
        <w:tblPrEx>
          <w:tblCellMar>
            <w:top w:w="0" w:type="dxa"/>
            <w:left w:w="10" w:type="dxa"/>
            <w:bottom w:w="0" w:type="dxa"/>
            <w:right w:w="10" w:type="dxa"/>
          </w:tblCellMar>
        </w:tblPrEx>
        <w:trPr>
          <w:trHeight w:val="375" w:hRule="atLeast"/>
          <w:jc w:val="center"/>
        </w:trPr>
        <w:tc>
          <w:tcPr>
            <w:tcW w:w="558"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7F65A3C4">
            <w:pPr>
              <w:spacing w:after="200" w:line="276" w:lineRule="auto"/>
              <w:jc w:val="left"/>
              <w:rPr>
                <w:rFonts w:ascii="宋体" w:cs="宋体"/>
                <w:color w:val="000000" w:themeColor="text1"/>
                <w:sz w:val="22"/>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52562B6">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5</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280B567B">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相应批次的货物未能提供相关合格检验证明的，每次扣</w:t>
            </w:r>
            <w:r>
              <w:rPr>
                <w:rFonts w:ascii="宋体" w:hAnsi="宋体" w:cs="宋体"/>
                <w:color w:val="000000" w:themeColor="text1"/>
                <w:highlight w:val="none"/>
                <w14:textFill>
                  <w14:solidFill>
                    <w14:schemeClr w14:val="tx1"/>
                  </w14:solidFill>
                </w14:textFill>
              </w:rPr>
              <w:t>8</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1322D5E">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430581D">
            <w:pPr>
              <w:jc w:val="center"/>
              <w:rPr>
                <w:rFonts w:ascii="宋体" w:cs="宋体"/>
                <w:color w:val="000000" w:themeColor="text1"/>
                <w:sz w:val="22"/>
                <w:highlight w:val="none"/>
                <w14:textFill>
                  <w14:solidFill>
                    <w14:schemeClr w14:val="tx1"/>
                  </w14:solidFill>
                </w14:textFill>
              </w:rPr>
            </w:pPr>
          </w:p>
        </w:tc>
      </w:tr>
      <w:tr w14:paraId="7BFE1B43">
        <w:tblPrEx>
          <w:tblCellMar>
            <w:top w:w="0" w:type="dxa"/>
            <w:left w:w="10" w:type="dxa"/>
            <w:bottom w:w="0" w:type="dxa"/>
            <w:right w:w="10" w:type="dxa"/>
          </w:tblCellMar>
        </w:tblPrEx>
        <w:trPr>
          <w:trHeight w:val="1447" w:hRule="atLeast"/>
          <w:jc w:val="center"/>
        </w:trPr>
        <w:tc>
          <w:tcPr>
            <w:tcW w:w="558"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5BDF1893">
            <w:pPr>
              <w:jc w:val="center"/>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质量要求</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0D7C854F">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6</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683D662">
            <w:pPr>
              <w:jc w:val="both"/>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食品卫生不符合要求造成食物中毒的，每次扣</w:t>
            </w:r>
            <w:r>
              <w:rPr>
                <w:rFonts w:ascii="宋体" w:hAnsi="宋体" w:cs="宋体"/>
                <w:color w:val="000000" w:themeColor="text1"/>
                <w:highlight w:val="none"/>
                <w14:textFill>
                  <w14:solidFill>
                    <w14:schemeClr w14:val="tx1"/>
                  </w14:solidFill>
                </w14:textFill>
              </w:rPr>
              <w:t>25</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0434D115">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28366867">
            <w:pPr>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中标供应商应承担由此造成的全部法律责任及经济损失赔偿（主要包括但不限于食物中毒人员医疗费、误工费、事故处理费等）</w:t>
            </w:r>
          </w:p>
        </w:tc>
      </w:tr>
      <w:tr w14:paraId="39D52EED">
        <w:tblPrEx>
          <w:tblCellMar>
            <w:top w:w="0" w:type="dxa"/>
            <w:left w:w="10" w:type="dxa"/>
            <w:bottom w:w="0" w:type="dxa"/>
            <w:right w:w="10" w:type="dxa"/>
          </w:tblCellMar>
        </w:tblPrEx>
        <w:trPr>
          <w:trHeight w:val="665" w:hRule="atLeast"/>
          <w:jc w:val="center"/>
        </w:trPr>
        <w:tc>
          <w:tcPr>
            <w:tcW w:w="558"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5EF213AD">
            <w:pPr>
              <w:spacing w:after="200" w:line="276" w:lineRule="auto"/>
              <w:jc w:val="left"/>
              <w:rPr>
                <w:rFonts w:ascii="宋体" w:cs="宋体"/>
                <w:color w:val="000000" w:themeColor="text1"/>
                <w:sz w:val="22"/>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71B346F">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7</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79F2EC85">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滥用或过量使用食品添加剂、发现使用劣质原料、抗生素、激素等有害物质，每次扣</w:t>
            </w:r>
            <w:r>
              <w:rPr>
                <w:rFonts w:ascii="宋体" w:hAnsi="宋体" w:cs="宋体"/>
                <w:color w:val="000000" w:themeColor="text1"/>
                <w:highlight w:val="none"/>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6AEB749">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201718D4">
            <w:pPr>
              <w:jc w:val="center"/>
              <w:rPr>
                <w:rFonts w:ascii="宋体" w:cs="宋体"/>
                <w:color w:val="000000" w:themeColor="text1"/>
                <w:sz w:val="22"/>
                <w:highlight w:val="none"/>
                <w14:textFill>
                  <w14:solidFill>
                    <w14:schemeClr w14:val="tx1"/>
                  </w14:solidFill>
                </w14:textFill>
              </w:rPr>
            </w:pPr>
          </w:p>
        </w:tc>
      </w:tr>
      <w:tr w14:paraId="7B4402C0">
        <w:tblPrEx>
          <w:tblCellMar>
            <w:top w:w="0" w:type="dxa"/>
            <w:left w:w="10" w:type="dxa"/>
            <w:bottom w:w="0" w:type="dxa"/>
            <w:right w:w="10" w:type="dxa"/>
          </w:tblCellMar>
        </w:tblPrEx>
        <w:trPr>
          <w:trHeight w:val="345" w:hRule="atLeast"/>
          <w:jc w:val="center"/>
        </w:trPr>
        <w:tc>
          <w:tcPr>
            <w:tcW w:w="558"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0D7E2ECF">
            <w:pPr>
              <w:spacing w:after="200" w:line="276" w:lineRule="auto"/>
              <w:jc w:val="left"/>
              <w:rPr>
                <w:rFonts w:ascii="宋体" w:cs="宋体"/>
                <w:color w:val="000000" w:themeColor="text1"/>
                <w:sz w:val="22"/>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34675A97">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8</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59422675">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货物品质与招标文件不符，并未能及时补充的，每次扣</w:t>
            </w:r>
            <w:r>
              <w:rPr>
                <w:rFonts w:ascii="宋体" w:hAnsi="宋体" w:cs="宋体"/>
                <w:color w:val="000000" w:themeColor="text1"/>
                <w:highlight w:val="none"/>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2143CCE2">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0EAEEC7A">
            <w:pPr>
              <w:jc w:val="center"/>
              <w:rPr>
                <w:rFonts w:ascii="宋体" w:cs="宋体"/>
                <w:color w:val="000000" w:themeColor="text1"/>
                <w:sz w:val="22"/>
                <w:highlight w:val="none"/>
                <w14:textFill>
                  <w14:solidFill>
                    <w14:schemeClr w14:val="tx1"/>
                  </w14:solidFill>
                </w14:textFill>
              </w:rPr>
            </w:pPr>
          </w:p>
        </w:tc>
      </w:tr>
      <w:tr w14:paraId="5E02E126">
        <w:tblPrEx>
          <w:tblCellMar>
            <w:top w:w="0" w:type="dxa"/>
            <w:left w:w="10" w:type="dxa"/>
            <w:bottom w:w="0" w:type="dxa"/>
            <w:right w:w="10" w:type="dxa"/>
          </w:tblCellMar>
        </w:tblPrEx>
        <w:trPr>
          <w:trHeight w:val="575" w:hRule="atLeast"/>
          <w:jc w:val="center"/>
        </w:trPr>
        <w:tc>
          <w:tcPr>
            <w:tcW w:w="558" w:type="dxa"/>
            <w:vMerge w:val="restart"/>
            <w:tcBorders>
              <w:top w:val="single" w:color="000000" w:sz="4" w:space="0"/>
              <w:left w:val="single" w:color="000000" w:sz="4" w:space="0"/>
              <w:bottom w:val="single" w:color="000000" w:sz="6" w:space="0"/>
              <w:right w:val="single" w:color="000000" w:sz="4" w:space="0"/>
            </w:tcBorders>
            <w:shd w:val="clear" w:color="auto" w:fill="auto"/>
            <w:noWrap w:val="0"/>
            <w:tcMar>
              <w:left w:w="10" w:type="dxa"/>
              <w:right w:w="10" w:type="dxa"/>
            </w:tcMar>
            <w:vAlign w:val="center"/>
          </w:tcPr>
          <w:p w14:paraId="3D97418E">
            <w:pPr>
              <w:jc w:val="center"/>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安全生产管理要求</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7DFDA372">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9</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13C3D93">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没有建立、健全本单位安全生产责任制，制定安全生产规章制度和操作规程，或违反制度操作的，每次扣</w:t>
            </w:r>
            <w:r>
              <w:rPr>
                <w:rFonts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73EAF7E2">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189CEA10">
            <w:pPr>
              <w:jc w:val="center"/>
              <w:rPr>
                <w:rFonts w:ascii="宋体" w:cs="宋体"/>
                <w:color w:val="000000" w:themeColor="text1"/>
                <w:sz w:val="22"/>
                <w:highlight w:val="none"/>
                <w14:textFill>
                  <w14:solidFill>
                    <w14:schemeClr w14:val="tx1"/>
                  </w14:solidFill>
                </w14:textFill>
              </w:rPr>
            </w:pPr>
          </w:p>
        </w:tc>
      </w:tr>
      <w:tr w14:paraId="3BD40B77">
        <w:tblPrEx>
          <w:tblCellMar>
            <w:top w:w="0" w:type="dxa"/>
            <w:left w:w="10" w:type="dxa"/>
            <w:bottom w:w="0" w:type="dxa"/>
            <w:right w:w="10" w:type="dxa"/>
          </w:tblCellMar>
        </w:tblPrEx>
        <w:trPr>
          <w:trHeight w:val="310" w:hRule="atLeast"/>
          <w:jc w:val="center"/>
        </w:trPr>
        <w:tc>
          <w:tcPr>
            <w:tcW w:w="558" w:type="dxa"/>
            <w:vMerge w:val="continue"/>
            <w:tcBorders>
              <w:top w:val="single" w:color="000000" w:sz="6" w:space="0"/>
              <w:left w:val="single" w:color="000000" w:sz="4" w:space="0"/>
              <w:bottom w:val="single" w:color="000000" w:sz="6" w:space="0"/>
              <w:right w:val="single" w:color="000000" w:sz="4" w:space="0"/>
            </w:tcBorders>
            <w:shd w:val="clear" w:color="auto" w:fill="auto"/>
            <w:noWrap w:val="0"/>
            <w:tcMar>
              <w:left w:w="10" w:type="dxa"/>
              <w:right w:w="10" w:type="dxa"/>
            </w:tcMar>
            <w:vAlign w:val="center"/>
          </w:tcPr>
          <w:p w14:paraId="05F4D259">
            <w:pPr>
              <w:spacing w:after="200" w:line="276" w:lineRule="auto"/>
              <w:jc w:val="left"/>
              <w:rPr>
                <w:rFonts w:ascii="宋体" w:cs="宋体"/>
                <w:color w:val="000000" w:themeColor="text1"/>
                <w:sz w:val="22"/>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16BF30C5">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10</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3EAA3DE">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没有相关应急预案的，每次扣</w:t>
            </w:r>
            <w:r>
              <w:rPr>
                <w:rFonts w:ascii="宋体" w:hAnsi="宋体" w:cs="宋体"/>
                <w:color w:val="000000" w:themeColor="text1"/>
                <w:highlight w:val="none"/>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17B4E56E">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7E866401">
            <w:pPr>
              <w:jc w:val="center"/>
              <w:rPr>
                <w:rFonts w:ascii="宋体" w:cs="宋体"/>
                <w:color w:val="000000" w:themeColor="text1"/>
                <w:sz w:val="22"/>
                <w:highlight w:val="none"/>
                <w14:textFill>
                  <w14:solidFill>
                    <w14:schemeClr w14:val="tx1"/>
                  </w14:solidFill>
                </w14:textFill>
              </w:rPr>
            </w:pPr>
          </w:p>
        </w:tc>
      </w:tr>
      <w:tr w14:paraId="2CF5D4C7">
        <w:tblPrEx>
          <w:tblCellMar>
            <w:top w:w="0" w:type="dxa"/>
            <w:left w:w="10" w:type="dxa"/>
            <w:bottom w:w="0" w:type="dxa"/>
            <w:right w:w="10" w:type="dxa"/>
          </w:tblCellMar>
        </w:tblPrEx>
        <w:trPr>
          <w:trHeight w:val="380" w:hRule="atLeast"/>
          <w:jc w:val="center"/>
        </w:trPr>
        <w:tc>
          <w:tcPr>
            <w:tcW w:w="558" w:type="dxa"/>
            <w:vMerge w:val="continue"/>
            <w:tcBorders>
              <w:top w:val="single" w:color="000000" w:sz="6" w:space="0"/>
              <w:left w:val="single" w:color="000000" w:sz="4" w:space="0"/>
              <w:bottom w:val="single" w:color="000000" w:sz="6" w:space="0"/>
              <w:right w:val="single" w:color="000000" w:sz="4" w:space="0"/>
            </w:tcBorders>
            <w:shd w:val="clear" w:color="auto" w:fill="auto"/>
            <w:noWrap w:val="0"/>
            <w:tcMar>
              <w:left w:w="10" w:type="dxa"/>
              <w:right w:w="10" w:type="dxa"/>
            </w:tcMar>
            <w:vAlign w:val="center"/>
          </w:tcPr>
          <w:p w14:paraId="02CB62F2">
            <w:pPr>
              <w:spacing w:after="200" w:line="276" w:lineRule="auto"/>
              <w:jc w:val="left"/>
              <w:rPr>
                <w:rFonts w:ascii="宋体" w:cs="宋体"/>
                <w:color w:val="000000" w:themeColor="text1"/>
                <w:sz w:val="22"/>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0F649B04">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11</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30E8B831">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造成重大事故或有重大事故不配合处理的，每宗扣</w:t>
            </w:r>
            <w:r>
              <w:rPr>
                <w:rFonts w:ascii="宋体" w:hAnsi="宋体" w:cs="宋体"/>
                <w:color w:val="000000" w:themeColor="text1"/>
                <w:highlight w:val="none"/>
                <w14:textFill>
                  <w14:solidFill>
                    <w14:schemeClr w14:val="tx1"/>
                  </w14:solidFill>
                </w14:textFill>
              </w:rPr>
              <w:t>10</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231FA24F">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30FE46A0">
            <w:pPr>
              <w:jc w:val="center"/>
              <w:rPr>
                <w:rFonts w:ascii="宋体" w:cs="宋体"/>
                <w:color w:val="000000" w:themeColor="text1"/>
                <w:sz w:val="22"/>
                <w:highlight w:val="none"/>
                <w14:textFill>
                  <w14:solidFill>
                    <w14:schemeClr w14:val="tx1"/>
                  </w14:solidFill>
                </w14:textFill>
              </w:rPr>
            </w:pPr>
          </w:p>
        </w:tc>
      </w:tr>
      <w:tr w14:paraId="4AA50505">
        <w:tblPrEx>
          <w:tblCellMar>
            <w:top w:w="0" w:type="dxa"/>
            <w:left w:w="10" w:type="dxa"/>
            <w:bottom w:w="0" w:type="dxa"/>
            <w:right w:w="10" w:type="dxa"/>
          </w:tblCellMar>
        </w:tblPrEx>
        <w:trPr>
          <w:trHeight w:val="315" w:hRule="atLeast"/>
          <w:jc w:val="center"/>
        </w:trPr>
        <w:tc>
          <w:tcPr>
            <w:tcW w:w="558" w:type="dxa"/>
            <w:vMerge w:val="continue"/>
            <w:tcBorders>
              <w:top w:val="single" w:color="000000" w:sz="6" w:space="0"/>
              <w:left w:val="single" w:color="000000" w:sz="4" w:space="0"/>
              <w:bottom w:val="single" w:color="000000" w:sz="6" w:space="0"/>
              <w:right w:val="single" w:color="000000" w:sz="4" w:space="0"/>
            </w:tcBorders>
            <w:shd w:val="clear" w:color="auto" w:fill="auto"/>
            <w:noWrap w:val="0"/>
            <w:tcMar>
              <w:left w:w="10" w:type="dxa"/>
              <w:right w:w="10" w:type="dxa"/>
            </w:tcMar>
            <w:vAlign w:val="center"/>
          </w:tcPr>
          <w:p w14:paraId="0C574030">
            <w:pPr>
              <w:spacing w:after="200" w:line="276" w:lineRule="auto"/>
              <w:jc w:val="left"/>
              <w:rPr>
                <w:rFonts w:ascii="宋体" w:cs="宋体"/>
                <w:color w:val="000000" w:themeColor="text1"/>
                <w:sz w:val="22"/>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021B30D3">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12</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794B023">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未按要求及时、如实报告生产安全事故，每次扣</w:t>
            </w:r>
            <w:r>
              <w:rPr>
                <w:rFonts w:ascii="宋体" w:hAnsi="宋体" w:cs="宋体"/>
                <w:color w:val="000000" w:themeColor="text1"/>
                <w:highlight w:val="none"/>
                <w14:textFill>
                  <w14:solidFill>
                    <w14:schemeClr w14:val="tx1"/>
                  </w14:solidFill>
                </w14:textFill>
              </w:rPr>
              <w:t>10</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BA6939E">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3291E7D4">
            <w:pPr>
              <w:jc w:val="center"/>
              <w:rPr>
                <w:rFonts w:ascii="宋体" w:cs="宋体"/>
                <w:color w:val="000000" w:themeColor="text1"/>
                <w:sz w:val="22"/>
                <w:highlight w:val="none"/>
                <w14:textFill>
                  <w14:solidFill>
                    <w14:schemeClr w14:val="tx1"/>
                  </w14:solidFill>
                </w14:textFill>
              </w:rPr>
            </w:pPr>
          </w:p>
        </w:tc>
      </w:tr>
      <w:tr w14:paraId="446ECF70">
        <w:tblPrEx>
          <w:tblCellMar>
            <w:top w:w="0" w:type="dxa"/>
            <w:left w:w="10" w:type="dxa"/>
            <w:bottom w:w="0" w:type="dxa"/>
            <w:right w:w="10" w:type="dxa"/>
          </w:tblCellMar>
        </w:tblPrEx>
        <w:trPr>
          <w:trHeight w:val="350" w:hRule="atLeast"/>
          <w:jc w:val="center"/>
        </w:trPr>
        <w:tc>
          <w:tcPr>
            <w:tcW w:w="558" w:type="dxa"/>
            <w:vMerge w:val="continue"/>
            <w:tcBorders>
              <w:top w:val="single" w:color="000000" w:sz="6"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138B726D">
            <w:pPr>
              <w:spacing w:after="200" w:line="276" w:lineRule="auto"/>
              <w:jc w:val="left"/>
              <w:rPr>
                <w:rFonts w:ascii="宋体" w:cs="宋体"/>
                <w:color w:val="000000" w:themeColor="text1"/>
                <w:sz w:val="22"/>
                <w:highlight w:val="none"/>
                <w14:textFill>
                  <w14:solidFill>
                    <w14:schemeClr w14:val="tx1"/>
                  </w14:solidFill>
                </w14:textFill>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3438C728">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13</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0FA1FAC1">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提供资料弄虚作假的，每次扣</w:t>
            </w:r>
            <w:r>
              <w:rPr>
                <w:rFonts w:ascii="宋体" w:hAnsi="宋体" w:cs="宋体"/>
                <w:color w:val="000000" w:themeColor="text1"/>
                <w:highlight w:val="none"/>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28D5E079">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51F90F9">
            <w:pPr>
              <w:jc w:val="center"/>
              <w:rPr>
                <w:rFonts w:ascii="宋体" w:cs="宋体"/>
                <w:color w:val="000000" w:themeColor="text1"/>
                <w:sz w:val="22"/>
                <w:highlight w:val="none"/>
                <w14:textFill>
                  <w14:solidFill>
                    <w14:schemeClr w14:val="tx1"/>
                  </w14:solidFill>
                </w14:textFill>
              </w:rPr>
            </w:pPr>
          </w:p>
        </w:tc>
      </w:tr>
      <w:tr w14:paraId="2E75CF06">
        <w:tblPrEx>
          <w:tblCellMar>
            <w:top w:w="0" w:type="dxa"/>
            <w:left w:w="10" w:type="dxa"/>
            <w:bottom w:w="0" w:type="dxa"/>
            <w:right w:w="10" w:type="dxa"/>
          </w:tblCellMar>
        </w:tblPrEx>
        <w:trPr>
          <w:trHeight w:val="632" w:hRule="atLeast"/>
          <w:jc w:val="center"/>
        </w:trPr>
        <w:tc>
          <w:tcPr>
            <w:tcW w:w="558"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5B3F1E9D">
            <w:pPr>
              <w:jc w:val="center"/>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其他</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CF86598">
            <w:pPr>
              <w:jc w:val="center"/>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14</w:t>
            </w:r>
          </w:p>
        </w:tc>
        <w:tc>
          <w:tcPr>
            <w:tcW w:w="5430"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42BB85EA">
            <w:pPr>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有违反招标文件及合同规定的其他违约事件的，每发现</w:t>
            </w:r>
            <w:r>
              <w:rPr>
                <w:rFonts w:ascii="宋体" w:hAnsi="宋体" w:cs="宋体"/>
                <w:color w:val="000000" w:themeColor="text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次，需按违约性质并结合上述违约类型，每次扣</w:t>
            </w:r>
            <w:r>
              <w:rPr>
                <w:rFonts w:ascii="宋体" w:hAnsi="宋体" w:cs="宋体"/>
                <w:color w:val="000000" w:themeColor="text1"/>
                <w:highlight w:val="none"/>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分</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61823B27">
            <w:pPr>
              <w:jc w:val="center"/>
              <w:rPr>
                <w:rFonts w:ascii="宋体" w:cs="宋体"/>
                <w:color w:val="000000" w:themeColor="text1"/>
                <w:highlight w:val="none"/>
                <w14:textFill>
                  <w14:solidFill>
                    <w14:schemeClr w14:val="tx1"/>
                  </w14:solidFill>
                </w14:textFill>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0"/>
            <w:tcMar>
              <w:left w:w="10" w:type="dxa"/>
              <w:right w:w="10" w:type="dxa"/>
            </w:tcMar>
            <w:vAlign w:val="center"/>
          </w:tcPr>
          <w:p w14:paraId="5200AD84">
            <w:pPr>
              <w:jc w:val="center"/>
              <w:rPr>
                <w:rFonts w:ascii="宋体" w:cs="宋体"/>
                <w:color w:val="000000" w:themeColor="text1"/>
                <w:sz w:val="22"/>
                <w:highlight w:val="none"/>
                <w14:textFill>
                  <w14:solidFill>
                    <w14:schemeClr w14:val="tx1"/>
                  </w14:solidFill>
                </w14:textFill>
              </w:rPr>
            </w:pPr>
          </w:p>
        </w:tc>
      </w:tr>
    </w:tbl>
    <w:p w14:paraId="79A09BFD">
      <w:pPr>
        <w:ind w:firstLine="420" w:firstLineChars="200"/>
        <w:rPr>
          <w:rFonts w:asci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提前终止供货服务的一周前，需以书面形式通知对方。</w:t>
      </w:r>
    </w:p>
    <w:p w14:paraId="75CC8208">
      <w:pPr>
        <w:tabs>
          <w:tab w:val="left" w:pos="360"/>
        </w:tabs>
        <w:jc w:val="left"/>
        <w:rPr>
          <w:rFonts w:hint="eastAsia" w:ascii="宋体" w:hAnsi="宋体" w:cs="宋体"/>
          <w:color w:val="000000" w:themeColor="text1"/>
          <w:sz w:val="24"/>
          <w:highlight w:val="none"/>
          <w14:textFill>
            <w14:solidFill>
              <w14:schemeClr w14:val="tx1"/>
            </w14:solidFill>
          </w14:textFill>
        </w:rPr>
      </w:pPr>
    </w:p>
    <w:p w14:paraId="13558117">
      <w:pPr>
        <w:tabs>
          <w:tab w:val="left" w:pos="360"/>
        </w:tabs>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考核供应商：</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考核月份：</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考核总得分：</w:t>
      </w:r>
    </w:p>
    <w:p w14:paraId="330F78C7">
      <w:pPr>
        <w:tabs>
          <w:tab w:val="left" w:pos="360"/>
        </w:tabs>
        <w:jc w:val="left"/>
        <w:rPr>
          <w:rFonts w:ascii="宋体" w:hAnsi="宋体" w:cs="宋体"/>
          <w:color w:val="000000" w:themeColor="text1"/>
          <w:sz w:val="24"/>
          <w:highlight w:val="none"/>
          <w14:textFill>
            <w14:solidFill>
              <w14:schemeClr w14:val="tx1"/>
            </w14:solidFill>
          </w14:textFill>
        </w:rPr>
      </w:pPr>
    </w:p>
    <w:p w14:paraId="0181D7C6">
      <w:pPr>
        <w:tabs>
          <w:tab w:val="left" w:pos="360"/>
        </w:tabs>
        <w:ind w:left="120" w:hanging="120" w:hangingChars="50"/>
        <w:jc w:val="left"/>
        <w:rPr>
          <w:rFonts w:asci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供应商确认签名：</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考核人员签名：</w:t>
      </w:r>
    </w:p>
    <w:p w14:paraId="3BB7F09B">
      <w:pPr>
        <w:tabs>
          <w:tab w:val="left" w:pos="360"/>
        </w:tabs>
        <w:ind w:left="120" w:hanging="120" w:hangingChars="50"/>
        <w:jc w:val="right"/>
        <w:rPr>
          <w:rFonts w:hint="eastAsia" w:ascii="宋体" w:cs="宋体"/>
          <w:color w:val="000000" w:themeColor="text1"/>
          <w:sz w:val="24"/>
          <w:highlight w:val="none"/>
          <w:lang w:val="en-US" w:eastAsia="zh-CN"/>
          <w14:textFill>
            <w14:solidFill>
              <w14:schemeClr w14:val="tx1"/>
            </w14:solidFill>
          </w14:textFill>
        </w:rPr>
      </w:pPr>
    </w:p>
    <w:p w14:paraId="141321CF">
      <w:pPr>
        <w:tabs>
          <w:tab w:val="left" w:pos="360"/>
        </w:tabs>
        <w:wordWrap w:val="0"/>
        <w:ind w:left="120" w:hanging="120" w:hangingChars="50"/>
        <w:jc w:val="right"/>
        <w:rPr>
          <w:rFonts w:hint="default" w:ascii="宋体" w:cs="宋体" w:eastAsiaTheme="minorEastAsia"/>
          <w:color w:val="000000" w:themeColor="text1"/>
          <w:sz w:val="24"/>
          <w:highlight w:val="none"/>
          <w:lang w:val="en-US" w:eastAsia="zh-CN"/>
          <w14:textFill>
            <w14:solidFill>
              <w14:schemeClr w14:val="tx1"/>
            </w14:solidFill>
          </w14:textFill>
        </w:rPr>
      </w:pPr>
      <w:r>
        <w:rPr>
          <w:rFonts w:hint="eastAsia" w:ascii="宋体" w:cs="宋体"/>
          <w:color w:val="000000" w:themeColor="text1"/>
          <w:sz w:val="24"/>
          <w:highlight w:val="none"/>
          <w:lang w:val="en-US" w:eastAsia="zh-CN"/>
          <w14:textFill>
            <w14:solidFill>
              <w14:schemeClr w14:val="tx1"/>
            </w14:solidFill>
          </w14:textFill>
        </w:rPr>
        <w:t xml:space="preserve">阳江市第二中学    </w:t>
      </w:r>
    </w:p>
    <w:p w14:paraId="3881D239">
      <w:pPr>
        <w:pStyle w:val="28"/>
        <w:numPr>
          <w:ilvl w:val="0"/>
          <w:numId w:val="0"/>
        </w:numPr>
        <w:ind w:leftChars="0"/>
        <w:rPr>
          <w:rFonts w:hint="eastAsia" w:ascii="宋体" w:cs="宋体" w:hAnsiTheme="minorHAnsi" w:eastAsiaTheme="minorEastAsia"/>
          <w:color w:val="000000" w:themeColor="text1"/>
          <w:kern w:val="2"/>
          <w:sz w:val="24"/>
          <w:szCs w:val="24"/>
          <w:highlight w:val="none"/>
          <w:lang w:val="en-US" w:eastAsia="zh-CN" w:bidi="ar-SA"/>
          <w14:textFill>
            <w14:solidFill>
              <w14:schemeClr w14:val="tx1"/>
            </w14:solidFill>
          </w14:textFill>
        </w:rPr>
      </w:pPr>
      <w:r>
        <w:rPr>
          <w:rFonts w:hint="eastAsia" w:ascii="Arial" w:hAnsi="Arial" w:cs="Arial"/>
          <w:color w:val="000000" w:themeColor="text1"/>
          <w:sz w:val="24"/>
          <w:highlight w:val="none"/>
          <w:lang w:val="en-US" w:eastAsia="zh-CN"/>
          <w14:textFill>
            <w14:solidFill>
              <w14:schemeClr w14:val="tx1"/>
            </w14:solidFill>
          </w14:textFill>
        </w:rPr>
        <w:t xml:space="preserve">                                                 </w:t>
      </w:r>
      <w:r>
        <w:rPr>
          <w:rFonts w:hint="eastAsia" w:cs="Arial"/>
          <w:color w:val="000000" w:themeColor="text1"/>
          <w:sz w:val="24"/>
          <w:highlight w:val="none"/>
          <w:lang w:val="en-US" w:eastAsia="zh-CN"/>
          <w14:textFill>
            <w14:solidFill>
              <w14:schemeClr w14:val="tx1"/>
            </w14:solidFill>
          </w14:textFill>
        </w:rPr>
        <w:t xml:space="preserve">    </w:t>
      </w:r>
      <w:r>
        <w:rPr>
          <w:rFonts w:hint="eastAsia" w:ascii="Arial" w:hAnsi="Arial" w:cs="Arial"/>
          <w:color w:val="000000" w:themeColor="text1"/>
          <w:sz w:val="24"/>
          <w:highlight w:val="none"/>
          <w:lang w:val="en-US" w:eastAsia="zh-CN"/>
          <w14:textFill>
            <w14:solidFill>
              <w14:schemeClr w14:val="tx1"/>
            </w14:solidFill>
          </w14:textFill>
        </w:rPr>
        <w:t xml:space="preserve">   </w:t>
      </w:r>
      <w:r>
        <w:rPr>
          <w:rFonts w:hint="eastAsia" w:ascii="宋体" w:cs="宋体" w:hAnsiTheme="minorHAnsi" w:eastAsiaTheme="minorEastAsia"/>
          <w:color w:val="000000" w:themeColor="text1"/>
          <w:kern w:val="2"/>
          <w:sz w:val="24"/>
          <w:szCs w:val="24"/>
          <w:highlight w:val="none"/>
          <w:lang w:val="en-US" w:eastAsia="zh-CN" w:bidi="ar-SA"/>
          <w14:textFill>
            <w14:solidFill>
              <w14:schemeClr w14:val="tx1"/>
            </w14:solidFill>
          </w14:textFill>
        </w:rPr>
        <w:t xml:space="preserve"> 20   年  月  日</w:t>
      </w:r>
    </w:p>
    <w:p w14:paraId="2BC9F29C">
      <w:pPr>
        <w:pStyle w:val="20"/>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cstheme="minorEastAsia"/>
          <w:b/>
          <w:color w:val="000000" w:themeColor="text1"/>
          <w:sz w:val="21"/>
          <w:szCs w:val="21"/>
          <w:highlight w:val="none"/>
          <w:lang w:val="en-US" w:eastAsia="zh-CN"/>
          <w14:textFill>
            <w14:solidFill>
              <w14:schemeClr w14:val="tx1"/>
            </w14:solidFill>
          </w14:textFill>
        </w:rPr>
      </w:pPr>
    </w:p>
    <w:p w14:paraId="3AE42391">
      <w:pPr>
        <w:pStyle w:val="20"/>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cstheme="minorEastAsia"/>
          <w:b/>
          <w:color w:val="000000" w:themeColor="text1"/>
          <w:sz w:val="21"/>
          <w:szCs w:val="21"/>
          <w:highlight w:val="none"/>
          <w:lang w:val="en-US" w:eastAsia="zh-CN"/>
          <w14:textFill>
            <w14:solidFill>
              <w14:schemeClr w14:val="tx1"/>
            </w14:solidFill>
          </w14:textFill>
        </w:rPr>
      </w:pPr>
    </w:p>
    <w:p w14:paraId="1E3A5E6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6"/>
        <w:tblW w:w="930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47"/>
        <w:gridCol w:w="7253"/>
      </w:tblGrid>
      <w:tr w14:paraId="7EDD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47" w:type="dxa"/>
            <w:vAlign w:val="center"/>
          </w:tcPr>
          <w:p w14:paraId="2CF43628">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标的提供的时间</w:t>
            </w:r>
          </w:p>
        </w:tc>
        <w:tc>
          <w:tcPr>
            <w:tcW w:w="7253" w:type="dxa"/>
            <w:vAlign w:val="top"/>
          </w:tcPr>
          <w:p w14:paraId="26E72689">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自合同签订之日起至2027年7月30日止。（少于该服务期作无效投标处理）</w:t>
            </w:r>
          </w:p>
        </w:tc>
      </w:tr>
      <w:tr w14:paraId="548E1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47" w:type="dxa"/>
            <w:vAlign w:val="center"/>
          </w:tcPr>
          <w:p w14:paraId="41FEE26B">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标的提供的地点</w:t>
            </w:r>
          </w:p>
        </w:tc>
        <w:tc>
          <w:tcPr>
            <w:tcW w:w="7253" w:type="dxa"/>
            <w:vAlign w:val="top"/>
          </w:tcPr>
          <w:p w14:paraId="191200CA">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采购人指定地点。</w:t>
            </w:r>
          </w:p>
        </w:tc>
      </w:tr>
      <w:tr w14:paraId="4C3B4C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0" w:hRule="atLeast"/>
          <w:jc w:val="center"/>
        </w:trPr>
        <w:tc>
          <w:tcPr>
            <w:tcW w:w="2047" w:type="dxa"/>
            <w:vAlign w:val="center"/>
          </w:tcPr>
          <w:p w14:paraId="41C7A80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报价方式</w:t>
            </w:r>
          </w:p>
        </w:tc>
        <w:tc>
          <w:tcPr>
            <w:tcW w:w="7253" w:type="dxa"/>
            <w:vAlign w:val="center"/>
          </w:tcPr>
          <w:p w14:paraId="257033A0">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折扣率报价</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0%-100%）</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271AB5D7">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注：投标人必须对</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本项目</w:t>
            </w:r>
            <w:r>
              <w:rPr>
                <w:rFonts w:hint="eastAsia" w:ascii="宋体" w:hAnsi="宋体" w:eastAsia="宋体" w:cs="宋体"/>
                <w:b w:val="0"/>
                <w:bCs w:val="0"/>
                <w:color w:val="000000" w:themeColor="text1"/>
                <w:sz w:val="21"/>
                <w:szCs w:val="21"/>
                <w:highlight w:val="none"/>
                <w14:textFill>
                  <w14:solidFill>
                    <w14:schemeClr w14:val="tx1"/>
                  </w14:solidFill>
                </w14:textFill>
              </w:rPr>
              <w:t>内所有内容进行投标，不允许只对部分内容进行投标。</w:t>
            </w:r>
          </w:p>
        </w:tc>
      </w:tr>
      <w:tr w14:paraId="3577C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32" w:hRule="atLeast"/>
          <w:jc w:val="center"/>
        </w:trPr>
        <w:tc>
          <w:tcPr>
            <w:tcW w:w="2047" w:type="dxa"/>
            <w:shd w:val="clear" w:color="auto" w:fill="auto"/>
            <w:vAlign w:val="center"/>
          </w:tcPr>
          <w:p w14:paraId="5D615A93">
            <w:pPr>
              <w:spacing w:line="320" w:lineRule="exact"/>
              <w:jc w:val="center"/>
              <w:rPr>
                <w:rFonts w:hint="default"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报价</w:t>
            </w:r>
            <w:r>
              <w:rPr>
                <w:rFonts w:hint="eastAsia" w:ascii="宋体" w:hAnsi="宋体" w:cs="宋体"/>
                <w:b/>
                <w:bCs/>
                <w:color w:val="000000" w:themeColor="text1"/>
                <w:kern w:val="2"/>
                <w:sz w:val="21"/>
                <w:szCs w:val="21"/>
                <w:highlight w:val="none"/>
                <w:lang w:val="en-US" w:eastAsia="zh-CN" w:bidi="ar-SA"/>
                <w14:textFill>
                  <w14:solidFill>
                    <w14:schemeClr w14:val="tx1"/>
                  </w14:solidFill>
                </w14:textFill>
              </w:rPr>
              <w:t>包括</w:t>
            </w:r>
          </w:p>
        </w:tc>
        <w:tc>
          <w:tcPr>
            <w:tcW w:w="7253" w:type="dxa"/>
            <w:shd w:val="clear" w:color="auto" w:fill="auto"/>
            <w:vAlign w:val="center"/>
          </w:tcPr>
          <w:p w14:paraId="6D1E0B76">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配送服务报价包含整个项目所需的货物（购买或生产）、包装、配送、运输、装卸、保险、检验检疫，配备人员工资、福利、社保及相关税费等一切费用，采购人不再支付其他任何费用。</w:t>
            </w:r>
          </w:p>
        </w:tc>
      </w:tr>
      <w:tr w14:paraId="64C5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47" w:type="dxa"/>
            <w:shd w:val="clear" w:color="auto" w:fill="auto"/>
            <w:vAlign w:val="center"/>
          </w:tcPr>
          <w:p w14:paraId="124C4BB1">
            <w:pPr>
              <w:spacing w:line="320" w:lineRule="exact"/>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合同签订要求</w:t>
            </w:r>
          </w:p>
        </w:tc>
        <w:tc>
          <w:tcPr>
            <w:tcW w:w="7253" w:type="dxa"/>
            <w:shd w:val="clear" w:color="auto" w:fill="auto"/>
            <w:vAlign w:val="center"/>
          </w:tcPr>
          <w:p w14:paraId="545CDB06">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采购合同由中标供应商</w:t>
            </w:r>
            <w:r>
              <w:rPr>
                <w:rFonts w:hint="eastAsia" w:ascii="宋体" w:hAnsi="宋体" w:cs="宋体"/>
                <w:color w:val="000000" w:themeColor="text1"/>
                <w:kern w:val="0"/>
                <w:szCs w:val="21"/>
                <w:highlight w:val="none"/>
                <w:lang w:val="en-US" w:eastAsia="zh-CN"/>
                <w14:textFill>
                  <w14:solidFill>
                    <w14:schemeClr w14:val="tx1"/>
                  </w14:solidFill>
                </w14:textFill>
              </w:rPr>
              <w:t>凭《中标通知书》</w:t>
            </w:r>
            <w:r>
              <w:rPr>
                <w:rFonts w:hint="eastAsia" w:ascii="宋体" w:hAnsi="宋体" w:cs="宋体"/>
                <w:color w:val="000000" w:themeColor="text1"/>
                <w:kern w:val="0"/>
                <w:szCs w:val="21"/>
                <w:highlight w:val="none"/>
                <w14:textFill>
                  <w14:solidFill>
                    <w14:schemeClr w14:val="tx1"/>
                  </w14:solidFill>
                </w14:textFill>
              </w:rPr>
              <w:t>与采购人双方签订，签订时间为《中标通知书》发出之日起</w:t>
            </w:r>
            <w:r>
              <w:rPr>
                <w:rFonts w:hint="eastAsia" w:ascii="宋体" w:hAnsi="宋体" w:cs="宋体"/>
                <w:color w:val="000000" w:themeColor="text1"/>
                <w:kern w:val="0"/>
                <w:szCs w:val="21"/>
                <w:highlight w:val="none"/>
                <w:lang w:val="en-US" w:eastAsia="zh-CN"/>
                <w14:textFill>
                  <w14:solidFill>
                    <w14:schemeClr w14:val="tx1"/>
                  </w14:solidFill>
                </w14:textFill>
              </w:rPr>
              <w:t>10</w:t>
            </w:r>
            <w:r>
              <w:rPr>
                <w:rFonts w:hint="eastAsia" w:ascii="宋体" w:hAnsi="宋体" w:cs="宋体"/>
                <w:color w:val="000000" w:themeColor="text1"/>
                <w:kern w:val="0"/>
                <w:szCs w:val="21"/>
                <w:highlight w:val="none"/>
                <w14:textFill>
                  <w14:solidFill>
                    <w14:schemeClr w14:val="tx1"/>
                  </w14:solidFill>
                </w14:textFill>
              </w:rPr>
              <w:t>个日历日内。</w:t>
            </w:r>
          </w:p>
        </w:tc>
      </w:tr>
      <w:tr w14:paraId="0AA262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47" w:type="dxa"/>
            <w:shd w:val="clear" w:color="auto" w:fill="auto"/>
            <w:vAlign w:val="center"/>
          </w:tcPr>
          <w:p w14:paraId="20C5F086">
            <w:pPr>
              <w:spacing w:line="320" w:lineRule="exact"/>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定价方式</w:t>
            </w:r>
          </w:p>
        </w:tc>
        <w:tc>
          <w:tcPr>
            <w:tcW w:w="7253" w:type="dxa"/>
            <w:shd w:val="clear" w:color="auto" w:fill="auto"/>
            <w:vAlign w:val="center"/>
          </w:tcPr>
          <w:p w14:paraId="1A8AFE57">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由学校食堂食品市场价格调查小组成员核定（成员组成：采购人2人，中标供应商1人），三人在每隔两周星期日分别在狮子山市场、东湖市场、东源市场进行市场物价调查，根据三人的调查报价，去掉最高价和最低价，取中间价为核定价，若出现三人价格相同，取三人相同价为核定价，若出现相同的两高或两低价，取两人相同价为核定价，核定价不得高于阳江市发展和改革局和政府部门在政府信息公开网站公布的价格。核定价须报支委会或行政会通过后才能确认。（食材的价格要造册，由食堂市场核价小组成员签名作为支付货款资料）。</w:t>
            </w:r>
          </w:p>
        </w:tc>
      </w:tr>
      <w:tr w14:paraId="4EF62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47" w:type="dxa"/>
            <w:shd w:val="clear" w:color="auto" w:fill="auto"/>
            <w:vAlign w:val="center"/>
          </w:tcPr>
          <w:p w14:paraId="013B7324">
            <w:pPr>
              <w:spacing w:line="320" w:lineRule="exact"/>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付款方式</w:t>
            </w:r>
          </w:p>
        </w:tc>
        <w:tc>
          <w:tcPr>
            <w:tcW w:w="7253" w:type="dxa"/>
            <w:shd w:val="clear" w:color="auto" w:fill="auto"/>
            <w:vAlign w:val="center"/>
          </w:tcPr>
          <w:p w14:paraId="116CAB41">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1.采购人按月进行结算，每月对上一个月的款项进行结算，每月5号前出具考核结果,具体结算时间以采购人通知为准。若上月无发生支付违约金或扣罚的情形的，则全额支付上一个月实际发生款项,有扣罚的扣除后支付余下款项。中标供应商指定的收款账户必须符合法律法规要求，且以书面形式告知采购人，一经确定，不得随意更改。由于银行更改账号、单位变更等原因确实需要变更的,中标供应商要重新提交加盖公司公章的书面变更通知书给采购人备案，否则采购人按未变更的指定银行账户支付的款项视为已经履行完支付义务。</w:t>
            </w:r>
          </w:p>
          <w:p w14:paraId="0B328C8F">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2.中标供应商凭以下有效文件与采购人结算；</w:t>
            </w:r>
          </w:p>
          <w:p w14:paraId="20A49ED7">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（1）中标供应商先开具的有效发票给采购人，收款方、出具发票方、合同乙方均必须与中标供应商名称一致。</w:t>
            </w:r>
          </w:p>
          <w:p w14:paraId="56C3C381">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（2）货物收货清单（加盖采购人公章）</w:t>
            </w: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br w:type="textWrapping"/>
            </w: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中标供应商未按上述要求提供相关资料的，采购人有权拒绝付款。</w:t>
            </w:r>
          </w:p>
          <w:p w14:paraId="071E08D2">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3.结算价=核定价×实际供货数量×中标折扣率。</w:t>
            </w:r>
          </w:p>
        </w:tc>
      </w:tr>
      <w:tr w14:paraId="0DBB3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47" w:type="dxa"/>
            <w:shd w:val="clear" w:color="auto" w:fill="auto"/>
            <w:vAlign w:val="center"/>
          </w:tcPr>
          <w:p w14:paraId="20A96ACD">
            <w:pPr>
              <w:spacing w:line="320" w:lineRule="exact"/>
              <w:jc w:val="center"/>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b/>
                <w:bCs/>
                <w:color w:val="000000" w:themeColor="text1"/>
                <w:highlight w:val="none"/>
                <w:lang w:val="zh-Hans"/>
                <w14:textFill>
                  <w14:solidFill>
                    <w14:schemeClr w14:val="tx1"/>
                  </w14:solidFill>
                </w14:textFill>
              </w:rPr>
              <w:t>履约保证金</w:t>
            </w:r>
          </w:p>
        </w:tc>
        <w:tc>
          <w:tcPr>
            <w:tcW w:w="7253" w:type="dxa"/>
            <w:shd w:val="clear" w:color="auto" w:fill="auto"/>
            <w:vAlign w:val="center"/>
          </w:tcPr>
          <w:p w14:paraId="38703310">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1.为了使中标供应商能够认真履行合同，确保食品按时按质供应，在合同签订前5个工作日内，各包组中标供应商向采购人支付中标金额的2%作为履约保证金。</w:t>
            </w:r>
          </w:p>
          <w:p w14:paraId="7E0D1904">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2.交纳方式：以支票、汇票、本票或者金融机构、担保机构出具的保函等非现金形式提交。</w:t>
            </w:r>
          </w:p>
          <w:p w14:paraId="5485E8FD">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3.履约保证金于合同期满并在中标供应商完全履行合同义务之日起20个工作日内无息退还。</w:t>
            </w:r>
          </w:p>
          <w:p w14:paraId="1D053485">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4.中标供应商在合同履行期间保证对采购人的货物供应，若中标后反悔或不能履行合同的，采购人有权单方终止合同并没收全额履约保证金，由此产生的一切经济损失由该中标供应商自行承担。</w:t>
            </w:r>
          </w:p>
          <w:p w14:paraId="4D6EB85F">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5.履约保证金用于补偿采购人因中标供应商的过失导致未能达到合同约定的服务和质量要求而蒙受的损失。</w:t>
            </w:r>
          </w:p>
          <w:p w14:paraId="7595B600">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6.如果中标供应商无违反合同，合同期满后保证金全额无息退还中标供应商；如中标供应商违反合同，合同期满后采购人扣除相应的保证金剩余部分无息退还中标供应商。</w:t>
            </w:r>
          </w:p>
          <w:p w14:paraId="06566A25">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7.因中标供应商供应的食材质量问题造成采购人员发生食物中毒事件的，采购人有权单方解除合同，没收所有履约保证金；中毒人员的全部医疗费用及法律规定的其他费用全部由中标供应商承担；采购人保留通过法律途径追究中标供应商责任的权利。</w:t>
            </w:r>
          </w:p>
        </w:tc>
      </w:tr>
      <w:tr w14:paraId="35DA04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47" w:type="dxa"/>
            <w:shd w:val="clear" w:color="auto" w:fill="auto"/>
            <w:vAlign w:val="center"/>
          </w:tcPr>
          <w:p w14:paraId="388BF8CF">
            <w:pPr>
              <w:spacing w:line="320" w:lineRule="exact"/>
              <w:jc w:val="center"/>
              <w:rPr>
                <w:rFonts w:hint="eastAsia" w:ascii="宋体" w:hAnsi="宋体"/>
                <w:b/>
                <w:bCs/>
                <w:color w:val="000000" w:themeColor="text1"/>
                <w:highlight w:val="none"/>
                <w:lang w:val="zh-Hans"/>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双方权利义务</w:t>
            </w:r>
          </w:p>
        </w:tc>
        <w:tc>
          <w:tcPr>
            <w:tcW w:w="7253" w:type="dxa"/>
            <w:shd w:val="clear" w:color="auto" w:fill="auto"/>
            <w:vAlign w:val="center"/>
          </w:tcPr>
          <w:p w14:paraId="25A3CC7B">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1.签订服务合同的同时中标供应商必须向采购人出具针对本项目的《食品质量安全承诺书》。</w:t>
            </w:r>
          </w:p>
          <w:p w14:paraId="623544FD">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2.就餐人数以实际发生为准。</w:t>
            </w:r>
          </w:p>
          <w:p w14:paraId="7568B04E">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3.服务期内，中标供应商提供的货品质量不符合质量考核标准或因中标供应商责任出现重大事故或严重违反违法事件，采购人有权立即解除合同、没收其履约保证金，如履约保证金不足弥补损失的，采购人还有权按实际损失要求中标供应商承担。中标供应商因前述原因解除合同，采购人有权将中标供应商从资格库中剔除并列入黑名单。</w:t>
            </w:r>
          </w:p>
          <w:p w14:paraId="59EC1F12">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4.采购人有权在合同期内根据实际实施情况，对相关的管理制度和考核办法进行必要的调整。实行动态管理方式，中标供应商完全理解并自觉遵守这些管理制度、办法，并接受采购人上级职能部门及相关单位的监督和管理。</w:t>
            </w:r>
          </w:p>
          <w:p w14:paraId="5A4CE7E2">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5.中标供应商同意采购人有权安排专职小组对中标供应商生产或配送等场所进行查访，如发现场所与中标供应商投标文件中所描述及承诺内容不符，采购人有权要求中标供应商限期整改，整改期间暂停接收中标供应商服务。整改完毕后并经采购人验收合格，可继续履行合同，整改期间采购人的损失由中标供应商足额赔偿。中标供应商拒不整改或整改不合格，采购人有权立即解除合同、没收履约保证金并要求中标供应商赔偿采购人全部损失。</w:t>
            </w:r>
          </w:p>
          <w:p w14:paraId="05684DFC">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6.中标供应商不得将本合同项下权利义务向任何第三方转包、分包或转让。否则采购人有权立即解除合同、没收其履约保证金。</w:t>
            </w:r>
          </w:p>
        </w:tc>
      </w:tr>
      <w:tr w14:paraId="618F08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31" w:hRule="atLeast"/>
          <w:jc w:val="center"/>
        </w:trPr>
        <w:tc>
          <w:tcPr>
            <w:tcW w:w="2047" w:type="dxa"/>
            <w:shd w:val="clear" w:color="auto" w:fill="auto"/>
            <w:vAlign w:val="center"/>
          </w:tcPr>
          <w:p w14:paraId="4B9F1F18">
            <w:pPr>
              <w:spacing w:line="320" w:lineRule="exact"/>
              <w:jc w:val="cente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违约事项及违约金的支付制度</w:t>
            </w:r>
          </w:p>
        </w:tc>
        <w:tc>
          <w:tcPr>
            <w:tcW w:w="7253" w:type="dxa"/>
            <w:shd w:val="clear" w:color="auto" w:fill="auto"/>
            <w:vAlign w:val="center"/>
          </w:tcPr>
          <w:p w14:paraId="144EEE96">
            <w:pPr>
              <w:spacing w:line="32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每次供货，中标供应商若违反以下条款，采购人将向中标供应商主张其相应的违约金。采购人有权选择在中标供应商的货款中直接予以扣除或要求中标供应商另外缴纳违约金。以下为违约金细则，采购人对违约金细则保持最终修改权和解释权。</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3846"/>
              <w:gridCol w:w="1390"/>
              <w:gridCol w:w="883"/>
            </w:tblGrid>
            <w:tr w14:paraId="24D6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14:paraId="4B951559">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序号</w:t>
                  </w:r>
                </w:p>
              </w:tc>
              <w:tc>
                <w:tcPr>
                  <w:tcW w:w="3846" w:type="dxa"/>
                  <w:vAlign w:val="center"/>
                </w:tcPr>
                <w:p w14:paraId="29B8142A">
                  <w:pPr>
                    <w:spacing w:line="360" w:lineRule="auto"/>
                    <w:jc w:val="cente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违约事项</w:t>
                  </w:r>
                </w:p>
              </w:tc>
              <w:tc>
                <w:tcPr>
                  <w:tcW w:w="1390" w:type="dxa"/>
                  <w:vAlign w:val="center"/>
                </w:tcPr>
                <w:p w14:paraId="3AE35804">
                  <w:pPr>
                    <w:spacing w:line="360" w:lineRule="auto"/>
                    <w:jc w:val="cente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违约金</w:t>
                  </w:r>
                </w:p>
                <w:p w14:paraId="14ACF4B3">
                  <w:pPr>
                    <w:spacing w:line="360" w:lineRule="auto"/>
                    <w:jc w:val="cente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(人民币 元/次)</w:t>
                  </w:r>
                </w:p>
              </w:tc>
              <w:tc>
                <w:tcPr>
                  <w:tcW w:w="883" w:type="dxa"/>
                  <w:vAlign w:val="center"/>
                </w:tcPr>
                <w:p w14:paraId="4B7175A2">
                  <w:pPr>
                    <w:spacing w:line="360" w:lineRule="auto"/>
                    <w:jc w:val="cente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是否违反</w:t>
                  </w:r>
                </w:p>
              </w:tc>
            </w:tr>
            <w:tr w14:paraId="1B9F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14:paraId="2F47735F">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1</w:t>
                  </w:r>
                </w:p>
              </w:tc>
              <w:tc>
                <w:tcPr>
                  <w:tcW w:w="3846" w:type="dxa"/>
                </w:tcPr>
                <w:p w14:paraId="0838E7E0">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未在规定时间内完成配送、供货的</w:t>
                  </w:r>
                </w:p>
              </w:tc>
              <w:tc>
                <w:tcPr>
                  <w:tcW w:w="1390" w:type="dxa"/>
                  <w:vAlign w:val="center"/>
                </w:tcPr>
                <w:p w14:paraId="6B8ED143">
                  <w:pPr>
                    <w:spacing w:line="360" w:lineRule="auto"/>
                    <w:jc w:val="cente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1000</w:t>
                  </w:r>
                </w:p>
              </w:tc>
              <w:tc>
                <w:tcPr>
                  <w:tcW w:w="883" w:type="dxa"/>
                </w:tcPr>
                <w:p w14:paraId="25E86E4D">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tc>
            </w:tr>
            <w:tr w14:paraId="57A9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14:paraId="37E164EE">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2</w:t>
                  </w:r>
                </w:p>
              </w:tc>
              <w:tc>
                <w:tcPr>
                  <w:tcW w:w="3846" w:type="dxa"/>
                </w:tcPr>
                <w:p w14:paraId="38E0C8AF">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送货单没有详细注明单价、数量送货单出现涂改，标记不清的情况的</w:t>
                  </w:r>
                </w:p>
              </w:tc>
              <w:tc>
                <w:tcPr>
                  <w:tcW w:w="1390" w:type="dxa"/>
                  <w:vAlign w:val="center"/>
                </w:tcPr>
                <w:p w14:paraId="4EE259F5">
                  <w:pPr>
                    <w:spacing w:line="360" w:lineRule="auto"/>
                    <w:jc w:val="cente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1000</w:t>
                  </w:r>
                </w:p>
              </w:tc>
              <w:tc>
                <w:tcPr>
                  <w:tcW w:w="883" w:type="dxa"/>
                </w:tcPr>
                <w:p w14:paraId="2070A87A">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p w14:paraId="2370F6B9">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tc>
            </w:tr>
            <w:tr w14:paraId="5B88A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0" w:type="dxa"/>
                  <w:vAlign w:val="center"/>
                </w:tcPr>
                <w:p w14:paraId="48B0B750">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3</w:t>
                  </w:r>
                </w:p>
              </w:tc>
              <w:tc>
                <w:tcPr>
                  <w:tcW w:w="3846" w:type="dxa"/>
                  <w:vAlign w:val="top"/>
                </w:tcPr>
                <w:p w14:paraId="35F2BB8E">
                  <w:pPr>
                    <w:spacing w:line="360" w:lineRule="auto"/>
                    <w:rPr>
                      <w:rFonts w:hint="eastAsia" w:ascii="宋体" w:hAnsi="宋体" w:eastAsia="宋体" w:cs="宋体"/>
                      <w:strike w:val="0"/>
                      <w:dstrike w:val="0"/>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1"/>
                      <w:szCs w:val="21"/>
                      <w:highlight w:val="none"/>
                      <w:vertAlign w:val="baseline"/>
                      <w:lang w:val="en-US" w:eastAsia="zh-CN" w:bidi="ar-SA"/>
                      <w14:textFill>
                        <w14:solidFill>
                          <w14:schemeClr w14:val="tx1"/>
                        </w14:solidFill>
                      </w14:textFill>
                    </w:rPr>
                    <w:t>实际配送食材少于订购数量且不能及时补充的</w:t>
                  </w:r>
                </w:p>
              </w:tc>
              <w:tc>
                <w:tcPr>
                  <w:tcW w:w="1390" w:type="dxa"/>
                  <w:vAlign w:val="center"/>
                </w:tcPr>
                <w:p w14:paraId="649B91CE">
                  <w:pPr>
                    <w:spacing w:line="360" w:lineRule="auto"/>
                    <w:jc w:val="cente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1000</w:t>
                  </w:r>
                </w:p>
              </w:tc>
              <w:tc>
                <w:tcPr>
                  <w:tcW w:w="883" w:type="dxa"/>
                </w:tcPr>
                <w:p w14:paraId="1B7E287B">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tc>
            </w:tr>
            <w:tr w14:paraId="4EAE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14:paraId="1B824DC3">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4</w:t>
                  </w:r>
                </w:p>
              </w:tc>
              <w:tc>
                <w:tcPr>
                  <w:tcW w:w="3846" w:type="dxa"/>
                  <w:vAlign w:val="top"/>
                </w:tcPr>
                <w:p w14:paraId="0F1E1343">
                  <w:pPr>
                    <w:spacing w:line="360" w:lineRule="auto"/>
                    <w:rPr>
                      <w:rFonts w:hint="eastAsia" w:ascii="宋体" w:hAnsi="宋体" w:eastAsia="宋体" w:cs="宋体"/>
                      <w:strike w:val="0"/>
                      <w:dstrike w:val="0"/>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1"/>
                      <w:szCs w:val="21"/>
                      <w:highlight w:val="none"/>
                      <w:vertAlign w:val="baseline"/>
                      <w:lang w:val="en-US" w:eastAsia="zh-CN" w:bidi="ar-SA"/>
                      <w14:textFill>
                        <w14:solidFill>
                          <w14:schemeClr w14:val="tx1"/>
                        </w14:solidFill>
                      </w14:textFill>
                    </w:rPr>
                    <w:t>实际配送的食材与订购货物种类、质量不符的</w:t>
                  </w:r>
                </w:p>
              </w:tc>
              <w:tc>
                <w:tcPr>
                  <w:tcW w:w="1390" w:type="dxa"/>
                  <w:vAlign w:val="center"/>
                </w:tcPr>
                <w:p w14:paraId="7EE8BA5D">
                  <w:pPr>
                    <w:spacing w:line="360" w:lineRule="auto"/>
                    <w:jc w:val="cente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1000</w:t>
                  </w:r>
                </w:p>
              </w:tc>
              <w:tc>
                <w:tcPr>
                  <w:tcW w:w="883" w:type="dxa"/>
                </w:tcPr>
                <w:p w14:paraId="2C65B819">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tc>
            </w:tr>
            <w:tr w14:paraId="45DBC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14:paraId="58F88378">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5</w:t>
                  </w:r>
                </w:p>
              </w:tc>
              <w:tc>
                <w:tcPr>
                  <w:tcW w:w="3846" w:type="dxa"/>
                  <w:vAlign w:val="top"/>
                </w:tcPr>
                <w:p w14:paraId="6E543C13">
                  <w:pPr>
                    <w:spacing w:line="360" w:lineRule="auto"/>
                    <w:rPr>
                      <w:rFonts w:hint="eastAsia" w:ascii="宋体" w:hAnsi="宋体" w:eastAsia="宋体" w:cs="宋体"/>
                      <w:strike w:val="0"/>
                      <w:dstrike w:val="0"/>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1"/>
                      <w:szCs w:val="21"/>
                      <w:highlight w:val="none"/>
                      <w:vertAlign w:val="baseline"/>
                      <w:lang w:val="en-US" w:eastAsia="zh-CN" w:bidi="ar-SA"/>
                      <w14:textFill>
                        <w14:solidFill>
                          <w14:schemeClr w14:val="tx1"/>
                        </w14:solidFill>
                      </w14:textFill>
                    </w:rPr>
                    <w:t>没有按照采购人要求将食材送到指定地点的</w:t>
                  </w:r>
                </w:p>
              </w:tc>
              <w:tc>
                <w:tcPr>
                  <w:tcW w:w="1390" w:type="dxa"/>
                  <w:vAlign w:val="center"/>
                </w:tcPr>
                <w:p w14:paraId="07422A5E">
                  <w:pPr>
                    <w:spacing w:line="360" w:lineRule="auto"/>
                    <w:jc w:val="cente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1000</w:t>
                  </w:r>
                </w:p>
              </w:tc>
              <w:tc>
                <w:tcPr>
                  <w:tcW w:w="883" w:type="dxa"/>
                </w:tcPr>
                <w:p w14:paraId="63FBF010">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tc>
            </w:tr>
            <w:tr w14:paraId="66AF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14:paraId="159AF923">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6</w:t>
                  </w:r>
                </w:p>
              </w:tc>
              <w:tc>
                <w:tcPr>
                  <w:tcW w:w="3846" w:type="dxa"/>
                  <w:vAlign w:val="top"/>
                </w:tcPr>
                <w:p w14:paraId="4F56E1AD">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食品因质量问题发生退货的</w:t>
                  </w:r>
                </w:p>
              </w:tc>
              <w:tc>
                <w:tcPr>
                  <w:tcW w:w="1390" w:type="dxa"/>
                  <w:vAlign w:val="center"/>
                </w:tcPr>
                <w:p w14:paraId="49960502">
                  <w:pPr>
                    <w:spacing w:line="360" w:lineRule="auto"/>
                    <w:jc w:val="cente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2000</w:t>
                  </w:r>
                </w:p>
              </w:tc>
              <w:tc>
                <w:tcPr>
                  <w:tcW w:w="883" w:type="dxa"/>
                </w:tcPr>
                <w:p w14:paraId="4FC94E4C">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tc>
            </w:tr>
            <w:tr w14:paraId="7AFF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14:paraId="2B2CBCB2">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7</w:t>
                  </w:r>
                </w:p>
              </w:tc>
              <w:tc>
                <w:tcPr>
                  <w:tcW w:w="3846" w:type="dxa"/>
                  <w:vAlign w:val="top"/>
                </w:tcPr>
                <w:p w14:paraId="5CDC0B48">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相应批次的食品未能按《溯源标准》要求提供票证原件的</w:t>
                  </w:r>
                </w:p>
              </w:tc>
              <w:tc>
                <w:tcPr>
                  <w:tcW w:w="1390" w:type="dxa"/>
                  <w:vAlign w:val="center"/>
                </w:tcPr>
                <w:p w14:paraId="0A7E379C">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1500</w:t>
                  </w:r>
                </w:p>
              </w:tc>
              <w:tc>
                <w:tcPr>
                  <w:tcW w:w="883" w:type="dxa"/>
                </w:tcPr>
                <w:p w14:paraId="595BEB8E">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tc>
            </w:tr>
            <w:tr w14:paraId="6017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14:paraId="302FD89C">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8</w:t>
                  </w:r>
                </w:p>
              </w:tc>
              <w:tc>
                <w:tcPr>
                  <w:tcW w:w="3846" w:type="dxa"/>
                  <w:vAlign w:val="top"/>
                </w:tcPr>
                <w:p w14:paraId="45D0058C">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不按要求进行整改或未按时完成整改的</w:t>
                  </w:r>
                </w:p>
              </w:tc>
              <w:tc>
                <w:tcPr>
                  <w:tcW w:w="1390" w:type="dxa"/>
                  <w:vAlign w:val="center"/>
                </w:tcPr>
                <w:p w14:paraId="609917F1">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2000</w:t>
                  </w:r>
                </w:p>
              </w:tc>
              <w:tc>
                <w:tcPr>
                  <w:tcW w:w="883" w:type="dxa"/>
                </w:tcPr>
                <w:p w14:paraId="6CCD78EC">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tc>
            </w:tr>
            <w:tr w14:paraId="4EA3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tcPr>
                <w:p w14:paraId="7C2DD633">
                  <w:pPr>
                    <w:spacing w:line="360" w:lineRule="auto"/>
                    <w:jc w:val="center"/>
                    <w:rPr>
                      <w:rFonts w:hint="default"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合计</w:t>
                  </w:r>
                </w:p>
              </w:tc>
              <w:tc>
                <w:tcPr>
                  <w:tcW w:w="3846" w:type="dxa"/>
                </w:tcPr>
                <w:p w14:paraId="03B50A72">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tc>
              <w:tc>
                <w:tcPr>
                  <w:tcW w:w="2273" w:type="dxa"/>
                  <w:gridSpan w:val="2"/>
                </w:tcPr>
                <w:p w14:paraId="19E7869D">
                  <w:pPr>
                    <w:spacing w:line="360" w:lineRule="auto"/>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p>
              </w:tc>
            </w:tr>
            <w:tr w14:paraId="7D12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9" w:type="dxa"/>
                  <w:gridSpan w:val="4"/>
                </w:tcPr>
                <w:p w14:paraId="1E6A1A18">
                  <w:pPr>
                    <w:spacing w:line="360" w:lineRule="auto"/>
                    <w:rPr>
                      <w:rFonts w:hint="default" w:ascii="宋体" w:hAnsi="宋体" w:eastAsia="宋体" w:cs="宋体"/>
                      <w:color w:val="000000" w:themeColor="text1"/>
                      <w:kern w:val="2"/>
                      <w:sz w:val="21"/>
                      <w:szCs w:val="21"/>
                      <w:highlight w:val="none"/>
                      <w:u w:val="singl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采购方人员签名:</w:t>
                  </w:r>
                  <w:r>
                    <w:rPr>
                      <w:rFonts w:hint="eastAsia" w:ascii="宋体" w:hAnsi="宋体" w:eastAsia="宋体" w:cs="宋体"/>
                      <w:color w:val="000000" w:themeColor="text1"/>
                      <w:kern w:val="2"/>
                      <w:sz w:val="21"/>
                      <w:szCs w:val="21"/>
                      <w:highlight w:val="none"/>
                      <w:u w:val="single"/>
                      <w:vertAlign w:val="baseline"/>
                      <w:lang w:val="en-US" w:eastAsia="zh-CN" w:bidi="ar-SA"/>
                      <w14:textFill>
                        <w14:solidFill>
                          <w14:schemeClr w14:val="tx1"/>
                        </w14:solidFill>
                      </w14:textFill>
                    </w:rPr>
                    <w:t xml:space="preserve">                    </w:t>
                  </w:r>
                </w:p>
                <w:p w14:paraId="3D6CC6FC">
                  <w:pPr>
                    <w:spacing w:line="360" w:lineRule="auto"/>
                    <w:rPr>
                      <w:rFonts w:hint="eastAsia" w:ascii="宋体" w:hAnsi="宋体" w:eastAsia="宋体" w:cs="宋体"/>
                      <w:color w:val="000000" w:themeColor="text1"/>
                      <w:kern w:val="2"/>
                      <w:sz w:val="21"/>
                      <w:szCs w:val="21"/>
                      <w:highlight w:val="none"/>
                      <w:u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供应商人员签名:</w:t>
                  </w:r>
                  <w:r>
                    <w:rPr>
                      <w:rFonts w:hint="eastAsia" w:ascii="宋体" w:hAnsi="宋体" w:eastAsia="宋体" w:cs="宋体"/>
                      <w:color w:val="000000" w:themeColor="text1"/>
                      <w:kern w:val="2"/>
                      <w:sz w:val="21"/>
                      <w:szCs w:val="21"/>
                      <w:highlight w:val="none"/>
                      <w:u w:val="single"/>
                      <w:vertAlign w:val="baselin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vertAlign w:val="baseline"/>
                      <w:lang w:val="en-US" w:eastAsia="zh-CN" w:bidi="ar-SA"/>
                      <w14:textFill>
                        <w14:solidFill>
                          <w14:schemeClr w14:val="tx1"/>
                        </w14:solidFill>
                      </w14:textFill>
                    </w:rPr>
                    <w:t xml:space="preserve">                  </w:t>
                  </w:r>
                </w:p>
                <w:p w14:paraId="26C8AE0D">
                  <w:pPr>
                    <w:spacing w:line="360" w:lineRule="auto"/>
                    <w:ind w:firstLine="5040" w:firstLineChars="2400"/>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日期:</w:t>
                  </w:r>
                </w:p>
              </w:tc>
            </w:tr>
          </w:tbl>
          <w:p w14:paraId="46C80EBD">
            <w:pPr>
              <w:pStyle w:val="14"/>
              <w:rPr>
                <w:rFonts w:hint="eastAsia"/>
                <w:color w:val="000000" w:themeColor="text1"/>
                <w:highlight w:val="none"/>
                <w:lang w:val="en-US" w:eastAsia="zh-CN"/>
                <w14:textFill>
                  <w14:solidFill>
                    <w14:schemeClr w14:val="tx1"/>
                  </w14:solidFill>
                </w14:textFill>
              </w:rPr>
            </w:pPr>
          </w:p>
        </w:tc>
      </w:tr>
      <w:tr w14:paraId="002016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47" w:type="dxa"/>
            <w:shd w:val="clear" w:color="auto" w:fill="auto"/>
            <w:vAlign w:val="center"/>
          </w:tcPr>
          <w:p w14:paraId="5E1D1731">
            <w:pPr>
              <w:spacing w:line="320" w:lineRule="exact"/>
              <w:jc w:val="cente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其他要求</w:t>
            </w:r>
          </w:p>
        </w:tc>
        <w:tc>
          <w:tcPr>
            <w:tcW w:w="7253" w:type="dxa"/>
            <w:shd w:val="clear" w:color="auto" w:fill="auto"/>
            <w:vAlign w:val="center"/>
          </w:tcPr>
          <w:p w14:paraId="030C5685">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采购数量和金额是参考往年进行估算，采购人无法确保每家中标供应商的供货数量是否能达到估算金额，投标人应注意相关风险。</w:t>
            </w:r>
          </w:p>
        </w:tc>
      </w:tr>
      <w:tr w14:paraId="164835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47" w:type="dxa"/>
            <w:shd w:val="clear" w:color="auto" w:fill="auto"/>
            <w:vAlign w:val="center"/>
          </w:tcPr>
          <w:p w14:paraId="61B495D1">
            <w:pPr>
              <w:spacing w:line="320" w:lineRule="exact"/>
              <w:jc w:val="center"/>
              <w:rPr>
                <w:rFonts w:hint="eastAsia" w:ascii="宋体" w:hAnsi="宋体" w:eastAsia="宋体" w:cs="Times New Roman"/>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Times New Roman"/>
                <w:b/>
                <w:bCs/>
                <w:color w:val="000000" w:themeColor="text1"/>
                <w:kern w:val="2"/>
                <w:sz w:val="21"/>
                <w:szCs w:val="24"/>
                <w:highlight w:val="none"/>
                <w:lang w:val="en-US" w:eastAsia="zh-CN" w:bidi="ar-SA"/>
                <w14:textFill>
                  <w14:solidFill>
                    <w14:schemeClr w14:val="tx1"/>
                  </w14:solidFill>
                </w14:textFill>
              </w:rPr>
              <w:t>考核标准</w:t>
            </w:r>
          </w:p>
        </w:tc>
        <w:tc>
          <w:tcPr>
            <w:tcW w:w="7253" w:type="dxa"/>
            <w:shd w:val="clear" w:color="auto" w:fill="auto"/>
            <w:vAlign w:val="center"/>
          </w:tcPr>
          <w:p w14:paraId="352FDAB5">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 xml:space="preserve">1.采购人在服务期限内对中标供应商实行考核制度，服务期内若扣分累计达到30分或以上则采购人有权利取消中标供应商的配送资格，并终止采购合同。 </w:t>
            </w:r>
          </w:p>
          <w:p w14:paraId="4A2D73B3">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2.考核标准：每次供应肉菜不提供残留农药合格证明扣10分；每次在上午8；00后供货的扣2分。如因食材质量问题造成食品安全事故，中标供应商须负一切责任并且采购人有权利取消其中标供应商的配送资格。考核细则见技术要求附件《配送服务质量考核评价办法》。</w:t>
            </w:r>
          </w:p>
          <w:p w14:paraId="1D1FDCCC">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3.每月综合服务满意度满分为100分，合格标准为90分，满意度低于90分的每下降1%扣除当月结算金额的1%。半年内累计出现低于合格满意度次数超过3次的，采购人有权解除合同。</w:t>
            </w:r>
          </w:p>
          <w:p w14:paraId="7EB681DA">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4.中标供应商需及时对采购人提出的存在问题作出响应并实施整改，次月未作出整改的，采购人将发出警告函1次，连续因同一问题发出警告函3次的，采购人有权终止其供货资格。</w:t>
            </w:r>
          </w:p>
          <w:p w14:paraId="51ECB9E0">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5.提前终止供货服务的一周前，需以书面形式通知对方。</w:t>
            </w:r>
          </w:p>
          <w:p w14:paraId="04268803">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t>6.采购人对考核标准保持最终修改权和解释权。</w:t>
            </w:r>
          </w:p>
        </w:tc>
      </w:tr>
      <w:tr w14:paraId="6E9D2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47" w:type="dxa"/>
            <w:shd w:val="clear" w:color="auto" w:fill="auto"/>
            <w:vAlign w:val="center"/>
          </w:tcPr>
          <w:p w14:paraId="24113874">
            <w:pPr>
              <w:spacing w:line="320" w:lineRule="exact"/>
              <w:jc w:val="center"/>
              <w:rPr>
                <w:rFonts w:hint="eastAsia" w:ascii="宋体" w:hAnsi="宋体" w:eastAsia="宋体" w:cs="Times New Roman"/>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配送时间</w:t>
            </w:r>
          </w:p>
        </w:tc>
        <w:tc>
          <w:tcPr>
            <w:tcW w:w="7253" w:type="dxa"/>
            <w:shd w:val="clear" w:color="auto" w:fill="auto"/>
            <w:vAlign w:val="center"/>
          </w:tcPr>
          <w:p w14:paraId="63BC38F7">
            <w:pPr>
              <w:spacing w:line="320" w:lineRule="exact"/>
              <w:rPr>
                <w:rFonts w:hint="eastAsia" w:ascii="宋体" w:hAnsi="宋体" w:eastAsia="宋体" w:cs="宋体"/>
                <w:b w:val="0"/>
                <w:bCs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每天上午</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val="en-US" w:eastAsia="zh-CN"/>
                <w14:textFill>
                  <w14:solidFill>
                    <w14:schemeClr w14:val="tx1"/>
                  </w14:solidFill>
                </w14:textFill>
              </w:rPr>
              <w:t>：30前</w:t>
            </w:r>
            <w:r>
              <w:rPr>
                <w:rFonts w:hint="eastAsia" w:ascii="宋体" w:hAnsi="宋体" w:cs="宋体"/>
                <w:color w:val="000000" w:themeColor="text1"/>
                <w:highlight w:val="none"/>
                <w:lang w:val="en-US" w:eastAsia="zh-CN"/>
                <w14:textFill>
                  <w14:solidFill>
                    <w14:schemeClr w14:val="tx1"/>
                  </w14:solidFill>
                </w14:textFill>
              </w:rPr>
              <w:t>配送到采购人指定地点。</w:t>
            </w:r>
          </w:p>
        </w:tc>
      </w:tr>
    </w:tbl>
    <w:p w14:paraId="6963FF6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B65CB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6"/>
        <w:tblW w:w="953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7"/>
        <w:gridCol w:w="922"/>
        <w:gridCol w:w="1313"/>
        <w:gridCol w:w="820"/>
        <w:gridCol w:w="826"/>
        <w:gridCol w:w="1266"/>
        <w:gridCol w:w="1266"/>
        <w:gridCol w:w="829"/>
        <w:gridCol w:w="820"/>
        <w:gridCol w:w="821"/>
      </w:tblGrid>
      <w:tr w14:paraId="6238D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647" w:type="dxa"/>
            <w:vAlign w:val="center"/>
          </w:tcPr>
          <w:p w14:paraId="74E21275">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922" w:type="dxa"/>
            <w:vAlign w:val="center"/>
          </w:tcPr>
          <w:p w14:paraId="6C1EA0A9">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品目名称</w:t>
            </w:r>
          </w:p>
        </w:tc>
        <w:tc>
          <w:tcPr>
            <w:tcW w:w="1313" w:type="dxa"/>
            <w:vAlign w:val="center"/>
          </w:tcPr>
          <w:p w14:paraId="7D760D57">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标的名称</w:t>
            </w:r>
          </w:p>
        </w:tc>
        <w:tc>
          <w:tcPr>
            <w:tcW w:w="820" w:type="dxa"/>
            <w:vAlign w:val="center"/>
          </w:tcPr>
          <w:p w14:paraId="0A69618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单位</w:t>
            </w:r>
          </w:p>
        </w:tc>
        <w:tc>
          <w:tcPr>
            <w:tcW w:w="826" w:type="dxa"/>
            <w:vAlign w:val="center"/>
          </w:tcPr>
          <w:p w14:paraId="343AB05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w:t>
            </w:r>
          </w:p>
        </w:tc>
        <w:tc>
          <w:tcPr>
            <w:tcW w:w="1266" w:type="dxa"/>
            <w:vAlign w:val="center"/>
          </w:tcPr>
          <w:p w14:paraId="4E314519">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分项预算单价（元）</w:t>
            </w:r>
          </w:p>
        </w:tc>
        <w:tc>
          <w:tcPr>
            <w:tcW w:w="1266" w:type="dxa"/>
            <w:vAlign w:val="center"/>
          </w:tcPr>
          <w:p w14:paraId="54178819">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分项预算总价（元）</w:t>
            </w:r>
          </w:p>
        </w:tc>
        <w:tc>
          <w:tcPr>
            <w:tcW w:w="829" w:type="dxa"/>
            <w:vAlign w:val="center"/>
          </w:tcPr>
          <w:p w14:paraId="5791214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权重%</w:t>
            </w:r>
          </w:p>
        </w:tc>
        <w:tc>
          <w:tcPr>
            <w:tcW w:w="820" w:type="dxa"/>
            <w:vAlign w:val="center"/>
          </w:tcPr>
          <w:p w14:paraId="2379B7EB">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所属行业</w:t>
            </w:r>
          </w:p>
        </w:tc>
        <w:tc>
          <w:tcPr>
            <w:tcW w:w="821" w:type="dxa"/>
            <w:vAlign w:val="center"/>
          </w:tcPr>
          <w:p w14:paraId="55EC4485">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技术要求</w:t>
            </w:r>
          </w:p>
        </w:tc>
      </w:tr>
      <w:tr w14:paraId="1F82E1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7" w:type="dxa"/>
            <w:vAlign w:val="center"/>
          </w:tcPr>
          <w:p w14:paraId="5D3F604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922" w:type="dxa"/>
            <w:vAlign w:val="center"/>
          </w:tcPr>
          <w:p w14:paraId="5FF59F5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其他服务</w:t>
            </w:r>
          </w:p>
        </w:tc>
        <w:tc>
          <w:tcPr>
            <w:tcW w:w="1313" w:type="dxa"/>
            <w:vAlign w:val="center"/>
          </w:tcPr>
          <w:p w14:paraId="68A84F24">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阳江市第二中学采购食堂物资(肉类)配送</w:t>
            </w:r>
          </w:p>
        </w:tc>
        <w:tc>
          <w:tcPr>
            <w:tcW w:w="820" w:type="dxa"/>
            <w:vAlign w:val="center"/>
          </w:tcPr>
          <w:p w14:paraId="6D96634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w:t>
            </w:r>
          </w:p>
        </w:tc>
        <w:tc>
          <w:tcPr>
            <w:tcW w:w="826" w:type="dxa"/>
            <w:vAlign w:val="center"/>
          </w:tcPr>
          <w:p w14:paraId="4954E88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1.00</w:t>
            </w:r>
          </w:p>
        </w:tc>
        <w:tc>
          <w:tcPr>
            <w:tcW w:w="1266" w:type="dxa"/>
            <w:vAlign w:val="center"/>
          </w:tcPr>
          <w:p w14:paraId="326E400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3500000.00</w:t>
            </w:r>
          </w:p>
        </w:tc>
        <w:tc>
          <w:tcPr>
            <w:tcW w:w="1266" w:type="dxa"/>
            <w:vAlign w:val="center"/>
          </w:tcPr>
          <w:p w14:paraId="534CCFA8">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3500000.00</w:t>
            </w:r>
          </w:p>
        </w:tc>
        <w:tc>
          <w:tcPr>
            <w:tcW w:w="829" w:type="dxa"/>
            <w:vAlign w:val="center"/>
          </w:tcPr>
          <w:p w14:paraId="248AC0B6">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100.0</w:t>
            </w:r>
          </w:p>
        </w:tc>
        <w:tc>
          <w:tcPr>
            <w:tcW w:w="820" w:type="dxa"/>
            <w:vAlign w:val="center"/>
          </w:tcPr>
          <w:p w14:paraId="49F526B6">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批发业</w:t>
            </w:r>
          </w:p>
        </w:tc>
        <w:tc>
          <w:tcPr>
            <w:tcW w:w="821" w:type="dxa"/>
            <w:vAlign w:val="center"/>
          </w:tcPr>
          <w:p w14:paraId="2939FFB1">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详见附表一</w:t>
            </w:r>
          </w:p>
        </w:tc>
      </w:tr>
    </w:tbl>
    <w:p w14:paraId="477BA39A">
      <w:pPr>
        <w:pStyle w:val="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备注：最终综合总报价=（各产品报价×各项产品权重）的相加值</w:t>
      </w:r>
    </w:p>
    <w:p w14:paraId="6068D8B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249C27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附表一：</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阳江市第二中学采购食堂物资(肉类)配送项目</w:t>
      </w:r>
    </w:p>
    <w:tbl>
      <w:tblPr>
        <w:tblStyle w:val="16"/>
        <w:tblW w:w="1010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34"/>
        <w:gridCol w:w="562"/>
        <w:gridCol w:w="8804"/>
      </w:tblGrid>
      <w:tr w14:paraId="4F6E21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34" w:type="dxa"/>
            <w:vAlign w:val="top"/>
          </w:tcPr>
          <w:p w14:paraId="14DDB5E6">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562" w:type="dxa"/>
            <w:vAlign w:val="top"/>
          </w:tcPr>
          <w:p w14:paraId="5E7419F3">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8804" w:type="dxa"/>
            <w:vAlign w:val="top"/>
          </w:tcPr>
          <w:p w14:paraId="3D6324B2">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348B5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34" w:type="dxa"/>
            <w:vAlign w:val="top"/>
          </w:tcPr>
          <w:p w14:paraId="6E8D9E06">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562" w:type="dxa"/>
            <w:vAlign w:val="center"/>
          </w:tcPr>
          <w:p w14:paraId="475D4DE0">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8804" w:type="dxa"/>
            <w:vAlign w:val="top"/>
          </w:tcPr>
          <w:p w14:paraId="436DD9A9">
            <w:pPr>
              <w:pStyle w:val="23"/>
              <w:keepNext w:val="0"/>
              <w:keepLines w:val="0"/>
              <w:pageBreakBefore w:val="0"/>
              <w:widowControl w:val="0"/>
              <w:kinsoku/>
              <w:wordWrap/>
              <w:overflowPunct/>
              <w:topLinePunct w:val="0"/>
              <w:autoSpaceDE/>
              <w:autoSpaceDN/>
              <w:bidi w:val="0"/>
              <w:adjustRightInd/>
              <w:spacing w:line="360" w:lineRule="auto"/>
              <w:ind w:firstLine="0" w:firstLineChars="0"/>
              <w:textAlignment w:val="auto"/>
              <w:outlineLvl w:val="9"/>
              <w:rPr>
                <w:rFonts w:hint="eastAsia" w:ascii="宋体" w:hAnsi="宋体" w:eastAsiaTheme="minorEastAsia"/>
                <w:b/>
                <w:color w:val="000000" w:themeColor="text1"/>
                <w:szCs w:val="21"/>
                <w:highlight w:val="none"/>
                <w:lang w:eastAsia="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具体项目要求</w:t>
            </w:r>
            <w:r>
              <w:rPr>
                <w:rFonts w:hint="eastAsia" w:ascii="宋体" w:hAnsi="宋体"/>
                <w:b/>
                <w:color w:val="000000" w:themeColor="text1"/>
                <w:szCs w:val="21"/>
                <w:highlight w:val="none"/>
                <w:lang w:eastAsia="zh-CN"/>
                <w14:textFill>
                  <w14:solidFill>
                    <w14:schemeClr w14:val="tx1"/>
                  </w14:solidFill>
                </w14:textFill>
              </w:rPr>
              <w:t>：</w:t>
            </w:r>
          </w:p>
          <w:p w14:paraId="3FA6DDF9">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1</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b/>
                <w:color w:val="000000" w:themeColor="text1"/>
                <w:highlight w:val="none"/>
                <w14:textFill>
                  <w14:solidFill>
                    <w14:schemeClr w14:val="tx1"/>
                  </w14:solidFill>
                </w14:textFill>
              </w:rPr>
              <w:t>鲜肉（边猪）、家禽、鱼类基本要求</w:t>
            </w:r>
          </w:p>
          <w:p w14:paraId="334CA5F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a）所供货物应保持较好的外观和质量等级，严格遵守《动物检疫法》和《食物卫生法》等相关规定。符合国家食品部门的有关标准，保证无异味、无霉烂变质，</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每批鲜猪肉、猪骨、牛肉等鲜肉是</w:t>
            </w:r>
            <w:r>
              <w:rPr>
                <w:rFonts w:hint="eastAsia" w:ascii="宋体" w:hAnsi="宋体"/>
                <w:color w:val="000000" w:themeColor="text1"/>
                <w:highlight w:val="none"/>
                <w:lang w:val="en-US" w:eastAsia="zh-CN"/>
                <w14:textFill>
                  <w14:solidFill>
                    <w14:schemeClr w14:val="tx1"/>
                  </w14:solidFill>
                </w14:textFill>
              </w:rPr>
              <w:t>阳江市或周边城市政府</w:t>
            </w:r>
            <w:r>
              <w:rPr>
                <w:rFonts w:hint="eastAsia" w:ascii="宋体" w:hAnsi="宋体"/>
                <w:color w:val="000000" w:themeColor="text1"/>
                <w:highlight w:val="none"/>
                <w14:textFill>
                  <w14:solidFill>
                    <w14:schemeClr w14:val="tx1"/>
                  </w14:solidFill>
                </w14:textFill>
              </w:rPr>
              <w:t>指定的肉联厂发出的放心肉并提供放心肉证，并注明保鲜期，供货时须提交肉联厂的验收单及当批次动物检疫合格证明和肉品品质检验合格证复印件，新鲜肉确保每日新鲜。</w:t>
            </w:r>
          </w:p>
          <w:p w14:paraId="2B55826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b）鲜肉[边猪（白条猪）]净重35KG以上，去头、去蹄、去板油、去内脏。</w:t>
            </w:r>
          </w:p>
          <w:p w14:paraId="5CC53DD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c）鸡、鹅、鸭需去毛、去内脏。</w:t>
            </w:r>
          </w:p>
          <w:p w14:paraId="20FAC75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d</w:t>
            </w:r>
            <w:r>
              <w:rPr>
                <w:rFonts w:hint="eastAsia" w:ascii="宋体" w:hAnsi="宋体"/>
                <w:color w:val="000000" w:themeColor="text1"/>
                <w:highlight w:val="none"/>
                <w14:textFill>
                  <w14:solidFill>
                    <w14:schemeClr w14:val="tx1"/>
                  </w14:solidFill>
                </w14:textFill>
              </w:rPr>
              <w:t>）所有货物规格符合采购人提交的日采购计划中明确的具体需求，所有的肉类产品不得有注水现象。</w:t>
            </w:r>
          </w:p>
          <w:p w14:paraId="01BBE17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e</w:t>
            </w:r>
            <w:r>
              <w:rPr>
                <w:rFonts w:hint="eastAsia" w:ascii="宋体" w:hAnsi="宋体"/>
                <w:color w:val="000000" w:themeColor="text1"/>
                <w:highlight w:val="none"/>
                <w14:textFill>
                  <w14:solidFill>
                    <w14:schemeClr w14:val="tx1"/>
                  </w14:solidFill>
                </w14:textFill>
              </w:rPr>
              <w:t>）不得供应冷冻禽类、猪肉类食品。</w:t>
            </w:r>
          </w:p>
          <w:p w14:paraId="29E18E3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质量描述</w:t>
            </w:r>
          </w:p>
          <w:p w14:paraId="641CBB4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五花肉</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肥瘦比例为3</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7</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三线肉</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，肉呈均匀的红色，有光泽，肉质</w:t>
            </w:r>
            <w:r>
              <w:rPr>
                <w:rFonts w:hint="eastAsia" w:ascii="宋体" w:hAnsi="宋体"/>
                <w:color w:val="000000" w:themeColor="text1"/>
                <w:highlight w:val="none"/>
                <w:lang w:val="en-US" w:eastAsia="zh-CN"/>
                <w14:textFill>
                  <w14:solidFill>
                    <w14:schemeClr w14:val="tx1"/>
                  </w14:solidFill>
                </w14:textFill>
              </w:rPr>
              <w:t>紧致</w:t>
            </w:r>
            <w:r>
              <w:rPr>
                <w:rFonts w:hint="eastAsia" w:ascii="宋体" w:hAnsi="宋体"/>
                <w:color w:val="000000" w:themeColor="text1"/>
                <w:highlight w:val="none"/>
                <w14:textFill>
                  <w14:solidFill>
                    <w14:schemeClr w14:val="tx1"/>
                  </w14:solidFill>
                </w14:textFill>
              </w:rPr>
              <w:t>富有弹性，有坚实感，用手指按压凹陷后会立</w:t>
            </w:r>
            <w:r>
              <w:rPr>
                <w:rFonts w:hint="eastAsia" w:ascii="宋体" w:hAnsi="宋体"/>
                <w:color w:val="000000" w:themeColor="text1"/>
                <w:highlight w:val="none"/>
                <w:lang w:eastAsia="zh-CN"/>
                <w14:textFill>
                  <w14:solidFill>
                    <w14:schemeClr w14:val="tx1"/>
                  </w14:solidFill>
                </w14:textFill>
              </w:rPr>
              <w:t>即恢</w:t>
            </w:r>
            <w:r>
              <w:rPr>
                <w:rFonts w:hint="eastAsia" w:ascii="宋体" w:hAnsi="宋体"/>
                <w:color w:val="000000" w:themeColor="text1"/>
                <w:highlight w:val="none"/>
                <w14:textFill>
                  <w14:solidFill>
                    <w14:schemeClr w14:val="tx1"/>
                  </w14:solidFill>
                </w14:textFill>
              </w:rPr>
              <w:t>复</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肉的外表及切面微湿润,不粘手，脂肪洁白，肉汁透明。</w:t>
            </w:r>
          </w:p>
          <w:p w14:paraId="3F0FE0E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上肉</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肉呈均匀的红色，有光泽、肉质紧密，有坚实感</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肉的外表及切面湿润，不粘手，</w:t>
            </w:r>
            <w:r>
              <w:rPr>
                <w:rFonts w:hint="eastAsia" w:ascii="宋体" w:hAnsi="宋体"/>
                <w:color w:val="000000" w:themeColor="text1"/>
                <w:highlight w:val="none"/>
                <w:lang w:eastAsia="zh-CN"/>
                <w14:textFill>
                  <w14:solidFill>
                    <w14:schemeClr w14:val="tx1"/>
                  </w14:solidFill>
                </w14:textFill>
              </w:rPr>
              <w:t>脂肪</w:t>
            </w:r>
            <w:r>
              <w:rPr>
                <w:rFonts w:hint="eastAsia" w:ascii="宋体" w:hAnsi="宋体"/>
                <w:color w:val="000000" w:themeColor="text1"/>
                <w:highlight w:val="none"/>
                <w14:textFill>
                  <w14:solidFill>
                    <w14:schemeClr w14:val="tx1"/>
                  </w14:solidFill>
                </w14:textFill>
              </w:rPr>
              <w:t>洁白无霉点。</w:t>
            </w:r>
          </w:p>
          <w:p w14:paraId="2FEB97D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牛肉</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肌肉呈均匀的红色，有光泽，脂肪呈白色或微黄色，肌肉外表微干或风干膜，或外表湿润，但都不粘手，良质牛肉的肌肉结构紧密，有坚实感,用手指按乐凹陷后会立即复原</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肌纤维韧性强。</w:t>
            </w:r>
          </w:p>
          <w:p w14:paraId="609276B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瘦肉</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脂</w:t>
            </w:r>
            <w:r>
              <w:rPr>
                <w:rFonts w:hint="eastAsia" w:ascii="宋体" w:hAnsi="宋体"/>
                <w:color w:val="000000" w:themeColor="text1"/>
                <w:highlight w:val="none"/>
                <w:lang w:eastAsia="zh-CN"/>
                <w14:textFill>
                  <w14:solidFill>
                    <w14:schemeClr w14:val="tx1"/>
                  </w14:solidFill>
                </w14:textFill>
              </w:rPr>
              <w:t>肪</w:t>
            </w:r>
            <w:r>
              <w:rPr>
                <w:rFonts w:hint="eastAsia" w:ascii="宋体" w:hAnsi="宋体"/>
                <w:color w:val="000000" w:themeColor="text1"/>
                <w:highlight w:val="none"/>
                <w14:textFill>
                  <w14:solidFill>
                    <w14:schemeClr w14:val="tx1"/>
                  </w14:solidFill>
                </w14:textFill>
              </w:rPr>
              <w:t>含量低于5%。肉</w:t>
            </w:r>
            <w:r>
              <w:rPr>
                <w:rFonts w:hint="eastAsia" w:ascii="宋体" w:hAnsi="宋体"/>
                <w:color w:val="000000" w:themeColor="text1"/>
                <w:highlight w:val="none"/>
                <w:lang w:val="en-US" w:eastAsia="zh-CN"/>
                <w14:textFill>
                  <w14:solidFill>
                    <w14:schemeClr w14:val="tx1"/>
                  </w14:solidFill>
                </w14:textFill>
              </w:rPr>
              <w:t>呈</w:t>
            </w:r>
            <w:r>
              <w:rPr>
                <w:rFonts w:hint="eastAsia" w:ascii="宋体" w:hAnsi="宋体"/>
                <w:color w:val="000000" w:themeColor="text1"/>
                <w:highlight w:val="none"/>
                <w14:textFill>
                  <w14:solidFill>
                    <w14:schemeClr w14:val="tx1"/>
                  </w14:solidFill>
                </w14:textFill>
              </w:rPr>
              <w:t>均匀的红色，有光泽，肉质密，有坚实感</w:t>
            </w:r>
            <w:r>
              <w:rPr>
                <w:rFonts w:hint="eastAsia" w:ascii="宋体" w:hAnsi="宋体"/>
                <w:color w:val="000000" w:themeColor="text1"/>
                <w:highlight w:val="none"/>
                <w:lang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肉的外表及切面微湿润，不粘手。</w:t>
            </w:r>
          </w:p>
          <w:p w14:paraId="3F6E3920">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2</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b/>
                <w:bCs/>
                <w:color w:val="000000" w:themeColor="text1"/>
                <w:highlight w:val="none"/>
                <w14:textFill>
                  <w14:solidFill>
                    <w14:schemeClr w14:val="tx1"/>
                  </w14:solidFill>
                </w14:textFill>
              </w:rPr>
              <w:t>腊味：</w:t>
            </w:r>
          </w:p>
          <w:p w14:paraId="7D8FFEFD">
            <w:pPr>
              <w:keepNext w:val="0"/>
              <w:keepLines w:val="0"/>
              <w:pageBreakBefore w:val="0"/>
              <w:widowControl w:val="0"/>
              <w:kinsoku/>
              <w:wordWrap/>
              <w:overflowPunct/>
              <w:topLinePunct w:val="0"/>
              <w:autoSpaceDE/>
              <w:autoSpaceDN/>
              <w:bidi w:val="0"/>
              <w:adjustRightInd/>
              <w:snapToGrid w:val="0"/>
              <w:spacing w:line="360" w:lineRule="auto"/>
              <w:ind w:left="210" w:leftChars="100" w:firstLine="420" w:firstLineChars="200"/>
              <w:textAlignment w:val="auto"/>
              <w:outlineLvl w:val="9"/>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符合国家食品部门有关标准，色泽鲜明，肌肉暗红色，脂肪透明呈乳白色，肉干燥结实，带有固有的腊式香味。</w:t>
            </w:r>
          </w:p>
          <w:p w14:paraId="582BC082">
            <w:pPr>
              <w:pStyle w:val="24"/>
              <w:keepNext w:val="0"/>
              <w:keepLines w:val="0"/>
              <w:pageBreakBefore w:val="0"/>
              <w:widowControl w:val="0"/>
              <w:kinsoku/>
              <w:wordWrap/>
              <w:overflowPunct/>
              <w:topLinePunct w:val="0"/>
              <w:autoSpaceDE/>
              <w:autoSpaceDN/>
              <w:bidi w:val="0"/>
              <w:adjustRightInd/>
              <w:ind w:firstLine="0" w:firstLineChars="0"/>
              <w:textAlignment w:val="auto"/>
              <w:outlineLvl w:val="9"/>
              <w:rPr>
                <w:rFonts w:hint="eastAsia" w:cs="Times New Roman"/>
                <w:b/>
                <w:color w:val="000000" w:themeColor="text1"/>
                <w:kern w:val="2"/>
                <w:sz w:val="21"/>
                <w:highlight w:val="none"/>
                <w14:textFill>
                  <w14:solidFill>
                    <w14:schemeClr w14:val="tx1"/>
                  </w14:solidFill>
                </w14:textFill>
              </w:rPr>
            </w:pPr>
            <w:r>
              <w:rPr>
                <w:rFonts w:hint="eastAsia" w:cs="Times New Roman"/>
                <w:b/>
                <w:color w:val="000000" w:themeColor="text1"/>
                <w:kern w:val="2"/>
                <w:sz w:val="21"/>
                <w:highlight w:val="none"/>
                <w:lang w:val="en-US" w:eastAsia="zh-CN"/>
                <w14:textFill>
                  <w14:solidFill>
                    <w14:schemeClr w14:val="tx1"/>
                  </w14:solidFill>
                </w14:textFill>
              </w:rPr>
              <w:t>3</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cs="Times New Roman"/>
                <w:b/>
                <w:color w:val="000000" w:themeColor="text1"/>
                <w:kern w:val="2"/>
                <w:sz w:val="21"/>
                <w:highlight w:val="none"/>
                <w14:textFill>
                  <w14:solidFill>
                    <w14:schemeClr w14:val="tx1"/>
                  </w14:solidFill>
                </w14:textFill>
              </w:rPr>
              <w:t>水产海鲜类</w:t>
            </w:r>
          </w:p>
          <w:p w14:paraId="030F1125">
            <w:pPr>
              <w:pStyle w:val="24"/>
              <w:keepNext w:val="0"/>
              <w:keepLines w:val="0"/>
              <w:pageBreakBefore w:val="0"/>
              <w:widowControl w:val="0"/>
              <w:kinsoku/>
              <w:wordWrap/>
              <w:overflowPunct/>
              <w:topLinePunct w:val="0"/>
              <w:autoSpaceDE/>
              <w:autoSpaceDN/>
              <w:bidi w:val="0"/>
              <w:adjustRightInd/>
              <w:ind w:firstLine="210" w:firstLineChars="100"/>
              <w:textAlignment w:val="auto"/>
              <w:outlineLvl w:val="9"/>
              <w:rPr>
                <w:rFonts w:hint="eastAsia" w:cs="Times New Roman"/>
                <w:bCs/>
                <w:color w:val="000000" w:themeColor="text1"/>
                <w:kern w:val="2"/>
                <w:sz w:val="21"/>
                <w:highlight w:val="none"/>
                <w14:textFill>
                  <w14:solidFill>
                    <w14:schemeClr w14:val="tx1"/>
                  </w14:solidFill>
                </w14:textFill>
              </w:rPr>
            </w:pPr>
            <w:r>
              <w:rPr>
                <w:rFonts w:hint="eastAsia" w:cs="Times New Roman"/>
                <w:bCs/>
                <w:color w:val="000000" w:themeColor="text1"/>
                <w:kern w:val="2"/>
                <w:sz w:val="21"/>
                <w:highlight w:val="none"/>
                <w14:textFill>
                  <w14:solidFill>
                    <w14:schemeClr w14:val="tx1"/>
                  </w14:solidFill>
                </w14:textFill>
              </w:rPr>
              <w:t>（1）海鲜、河鲜类必须鲜活，身体饱满结实，无腐烂异味，肉质紧密有弹性，来源可靠放心，无毒，无害，无污染（利用率不低于95%）。</w:t>
            </w:r>
          </w:p>
          <w:p w14:paraId="0D6CDF88">
            <w:pPr>
              <w:pStyle w:val="24"/>
              <w:keepNext w:val="0"/>
              <w:keepLines w:val="0"/>
              <w:pageBreakBefore w:val="0"/>
              <w:widowControl w:val="0"/>
              <w:kinsoku/>
              <w:wordWrap/>
              <w:overflowPunct/>
              <w:topLinePunct w:val="0"/>
              <w:autoSpaceDE/>
              <w:autoSpaceDN/>
              <w:bidi w:val="0"/>
              <w:adjustRightInd/>
              <w:ind w:firstLine="210" w:firstLineChars="100"/>
              <w:textAlignment w:val="auto"/>
              <w:outlineLvl w:val="9"/>
              <w:rPr>
                <w:rFonts w:hint="eastAsia" w:cs="Times New Roman"/>
                <w:bCs/>
                <w:color w:val="000000" w:themeColor="text1"/>
                <w:kern w:val="2"/>
                <w:sz w:val="21"/>
                <w:highlight w:val="none"/>
                <w14:textFill>
                  <w14:solidFill>
                    <w14:schemeClr w14:val="tx1"/>
                  </w14:solidFill>
                </w14:textFill>
              </w:rPr>
            </w:pPr>
            <w:r>
              <w:rPr>
                <w:rFonts w:hint="eastAsia" w:cs="Times New Roman"/>
                <w:bCs/>
                <w:color w:val="000000" w:themeColor="text1"/>
                <w:kern w:val="2"/>
                <w:sz w:val="21"/>
                <w:highlight w:val="none"/>
                <w14:textFill>
                  <w14:solidFill>
                    <w14:schemeClr w14:val="tx1"/>
                  </w14:solidFill>
                </w14:textFill>
              </w:rPr>
              <w:t>（2）新鲜水产品的具体要求：要体态完整，体色正常，捞离水后，挣扎力。</w:t>
            </w:r>
          </w:p>
          <w:p w14:paraId="0D567CDA">
            <w:pPr>
              <w:pStyle w:val="24"/>
              <w:keepNext w:val="0"/>
              <w:keepLines w:val="0"/>
              <w:pageBreakBefore w:val="0"/>
              <w:widowControl w:val="0"/>
              <w:kinsoku/>
              <w:wordWrap/>
              <w:overflowPunct/>
              <w:topLinePunct w:val="0"/>
              <w:autoSpaceDE/>
              <w:autoSpaceDN/>
              <w:bidi w:val="0"/>
              <w:adjustRightInd/>
              <w:ind w:firstLine="210" w:firstLineChars="100"/>
              <w:textAlignment w:val="auto"/>
              <w:outlineLvl w:val="9"/>
              <w:rPr>
                <w:rFonts w:hint="eastAsia" w:cs="Times New Roman"/>
                <w:bCs/>
                <w:color w:val="000000" w:themeColor="text1"/>
                <w:kern w:val="2"/>
                <w:sz w:val="21"/>
                <w:highlight w:val="none"/>
                <w14:textFill>
                  <w14:solidFill>
                    <w14:schemeClr w14:val="tx1"/>
                  </w14:solidFill>
                </w14:textFill>
              </w:rPr>
            </w:pPr>
            <w:r>
              <w:rPr>
                <w:rFonts w:hint="eastAsia" w:cs="Times New Roman"/>
                <w:bCs/>
                <w:color w:val="000000" w:themeColor="text1"/>
                <w:kern w:val="2"/>
                <w:sz w:val="21"/>
                <w:highlight w:val="none"/>
                <w14:textFill>
                  <w14:solidFill>
                    <w14:schemeClr w14:val="tx1"/>
                  </w14:solidFill>
                </w14:textFill>
              </w:rPr>
              <w:t>（3）冷冻鱼类要求鱼眼睛清亮，角膜透明，鳞片上覆盖有冻结的透明</w:t>
            </w:r>
            <w:r>
              <w:rPr>
                <w:rFonts w:hint="eastAsia" w:cs="Times New Roman"/>
                <w:bCs/>
                <w:color w:val="000000" w:themeColor="text1"/>
                <w:kern w:val="2"/>
                <w:sz w:val="21"/>
                <w:highlight w:val="none"/>
                <w:lang w:eastAsia="zh-CN"/>
                <w14:textFill>
                  <w14:solidFill>
                    <w14:schemeClr w14:val="tx1"/>
                  </w14:solidFill>
                </w14:textFill>
              </w:rPr>
              <w:t>黏液</w:t>
            </w:r>
            <w:r>
              <w:rPr>
                <w:rFonts w:hint="eastAsia" w:cs="Times New Roman"/>
                <w:bCs/>
                <w:color w:val="000000" w:themeColor="text1"/>
                <w:kern w:val="2"/>
                <w:sz w:val="21"/>
                <w:highlight w:val="none"/>
                <w14:textFill>
                  <w14:solidFill>
                    <w14:schemeClr w14:val="tx1"/>
                  </w14:solidFill>
                </w14:textFill>
              </w:rPr>
              <w:t xml:space="preserve">层，皮肤天然色泽明显。鱼体完整无伤残，带鳞鱼应体表鳞片完整无损。去鳞鱼不应有残鳞片。另外鱼体富有弹性，手指轻按鱼体后，手指凹陷处可马上恢复。鱼应无异味有较温和的鱼腥味。 </w:t>
            </w:r>
          </w:p>
          <w:p w14:paraId="536AA02F">
            <w:pPr>
              <w:pStyle w:val="24"/>
              <w:keepNext w:val="0"/>
              <w:keepLines w:val="0"/>
              <w:pageBreakBefore w:val="0"/>
              <w:widowControl w:val="0"/>
              <w:kinsoku/>
              <w:wordWrap/>
              <w:overflowPunct/>
              <w:topLinePunct w:val="0"/>
              <w:autoSpaceDE/>
              <w:autoSpaceDN/>
              <w:bidi w:val="0"/>
              <w:adjustRightInd/>
              <w:ind w:firstLine="210" w:firstLineChars="100"/>
              <w:textAlignment w:val="auto"/>
              <w:outlineLvl w:val="9"/>
              <w:rPr>
                <w:rFonts w:hint="eastAsia" w:cs="Times New Roman"/>
                <w:bCs/>
                <w:color w:val="000000" w:themeColor="text1"/>
                <w:kern w:val="2"/>
                <w:sz w:val="21"/>
                <w:highlight w:val="none"/>
                <w14:textFill>
                  <w14:solidFill>
                    <w14:schemeClr w14:val="tx1"/>
                  </w14:solidFill>
                </w14:textFill>
              </w:rPr>
            </w:pPr>
            <w:r>
              <w:rPr>
                <w:rFonts w:hint="eastAsia" w:cs="Times New Roman"/>
                <w:bCs/>
                <w:color w:val="000000" w:themeColor="text1"/>
                <w:kern w:val="2"/>
                <w:sz w:val="21"/>
                <w:highlight w:val="none"/>
                <w14:textFill>
                  <w14:solidFill>
                    <w14:schemeClr w14:val="tx1"/>
                  </w14:solidFill>
                </w14:textFill>
              </w:rPr>
              <w:t xml:space="preserve">（4）虾的头胸甲与躯干连接紧密，无断头现象。虾身清洁无污染无异味，虾眼突起，虾身较挺，肉质坚实；虾壳发亮、发硬，呈青绿色或青白色。  </w:t>
            </w:r>
          </w:p>
          <w:p w14:paraId="6CBFCA14">
            <w:pPr>
              <w:pStyle w:val="24"/>
              <w:keepNext w:val="0"/>
              <w:keepLines w:val="0"/>
              <w:pageBreakBefore w:val="0"/>
              <w:widowControl w:val="0"/>
              <w:kinsoku/>
              <w:wordWrap/>
              <w:overflowPunct/>
              <w:topLinePunct w:val="0"/>
              <w:autoSpaceDE/>
              <w:autoSpaceDN/>
              <w:bidi w:val="0"/>
              <w:adjustRightInd/>
              <w:ind w:firstLine="210" w:firstLineChars="100"/>
              <w:textAlignment w:val="auto"/>
              <w:outlineLvl w:val="9"/>
              <w:rPr>
                <w:rFonts w:hint="eastAsia" w:cs="Times New Roman"/>
                <w:bCs/>
                <w:color w:val="000000" w:themeColor="text1"/>
                <w:kern w:val="2"/>
                <w:sz w:val="21"/>
                <w:highlight w:val="none"/>
                <w14:textFill>
                  <w14:solidFill>
                    <w14:schemeClr w14:val="tx1"/>
                  </w14:solidFill>
                </w14:textFill>
              </w:rPr>
            </w:pPr>
            <w:r>
              <w:rPr>
                <w:rFonts w:hint="eastAsia" w:cs="Times New Roman"/>
                <w:bCs/>
                <w:color w:val="000000" w:themeColor="text1"/>
                <w:kern w:val="2"/>
                <w:sz w:val="21"/>
                <w:highlight w:val="none"/>
                <w14:textFill>
                  <w14:solidFill>
                    <w14:schemeClr w14:val="tx1"/>
                  </w14:solidFill>
                </w14:textFill>
              </w:rPr>
              <w:t>（</w:t>
            </w:r>
            <w:r>
              <w:rPr>
                <w:rFonts w:hint="eastAsia" w:cs="Times New Roman"/>
                <w:bCs/>
                <w:color w:val="000000" w:themeColor="text1"/>
                <w:kern w:val="2"/>
                <w:sz w:val="21"/>
                <w:highlight w:val="none"/>
                <w:lang w:val="en-US" w:eastAsia="zh-CN"/>
                <w14:textFill>
                  <w14:solidFill>
                    <w14:schemeClr w14:val="tx1"/>
                  </w14:solidFill>
                </w14:textFill>
              </w:rPr>
              <w:t>5</w:t>
            </w:r>
            <w:r>
              <w:rPr>
                <w:rFonts w:hint="eastAsia" w:cs="Times New Roman"/>
                <w:bCs/>
                <w:color w:val="000000" w:themeColor="text1"/>
                <w:kern w:val="2"/>
                <w:sz w:val="21"/>
                <w:highlight w:val="none"/>
                <w14:textFill>
                  <w14:solidFill>
                    <w14:schemeClr w14:val="tx1"/>
                  </w14:solidFill>
                </w14:textFill>
              </w:rPr>
              <w:t xml:space="preserve">）贝壳类要求肉质新鲜，无臭味，两贝壳相碰发出实响，且响声均匀，在静水中会伸出触角；表面清洁完整，无寄生物，外观完美，有光泽。 </w:t>
            </w:r>
          </w:p>
          <w:p w14:paraId="4C15B454">
            <w:pPr>
              <w:pStyle w:val="24"/>
              <w:keepNext w:val="0"/>
              <w:keepLines w:val="0"/>
              <w:pageBreakBefore w:val="0"/>
              <w:widowControl w:val="0"/>
              <w:kinsoku/>
              <w:wordWrap/>
              <w:overflowPunct/>
              <w:topLinePunct w:val="0"/>
              <w:autoSpaceDE/>
              <w:autoSpaceDN/>
              <w:bidi w:val="0"/>
              <w:adjustRightInd/>
              <w:ind w:firstLine="210" w:firstLineChars="100"/>
              <w:textAlignment w:val="auto"/>
              <w:outlineLvl w:val="9"/>
              <w:rPr>
                <w:rFonts w:hint="eastAsia" w:ascii="宋体" w:hAnsi="宋体" w:eastAsia="宋体" w:cs="宋体"/>
                <w:bCs/>
                <w:color w:val="000000" w:themeColor="text1"/>
                <w:kern w:val="2"/>
                <w:sz w:val="21"/>
                <w:highlight w:val="none"/>
                <w14:textFill>
                  <w14:solidFill>
                    <w14:schemeClr w14:val="tx1"/>
                  </w14:solidFill>
                </w14:textFill>
              </w:rPr>
            </w:pPr>
            <w:r>
              <w:rPr>
                <w:rFonts w:hint="eastAsia" w:cs="Times New Roman"/>
                <w:bCs/>
                <w:color w:val="000000" w:themeColor="text1"/>
                <w:kern w:val="2"/>
                <w:sz w:val="21"/>
                <w:highlight w:val="none"/>
                <w14:textFill>
                  <w14:solidFill>
                    <w14:schemeClr w14:val="tx1"/>
                  </w14:solidFill>
                </w14:textFill>
              </w:rPr>
              <w:t>（</w:t>
            </w:r>
            <w:r>
              <w:rPr>
                <w:rFonts w:hint="eastAsia" w:cs="Times New Roman"/>
                <w:bCs/>
                <w:color w:val="000000" w:themeColor="text1"/>
                <w:kern w:val="2"/>
                <w:sz w:val="21"/>
                <w:highlight w:val="none"/>
                <w:lang w:val="en-US" w:eastAsia="zh-CN"/>
                <w14:textFill>
                  <w14:solidFill>
                    <w14:schemeClr w14:val="tx1"/>
                  </w14:solidFill>
                </w14:textFill>
              </w:rPr>
              <w:t>6</w:t>
            </w:r>
            <w:r>
              <w:rPr>
                <w:rFonts w:hint="eastAsia" w:cs="Times New Roman"/>
                <w:bCs/>
                <w:color w:val="000000" w:themeColor="text1"/>
                <w:kern w:val="2"/>
                <w:sz w:val="21"/>
                <w:highlight w:val="none"/>
                <w14:textFill>
                  <w14:solidFill>
                    <w14:schemeClr w14:val="tx1"/>
                  </w14:solidFill>
                </w14:textFill>
              </w:rPr>
              <w:t>）</w:t>
            </w:r>
            <w:r>
              <w:rPr>
                <w:rFonts w:hint="eastAsia" w:ascii="宋体" w:hAnsi="宋体" w:eastAsia="宋体" w:cs="宋体"/>
                <w:bCs/>
                <w:color w:val="000000" w:themeColor="text1"/>
                <w:kern w:val="2"/>
                <w:sz w:val="21"/>
                <w:highlight w:val="none"/>
                <w14:textFill>
                  <w14:solidFill>
                    <w14:schemeClr w14:val="tx1"/>
                  </w14:solidFill>
                </w14:textFill>
              </w:rPr>
              <w:t>水产品须出具贮存地的出入库检疫证明。</w:t>
            </w:r>
          </w:p>
          <w:p w14:paraId="4040A8E9">
            <w:pPr>
              <w:pStyle w:val="24"/>
              <w:keepNext w:val="0"/>
              <w:keepLines w:val="0"/>
              <w:pageBreakBefore w:val="0"/>
              <w:widowControl w:val="0"/>
              <w:kinsoku/>
              <w:wordWrap/>
              <w:overflowPunct/>
              <w:topLinePunct w:val="0"/>
              <w:autoSpaceDE/>
              <w:autoSpaceDN/>
              <w:bidi w:val="0"/>
              <w:adjustRightInd/>
              <w:ind w:firstLine="210" w:firstLineChars="100"/>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kern w:val="2"/>
                <w:sz w:val="21"/>
                <w:highlight w:val="none"/>
                <w14:textFill>
                  <w14:solidFill>
                    <w14:schemeClr w14:val="tx1"/>
                  </w14:solidFill>
                </w14:textFill>
              </w:rPr>
              <w:t>（</w:t>
            </w:r>
            <w:r>
              <w:rPr>
                <w:rFonts w:hint="eastAsia" w:ascii="宋体" w:hAnsi="宋体" w:eastAsia="宋体" w:cs="宋体"/>
                <w:bCs/>
                <w:color w:val="000000" w:themeColor="text1"/>
                <w:kern w:val="2"/>
                <w:sz w:val="21"/>
                <w:highlight w:val="none"/>
                <w:lang w:val="en-US" w:eastAsia="zh-CN"/>
                <w14:textFill>
                  <w14:solidFill>
                    <w14:schemeClr w14:val="tx1"/>
                  </w14:solidFill>
                </w14:textFill>
              </w:rPr>
              <w:t>7</w:t>
            </w:r>
            <w:r>
              <w:rPr>
                <w:rFonts w:hint="eastAsia" w:ascii="宋体" w:hAnsi="宋体" w:eastAsia="宋体" w:cs="宋体"/>
                <w:bCs/>
                <w:color w:val="000000" w:themeColor="text1"/>
                <w:kern w:val="2"/>
                <w:sz w:val="21"/>
                <w:highlight w:val="none"/>
                <w14:textFill>
                  <w14:solidFill>
                    <w14:schemeClr w14:val="tx1"/>
                  </w14:solidFill>
                </w14:textFill>
              </w:rPr>
              <w:t>）海鲜制品类：海鲜制品类包括但不限于鱼丸、墨鱼丸、鱼蛋、鱼腐等。</w:t>
            </w:r>
          </w:p>
        </w:tc>
      </w:tr>
      <w:tr w14:paraId="5BCA61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34" w:type="dxa"/>
            <w:vAlign w:val="top"/>
          </w:tcPr>
          <w:p w14:paraId="59C3C5D9">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tc>
        <w:tc>
          <w:tcPr>
            <w:tcW w:w="9366" w:type="dxa"/>
            <w:gridSpan w:val="2"/>
            <w:vAlign w:val="top"/>
          </w:tcPr>
          <w:p w14:paraId="2DA60AB2">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打“★”号条款为实质性条款，若有任何一条负偏离或不满足则导致投标无效。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打“▲”号条款为重要技术参数，若有部分“▲”条款未响应或不满足，不作为无效投标条款。</w:t>
            </w:r>
          </w:p>
        </w:tc>
      </w:tr>
    </w:tbl>
    <w:p w14:paraId="164D0B5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B021ACB">
      <w:pPr>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126C163">
      <w:pPr>
        <w:rPr>
          <w:rFonts w:hint="eastAsia"/>
          <w:color w:val="000000" w:themeColor="text1"/>
          <w:highlight w:val="none"/>
          <w14:textFill>
            <w14:solidFill>
              <w14:schemeClr w14:val="tx1"/>
            </w14:solidFill>
          </w14:textFill>
        </w:rPr>
      </w:pPr>
    </w:p>
    <w:p w14:paraId="327D3BE4">
      <w:pPr>
        <w:rPr>
          <w:rFonts w:hint="eastAsia"/>
          <w:color w:val="000000" w:themeColor="text1"/>
          <w:highlight w:val="none"/>
          <w14:textFill>
            <w14:solidFill>
              <w14:schemeClr w14:val="tx1"/>
            </w14:solidFill>
          </w14:textFill>
        </w:rPr>
      </w:pPr>
    </w:p>
    <w:p w14:paraId="507E0F25">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A367F16">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2" w:name="_Toc7893"/>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bookmarkEnd w:id="2"/>
    </w:p>
    <w:p w14:paraId="1A1716A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3" w:name="_Toc1906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bookmarkEnd w:id="3"/>
    </w:p>
    <w:p w14:paraId="32277ED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0AA3F1E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阳江市第二中学</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7FB6F8C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315863E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5D872EA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0EAEECF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6AEE3B4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7B388CD">
      <w:pPr>
        <w:rPr>
          <w:rFonts w:hint="eastAsia"/>
          <w:color w:val="000000" w:themeColor="text1"/>
          <w:highlight w:val="none"/>
          <w14:textFill>
            <w14:solidFill>
              <w14:schemeClr w14:val="tx1"/>
            </w14:solidFill>
          </w14:textFill>
        </w:rPr>
      </w:pPr>
    </w:p>
    <w:p w14:paraId="0298AE41">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4" w:name="_Toc3147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bookmarkEnd w:id="4"/>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003D081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A25C70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7498AAA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56B2386E">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0A6624D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296CBE08">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8B23CD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2BADFC6B">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 （供应商应当审慎标记各评审项的应答部分，标记内容清晰且完整，否则将自行承担不利后果）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112B1307">
            <w:pPr>
              <w:pStyle w:val="20"/>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1C6660B1">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2F6F03B">
            <w:pPr>
              <w:pStyle w:val="20"/>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557E23FD">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折扣率</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7D0D673">
            <w:pPr>
              <w:pStyle w:val="20"/>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145BF523">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采购包1：0% - </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3BFFC81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724780C0">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08A4DE1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A692F2C">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F4F6BF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2137018">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60A91E1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275C9C02">
            <w:pPr>
              <w:pStyle w:val="20"/>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3F0844C6">
            <w:pPr>
              <w:pStyle w:val="20"/>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37076870">
            <w:pPr>
              <w:pStyle w:val="20"/>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（内含“开标一览表”、“法定代表人（负责人）证明书”和“法定代表人（负责人）授权书”）</w:t>
            </w:r>
          </w:p>
          <w:p w14:paraId="21A55959">
            <w:pPr>
              <w:pStyle w:val="20"/>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6B65ABE6">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E4F746E">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1E9BA131">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17CB509C">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34091F7F">
            <w:pPr>
              <w:pStyle w:val="20"/>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774CA95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438D6233">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08621D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5350B4DF">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0A83C2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0C4C5C0">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23A4B970">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431780E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63240E2A">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无</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5C3C3DF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57E563C">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17A7FCB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24BB4648">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收取。</w:t>
            </w:r>
          </w:p>
          <w:p w14:paraId="59CC8D1A">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机构代理服务收费标准：招标代理服务费按差额定率累进法计算。收费标准参照原国家发展计划委员会颁发的计价格[2002]1980号文《招标代理服务收费管理暂行办法》及国家发改委[2003]857号文及发改价格[2011]534号文规定，当招标代理服务费计算不足</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00元按定额</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00元收取。</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中标服务费由中标人在领取中标通知书前以银行转账方式一次性支付。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560D427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90E0C2E">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666C3ABA">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1FC6D0E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36B85003">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广东业信采购招标有限公司</w:t>
            </w:r>
          </w:p>
          <w:p w14:paraId="6649E2F5">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44547801040002249</w:t>
            </w:r>
          </w:p>
          <w:p w14:paraId="6BA88892">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71F0E91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49ABE3E4">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color w:val="000000" w:themeColor="text1"/>
                <w:highlight w:val="none"/>
                <w:lang w:val="en-US" w:eastAsia="zh-CN"/>
                <w14:textFill>
                  <w14:solidFill>
                    <w14:schemeClr w14:val="tx1"/>
                  </w14:solidFill>
                </w14:textFill>
              </w:rPr>
              <w:t>本项目不专门中小</w:t>
            </w:r>
            <w:r>
              <w:rPr>
                <w:color w:val="000000" w:themeColor="text1"/>
                <w:highlight w:val="none"/>
                <w14:textFill>
                  <w14:solidFill>
                    <w14:schemeClr w14:val="tx1"/>
                  </w14:solidFill>
                </w14:textFill>
              </w:rPr>
              <w:t>企业</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7B0754A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352F5F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3007" w:type="dxa"/>
            <w:tcBorders>
              <w:right w:val="single" w:color="auto" w:sz="4" w:space="0"/>
            </w:tcBorders>
            <w:vAlign w:val="center"/>
          </w:tcPr>
          <w:p w14:paraId="271A37C1">
            <w:pPr>
              <w:pStyle w:val="20"/>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宋体" w:hAnsi="宋体"/>
                <w:color w:val="000000" w:themeColor="text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10DE389C">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https://www.hnzbcgxxw.com/</w:t>
            </w:r>
          </w:p>
        </w:tc>
      </w:tr>
      <w:tr w14:paraId="26F52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D098B6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5A52239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0D3BA47">
            <w:pPr>
              <w:pStyle w:val="20"/>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6EB908E9">
            <w:pPr>
              <w:spacing w:line="400" w:lineRule="exac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64380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6317163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068391B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7016DC9C">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4530A8BD">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79CD7AA">
      <w:pPr>
        <w:rPr>
          <w:rFonts w:hint="eastAsia"/>
          <w:color w:val="000000" w:themeColor="text1"/>
          <w:highlight w:val="none"/>
          <w14:textFill>
            <w14:solidFill>
              <w14:schemeClr w14:val="tx1"/>
            </w14:solidFill>
          </w14:textFill>
        </w:rPr>
      </w:pPr>
    </w:p>
    <w:p w14:paraId="327CE6C0">
      <w:pPr>
        <w:rPr>
          <w:rFonts w:hint="eastAsia"/>
          <w:color w:val="000000" w:themeColor="text1"/>
          <w:highlight w:val="none"/>
          <w14:textFill>
            <w14:solidFill>
              <w14:schemeClr w14:val="tx1"/>
            </w14:solidFill>
          </w14:textFill>
        </w:rPr>
      </w:pPr>
    </w:p>
    <w:p w14:paraId="5C028B5A">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5" w:name="_Toc3098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bookmarkEnd w:id="5"/>
    </w:p>
    <w:p w14:paraId="7CD36959">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76447BD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4D5D812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5E57798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7ACC7B4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481D2AC0">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6F48B10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2EA4E0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94375A6">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4040BC8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D9A943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38DB834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7FFA9C0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28DBC92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1B4825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4B36684">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0209A8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1FC389B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6A4AF1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79643BE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484ACC5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7D1A37C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A99F59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0BFC01A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1E7C3A6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39E27D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849317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77E9C962">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463A8B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4D22F07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60CEBEA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430FC3E3">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6" w:name="_Toc485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bookmarkEnd w:id="6"/>
    </w:p>
    <w:p w14:paraId="180ADBD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613AD7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FF7F03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5007A2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7" w:name="_Toc3271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bookmarkEnd w:id="7"/>
    </w:p>
    <w:p w14:paraId="3B575A99">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5948DFA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B5ED82A">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5DC7B997">
      <w:pPr>
        <w:pStyle w:val="20"/>
        <w:keepNext w:val="0"/>
        <w:keepLines w:val="0"/>
        <w:pageBreakBefore w:val="0"/>
        <w:kinsoku/>
        <w:wordWrap/>
        <w:overflowPunct/>
        <w:topLinePunct w:val="0"/>
        <w:autoSpaceDE/>
        <w:autoSpaceDN/>
        <w:bidi w:val="0"/>
        <w:adjustRightInd/>
        <w:snapToGrid/>
        <w:spacing w:line="360" w:lineRule="auto"/>
        <w:ind w:firstLine="630" w:firstLineChars="3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4611890A">
      <w:pPr>
        <w:pStyle w:val="20"/>
        <w:keepNext w:val="0"/>
        <w:keepLines w:val="0"/>
        <w:pageBreakBefore w:val="0"/>
        <w:kinsoku/>
        <w:wordWrap/>
        <w:overflowPunct/>
        <w:topLinePunct w:val="0"/>
        <w:autoSpaceDE/>
        <w:autoSpaceDN/>
        <w:bidi w:val="0"/>
        <w:adjustRightInd/>
        <w:snapToGrid/>
        <w:spacing w:line="360" w:lineRule="auto"/>
        <w:ind w:firstLine="630" w:firstLineChars="3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5D15734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73C4DBF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9E8A34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2ED2B7B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1620F0C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30898B9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32AA46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2.7投标人必须按招标文件指定的格式填写各种报价，各报价应计算正确。除在招标文件另有规定外（如：报折扣、报优惠率等），计量单位应使用中华人民共和国法定计量单位，以人民币填报所有报价。</w:t>
      </w:r>
    </w:p>
    <w:p w14:paraId="4A8112B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019643D8">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 xml:space="preserve"> 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0C2061FB">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30148371">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8" w:name="_Toc374454591"/>
      <w:bookmarkStart w:id="9" w:name="_Toc330459976"/>
      <w:bookmarkStart w:id="10" w:name="_Toc340507433"/>
      <w:bookmarkStart w:id="11" w:name="_Toc339019880"/>
      <w:bookmarkStart w:id="12" w:name="_Toc365985170"/>
      <w:bookmarkStart w:id="13" w:name="_Toc333237779"/>
      <w:bookmarkStart w:id="14" w:name="_Toc336681571"/>
      <w:bookmarkStart w:id="15" w:name="_Toc333935337"/>
      <w:bookmarkStart w:id="16" w:name="_Toc337632349"/>
      <w:bookmarkStart w:id="17" w:name="_Toc345513858"/>
      <w:bookmarkStart w:id="18" w:name="_Toc336681926"/>
      <w:bookmarkStart w:id="19" w:name="_Toc331512889"/>
      <w:bookmarkStart w:id="20" w:name="_Toc349127617"/>
      <w:bookmarkStart w:id="21" w:name="_Toc342296751"/>
      <w:bookmarkStart w:id="22" w:name="_Toc365967064"/>
      <w:bookmarkStart w:id="23" w:name="_Toc333237668"/>
      <w:bookmarkStart w:id="24" w:name="_Toc497224218"/>
      <w:bookmarkStart w:id="25" w:name="_Toc333238624"/>
      <w:bookmarkStart w:id="26" w:name="_Toc340672860"/>
      <w:bookmarkStart w:id="27" w:name="_Toc332206699"/>
      <w:bookmarkStart w:id="28" w:name="_Toc350438740"/>
      <w:bookmarkStart w:id="29" w:name="_Toc342060365"/>
      <w:bookmarkStart w:id="30" w:name="_Toc503785420"/>
      <w:bookmarkStart w:id="31" w:name="_Toc350756441"/>
      <w:bookmarkStart w:id="32" w:name="_Toc339441078"/>
      <w:bookmarkStart w:id="33" w:name="_Toc339020006"/>
      <w:bookmarkStart w:id="34" w:name="_Toc349143580"/>
      <w:bookmarkStart w:id="35" w:name="_Toc340677061"/>
      <w:bookmarkStart w:id="36" w:name="_Toc339020086"/>
      <w:bookmarkStart w:id="37" w:name="_Toc366072519"/>
      <w:bookmarkStart w:id="38" w:name="_Toc331684029"/>
      <w:bookmarkStart w:id="39" w:name="_Toc332270337"/>
      <w:bookmarkStart w:id="40" w:name="_Toc333935678"/>
      <w:bookmarkStart w:id="41" w:name="_Toc339020224"/>
      <w:bookmarkStart w:id="42" w:name="_Toc339362291"/>
      <w:bookmarkStart w:id="43" w:name="_Toc341348329"/>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17C55406">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14:paraId="024B039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61F25C02">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071434E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 xml:space="preserve"> 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2670982A">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0EBBB92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342F31F5">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7A3B9FB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20291D0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48837277">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0C6AEA43">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44" w:name="_Toc17227"/>
      <w:bookmarkStart w:id="45" w:name="_Toc332270340"/>
      <w:bookmarkStart w:id="46" w:name="_Toc333238627"/>
      <w:bookmarkStart w:id="47" w:name="_Toc365967067"/>
      <w:bookmarkStart w:id="48" w:name="_Toc330459979"/>
      <w:bookmarkStart w:id="49" w:name="_Toc331512892"/>
      <w:bookmarkStart w:id="50" w:name="_Toc350438743"/>
      <w:bookmarkStart w:id="51" w:name="_Toc332206702"/>
      <w:bookmarkStart w:id="52" w:name="_Toc339441081"/>
      <w:bookmarkStart w:id="53" w:name="_Toc339020089"/>
      <w:bookmarkStart w:id="54" w:name="_Toc333237671"/>
      <w:bookmarkStart w:id="55" w:name="_Toc340677064"/>
      <w:bookmarkStart w:id="56" w:name="_Toc336681574"/>
      <w:bookmarkStart w:id="57" w:name="_Toc350756444"/>
      <w:bookmarkStart w:id="58" w:name="_Toc337632352"/>
      <w:bookmarkStart w:id="59" w:name="_Toc333935340"/>
      <w:bookmarkStart w:id="60" w:name="_Toc340672863"/>
      <w:bookmarkStart w:id="61" w:name="_Toc340507436"/>
      <w:bookmarkStart w:id="62" w:name="_Toc497224221"/>
      <w:bookmarkStart w:id="63" w:name="_Toc339020009"/>
      <w:bookmarkStart w:id="64" w:name="_Toc342060368"/>
      <w:bookmarkStart w:id="65" w:name="_Toc333935681"/>
      <w:bookmarkStart w:id="66" w:name="_Toc503785423"/>
      <w:bookmarkStart w:id="67" w:name="_Toc349143583"/>
      <w:bookmarkStart w:id="68" w:name="_Toc345513861"/>
      <w:bookmarkStart w:id="69" w:name="_Toc339019883"/>
      <w:bookmarkStart w:id="70" w:name="_Toc331684032"/>
      <w:bookmarkStart w:id="71" w:name="_Toc366072522"/>
      <w:bookmarkStart w:id="72" w:name="_Toc336681929"/>
      <w:bookmarkStart w:id="73" w:name="_Toc374454594"/>
      <w:bookmarkStart w:id="74" w:name="_Toc341348332"/>
      <w:bookmarkStart w:id="75" w:name="_Toc349127620"/>
      <w:bookmarkStart w:id="76" w:name="_Toc339020227"/>
      <w:bookmarkStart w:id="77" w:name="_Toc342296754"/>
      <w:bookmarkStart w:id="78" w:name="_Toc333237782"/>
      <w:bookmarkStart w:id="79" w:name="_Toc365985173"/>
      <w:bookmarkStart w:id="80" w:name="_Toc339362294"/>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03046E34">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5E559A1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58BCD76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6.1投标保证金的缴纳</w:t>
      </w:r>
    </w:p>
    <w:p w14:paraId="209C074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2B6E318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7A32FF2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6CDAF4C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6.2投标保证金的退还：</w:t>
      </w:r>
    </w:p>
    <w:p w14:paraId="21688BB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146E7E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2FA68E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B30F2A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77A959B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3A24125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328566C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F2DF08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7E2CDF4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0C08BF7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333463B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062B61C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33A8352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56C17A7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6F4701D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4EFB9EE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0CC0843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4A6694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EE474B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4BC4B4C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A524C32">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1" w:name="_Toc2560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bookmarkEnd w:id="81"/>
    </w:p>
    <w:p w14:paraId="161C8DFB">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45B23A5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4FA75EB4">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5FEDFD5D">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2B988DD">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C2A3F32">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22797C57">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09C920D4">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566D7CFB">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B650B2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54D4B53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55F9B84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1797A0A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06C7488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0912D06">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1E2F713F">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1EA8C93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3C484CD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32FEC6F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1083F1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7691CEC5">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2" w:name="_Toc2660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bookmarkEnd w:id="82"/>
    </w:p>
    <w:p w14:paraId="6586F6C9">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5171751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2A9F525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4C3A485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1E3D9DD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1C3C04C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75EE0AE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C5B76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0D458D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230042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30CA1F1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5FF2DFC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0334685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1D94DC8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70A2493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D5C5B2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7D6BDF4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35180B8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001644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27DB1FD0">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3" w:name="_Toc3081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bookmarkEnd w:id="83"/>
    </w:p>
    <w:p w14:paraId="78BC0CC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4709A11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2DCFE98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0898E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2477806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694F73A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580C085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A25B8F">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0B24A5D">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4" w:name="_Toc10391"/>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bookmarkEnd w:id="84"/>
    </w:p>
    <w:p w14:paraId="4D6611C0">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5" w:name="_Toc429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bookmarkEnd w:id="85"/>
    </w:p>
    <w:p w14:paraId="301AE48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03D4712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color w:val="000000" w:themeColor="text1"/>
          <w:szCs w:val="21"/>
          <w:highlight w:val="none"/>
          <w:lang w:val="en-US" w:eastAsia="zh-CN"/>
          <w14:textFill>
            <w14:solidFill>
              <w14:schemeClr w14:val="tx1"/>
            </w14:solidFill>
          </w14:textFill>
        </w:rPr>
        <w:t>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6CCD39B4">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508BAF5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5B6C3C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3508884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7A9723C6">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3FB024D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41FCA6D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7F3493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2B382AB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4261691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7B56967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23F57C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20526E2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3BADEDC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365E45C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64779C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025A02A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4FA85CC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622C78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0CA0A1B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1FD8D7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287D7AD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5280A8B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268A728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0896760F">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0499ADF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632D851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6055094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514920D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4BDBE32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09873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3ADFD32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6E15D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6BFAB384">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6" w:name="_Toc2186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政府采购政策落实</w:t>
      </w:r>
      <w:bookmarkEnd w:id="86"/>
    </w:p>
    <w:p w14:paraId="7690B820">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3C1723D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B6D76A3">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39F14CB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A5D6E68">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17F1254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4301602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采购包1(阳江市第二中学采购食堂物资(肉类)配送项目)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6"/>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2109"/>
        <w:gridCol w:w="886"/>
        <w:gridCol w:w="4505"/>
      </w:tblGrid>
      <w:tr w14:paraId="43730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7B31CB2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4F3C482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2109" w:type="dxa"/>
            <w:vAlign w:val="center"/>
          </w:tcPr>
          <w:p w14:paraId="120C9FF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86" w:type="dxa"/>
            <w:vAlign w:val="center"/>
          </w:tcPr>
          <w:p w14:paraId="50B3F22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505" w:type="dxa"/>
            <w:vAlign w:val="center"/>
          </w:tcPr>
          <w:p w14:paraId="59E5265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23435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04AAF07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center"/>
          </w:tcPr>
          <w:p w14:paraId="53B4FEC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2109" w:type="dxa"/>
            <w:vAlign w:val="center"/>
          </w:tcPr>
          <w:p w14:paraId="058CB88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w:t>
            </w:r>
          </w:p>
        </w:tc>
        <w:tc>
          <w:tcPr>
            <w:tcW w:w="886" w:type="dxa"/>
            <w:vAlign w:val="center"/>
          </w:tcPr>
          <w:p w14:paraId="53E0D43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505" w:type="dxa"/>
            <w:vAlign w:val="center"/>
          </w:tcPr>
          <w:p w14:paraId="78278CB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3D10F5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091E704A">
            <w:pPr>
              <w:pStyle w:val="20"/>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4A30B27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2109" w:type="dxa"/>
            <w:shd w:val="clear" w:color="auto" w:fill="auto"/>
            <w:vAlign w:val="center"/>
          </w:tcPr>
          <w:p w14:paraId="4CFB388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86" w:type="dxa"/>
            <w:shd w:val="clear" w:color="auto" w:fill="auto"/>
            <w:vAlign w:val="center"/>
          </w:tcPr>
          <w:p w14:paraId="0D7CB30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505" w:type="dxa"/>
            <w:shd w:val="clear" w:color="auto" w:fill="auto"/>
            <w:vAlign w:val="center"/>
          </w:tcPr>
          <w:p w14:paraId="5339E74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31D9B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13BCDFB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4C77A32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AA1178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271599C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F6BF3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6684A5A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0485FF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4CCBA2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7" w:name="_Toc637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三、评审程序</w:t>
      </w:r>
      <w:bookmarkEnd w:id="87"/>
    </w:p>
    <w:p w14:paraId="324B6256">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1.资格性审查和符合性审查</w:t>
      </w:r>
    </w:p>
    <w:p w14:paraId="54D59BE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3DF466D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383BA52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553A4FC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对各投标人进行资格审查和符合性审查过程中，对初步被认定为无效投标者，由评标委员会组长或采购人代表将集体意见及时告知投标当事人。</w:t>
      </w:r>
    </w:p>
    <w:p w14:paraId="2294308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52A0DED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698FFBE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采购包1(阳江市第二中学采购食堂物资(肉类)配送项目)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6"/>
        <w:tblW w:w="929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7"/>
        <w:gridCol w:w="2167"/>
        <w:gridCol w:w="6260"/>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96" w:hRule="atLeast"/>
        </w:trPr>
        <w:tc>
          <w:tcPr>
            <w:tcW w:w="867" w:type="dxa"/>
            <w:vAlign w:val="top"/>
          </w:tcPr>
          <w:p w14:paraId="0B5FB8B0">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8427" w:type="dxa"/>
            <w:gridSpan w:val="2"/>
            <w:vAlign w:val="top"/>
          </w:tcPr>
          <w:p w14:paraId="7D81274E">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7" w:type="dxa"/>
            <w:vAlign w:val="center"/>
          </w:tcPr>
          <w:p w14:paraId="11009C0C">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167" w:type="dxa"/>
            <w:vAlign w:val="center"/>
          </w:tcPr>
          <w:p w14:paraId="4A4B94E8">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6260" w:type="dxa"/>
            <w:vAlign w:val="top"/>
          </w:tcPr>
          <w:p w14:paraId="612E80EC">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7" w:type="dxa"/>
            <w:vAlign w:val="center"/>
          </w:tcPr>
          <w:p w14:paraId="4F18955E">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167" w:type="dxa"/>
            <w:vAlign w:val="center"/>
          </w:tcPr>
          <w:p w14:paraId="6F0E634F">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6260" w:type="dxa"/>
            <w:vAlign w:val="top"/>
          </w:tcPr>
          <w:p w14:paraId="7CF795F7">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7" w:type="dxa"/>
            <w:vAlign w:val="center"/>
          </w:tcPr>
          <w:p w14:paraId="6B114EC4">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167" w:type="dxa"/>
            <w:vAlign w:val="center"/>
          </w:tcPr>
          <w:p w14:paraId="4D0A1858">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6260" w:type="dxa"/>
            <w:vAlign w:val="top"/>
          </w:tcPr>
          <w:p w14:paraId="22414772">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7" w:type="dxa"/>
            <w:vAlign w:val="center"/>
          </w:tcPr>
          <w:p w14:paraId="1EEF0D3F">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167" w:type="dxa"/>
            <w:vAlign w:val="center"/>
          </w:tcPr>
          <w:p w14:paraId="4E027860">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6260" w:type="dxa"/>
            <w:vAlign w:val="top"/>
          </w:tcPr>
          <w:p w14:paraId="5F483BF9">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7" w:type="dxa"/>
            <w:vAlign w:val="center"/>
          </w:tcPr>
          <w:p w14:paraId="4065FDB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167" w:type="dxa"/>
            <w:vAlign w:val="center"/>
          </w:tcPr>
          <w:p w14:paraId="2714BA69">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6260" w:type="dxa"/>
            <w:vAlign w:val="top"/>
          </w:tcPr>
          <w:p w14:paraId="0AE770C6">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提供</w:t>
            </w:r>
            <w:r>
              <w:rPr>
                <w:rFonts w:ascii="宋体" w:hAnsi="宋体"/>
                <w:color w:val="000000" w:themeColor="text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7" w:type="dxa"/>
            <w:vAlign w:val="center"/>
          </w:tcPr>
          <w:p w14:paraId="18CDF0B2">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167" w:type="dxa"/>
            <w:vAlign w:val="center"/>
          </w:tcPr>
          <w:p w14:paraId="7F80A966">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6260" w:type="dxa"/>
            <w:vAlign w:val="top"/>
          </w:tcPr>
          <w:p w14:paraId="08330114">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投标人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748" w:hRule="atLeast"/>
        </w:trPr>
        <w:tc>
          <w:tcPr>
            <w:tcW w:w="867" w:type="dxa"/>
            <w:vAlign w:val="center"/>
          </w:tcPr>
          <w:p w14:paraId="0367624D">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167" w:type="dxa"/>
            <w:vAlign w:val="center"/>
          </w:tcPr>
          <w:p w14:paraId="63095433">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6260" w:type="dxa"/>
            <w:vAlign w:val="top"/>
          </w:tcPr>
          <w:p w14:paraId="780A899B">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 为本项目提供整体设计、 规范编制或者项目管理、 监理、 检测等服务的供应商， 不得再参与本项目投标（响应）。 投标函相关承诺要求内容。</w:t>
            </w:r>
          </w:p>
        </w:tc>
      </w:tr>
      <w:tr w14:paraId="175042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7" w:type="dxa"/>
            <w:vAlign w:val="center"/>
          </w:tcPr>
          <w:p w14:paraId="782037C8">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2167" w:type="dxa"/>
            <w:vAlign w:val="center"/>
          </w:tcPr>
          <w:p w14:paraId="214B283A">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t>特定资格要求</w:t>
            </w:r>
          </w:p>
        </w:tc>
        <w:tc>
          <w:tcPr>
            <w:tcW w:w="6260" w:type="dxa"/>
            <w:vAlign w:val="top"/>
          </w:tcPr>
          <w:p w14:paraId="03025C77">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w:t>
            </w:r>
            <w:r>
              <w:rPr>
                <w:rFonts w:hint="eastAsia" w:ascii="宋体" w:hAnsi="宋体"/>
                <w:color w:val="000000" w:themeColor="text1"/>
                <w:highlight w:val="none"/>
                <w:lang w:eastAsia="zh-CN"/>
                <w14:textFill>
                  <w14:solidFill>
                    <w14:schemeClr w14:val="tx1"/>
                  </w14:solidFill>
                </w14:textFill>
              </w:rPr>
              <w:t>人</w:t>
            </w:r>
            <w:r>
              <w:rPr>
                <w:rFonts w:hint="eastAsia" w:ascii="宋体" w:hAnsi="宋体"/>
                <w:color w:val="000000" w:themeColor="text1"/>
                <w:highlight w:val="none"/>
                <w14:textFill>
                  <w14:solidFill>
                    <w14:schemeClr w14:val="tx1"/>
                  </w14:solidFill>
                </w14:textFill>
              </w:rPr>
              <w:t>须具有在有效期内的《食品经营许可证》，提供复印件加盖投标</w:t>
            </w:r>
            <w:r>
              <w:rPr>
                <w:rFonts w:hint="eastAsia" w:ascii="宋体" w:hAnsi="宋体"/>
                <w:color w:val="000000" w:themeColor="text1"/>
                <w:highlight w:val="none"/>
                <w:lang w:eastAsia="zh-CN"/>
                <w14:textFill>
                  <w14:solidFill>
                    <w14:schemeClr w14:val="tx1"/>
                  </w14:solidFill>
                </w14:textFill>
              </w:rPr>
              <w:t>人</w:t>
            </w:r>
            <w:r>
              <w:rPr>
                <w:rFonts w:hint="eastAsia" w:ascii="宋体" w:hAnsi="宋体"/>
                <w:color w:val="000000" w:themeColor="text1"/>
                <w:highlight w:val="none"/>
                <w14:textFill>
                  <w14:solidFill>
                    <w14:schemeClr w14:val="tx1"/>
                  </w14:solidFill>
                </w14:textFill>
              </w:rPr>
              <w:t>公章；</w:t>
            </w:r>
          </w:p>
        </w:tc>
      </w:tr>
      <w:tr w14:paraId="7D2013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7" w:type="dxa"/>
            <w:vAlign w:val="center"/>
          </w:tcPr>
          <w:p w14:paraId="6570228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9</w:t>
            </w:r>
          </w:p>
        </w:tc>
        <w:tc>
          <w:tcPr>
            <w:tcW w:w="2167" w:type="dxa"/>
            <w:vAlign w:val="center"/>
          </w:tcPr>
          <w:p w14:paraId="539E701B">
            <w:pPr>
              <w:keepNext w:val="0"/>
              <w:keepLines w:val="0"/>
              <w:pageBreakBefore w:val="0"/>
              <w:kinsoku/>
              <w:wordWrap/>
              <w:overflowPunct/>
              <w:topLinePunct w:val="0"/>
              <w:autoSpaceDE/>
              <w:autoSpaceDN/>
              <w:bidi w:val="0"/>
              <w:adjustRightInd/>
              <w:snapToGrid/>
              <w:spacing w:line="320" w:lineRule="exact"/>
              <w:jc w:val="both"/>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特定资格要求</w:t>
            </w:r>
          </w:p>
        </w:tc>
        <w:tc>
          <w:tcPr>
            <w:tcW w:w="6260" w:type="dxa"/>
            <w:vAlign w:val="top"/>
          </w:tcPr>
          <w:p w14:paraId="3F622AD3">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经营场所、仓库距离粪坑、污水池、暴露垃圾场（站）、旱厕等污染源25米以上，不得设置在粉尘、有害气体、放射性物质和其他扩散性污染源的影响范围之内。（提供《承诺函》，格式自拟）</w:t>
            </w:r>
          </w:p>
        </w:tc>
      </w:tr>
      <w:tr w14:paraId="3C1787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7" w:type="dxa"/>
            <w:vAlign w:val="center"/>
          </w:tcPr>
          <w:p w14:paraId="0FEA17C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w:t>
            </w:r>
          </w:p>
        </w:tc>
        <w:tc>
          <w:tcPr>
            <w:tcW w:w="2167" w:type="dxa"/>
            <w:vAlign w:val="center"/>
          </w:tcPr>
          <w:p w14:paraId="5B10D0AD">
            <w:pPr>
              <w:keepNext w:val="0"/>
              <w:keepLines w:val="0"/>
              <w:pageBreakBefore w:val="0"/>
              <w:kinsoku/>
              <w:wordWrap/>
              <w:overflowPunct/>
              <w:topLinePunct w:val="0"/>
              <w:autoSpaceDE/>
              <w:autoSpaceDN/>
              <w:bidi w:val="0"/>
              <w:adjustRightInd/>
              <w:snapToGrid/>
              <w:spacing w:line="320" w:lineRule="exact"/>
              <w:jc w:val="both"/>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特定资格要求</w:t>
            </w:r>
          </w:p>
        </w:tc>
        <w:tc>
          <w:tcPr>
            <w:tcW w:w="6260" w:type="dxa"/>
            <w:vAlign w:val="top"/>
          </w:tcPr>
          <w:p w14:paraId="77EDD0DF">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建立良好的食品安全管理体系，建立食品安全管理架构和相关食品安全管理制度，建立“日管控、周排查、月调度”食品安全自查制度，食品采购、贮存、加工、运输符合相关法律法规要求。（提供《承诺函》，格式自拟）</w:t>
            </w:r>
          </w:p>
        </w:tc>
      </w:tr>
      <w:tr w14:paraId="7A9BE0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7" w:type="dxa"/>
            <w:vAlign w:val="center"/>
          </w:tcPr>
          <w:p w14:paraId="3FF1B3F2">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11</w:t>
            </w:r>
          </w:p>
        </w:tc>
        <w:tc>
          <w:tcPr>
            <w:tcW w:w="2167" w:type="dxa"/>
            <w:vAlign w:val="center"/>
          </w:tcPr>
          <w:p w14:paraId="2D67D7EF">
            <w:pPr>
              <w:keepNext w:val="0"/>
              <w:keepLines w:val="0"/>
              <w:pageBreakBefore w:val="0"/>
              <w:kinsoku/>
              <w:wordWrap/>
              <w:overflowPunct/>
              <w:topLinePunct w:val="0"/>
              <w:autoSpaceDE/>
              <w:autoSpaceDN/>
              <w:bidi w:val="0"/>
              <w:adjustRightInd/>
              <w:snapToGrid/>
              <w:spacing w:line="320" w:lineRule="exact"/>
              <w:jc w:val="both"/>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特定资格要求</w:t>
            </w:r>
          </w:p>
        </w:tc>
        <w:tc>
          <w:tcPr>
            <w:tcW w:w="6260" w:type="dxa"/>
            <w:vAlign w:val="top"/>
          </w:tcPr>
          <w:p w14:paraId="2942B064">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建有监控系统，能够保存15天或以上的食品贮存、加工过程视频监控。（提供《承诺函》，格式自拟）</w:t>
            </w:r>
          </w:p>
        </w:tc>
      </w:tr>
    </w:tbl>
    <w:p w14:paraId="2503E34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65CF1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6FFA922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采购包1(阳江市第二中学采购食堂物资(肉类)配送项目)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222"/>
        <w:gridCol w:w="5877"/>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2BB47D41">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2222" w:type="dxa"/>
            <w:vAlign w:val="top"/>
          </w:tcPr>
          <w:p w14:paraId="0C08A8B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877" w:type="dxa"/>
            <w:vAlign w:val="top"/>
          </w:tcPr>
          <w:p w14:paraId="51898E1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2EF3C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3" w:hRule="atLeast"/>
          <w:jc w:val="center"/>
        </w:trPr>
        <w:tc>
          <w:tcPr>
            <w:tcW w:w="972" w:type="dxa"/>
            <w:vAlign w:val="center"/>
          </w:tcPr>
          <w:p w14:paraId="38475FD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2222" w:type="dxa"/>
            <w:shd w:val="clear" w:color="auto" w:fill="auto"/>
            <w:vAlign w:val="center"/>
          </w:tcPr>
          <w:p w14:paraId="1C769C7B">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须满足带“★”号要求</w:t>
            </w:r>
          </w:p>
        </w:tc>
        <w:tc>
          <w:tcPr>
            <w:tcW w:w="5877" w:type="dxa"/>
            <w:shd w:val="clear" w:color="auto" w:fill="auto"/>
            <w:vAlign w:val="center"/>
          </w:tcPr>
          <w:p w14:paraId="3110DB97">
            <w:pPr>
              <w:pStyle w:val="20"/>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★所有食材要求为非转基因食品。</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F2EB74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2222" w:type="dxa"/>
            <w:shd w:val="clear" w:color="auto" w:fill="auto"/>
            <w:vAlign w:val="center"/>
          </w:tcPr>
          <w:p w14:paraId="5DB4DDB2">
            <w:pPr>
              <w:pStyle w:val="20"/>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服务期须满足要求</w:t>
            </w:r>
          </w:p>
        </w:tc>
        <w:tc>
          <w:tcPr>
            <w:tcW w:w="5877" w:type="dxa"/>
            <w:shd w:val="clear" w:color="auto" w:fill="auto"/>
            <w:vAlign w:val="center"/>
          </w:tcPr>
          <w:p w14:paraId="3FE0AEDC">
            <w:pPr>
              <w:pStyle w:val="20"/>
              <w:keepNext w:val="0"/>
              <w:keepLines w:val="0"/>
              <w:pageBreakBefore w:val="0"/>
              <w:widowControl/>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自合同签订之日起至2027年7月30日止。（少于该服务期作无效投标处理）</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872C61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2222" w:type="dxa"/>
            <w:shd w:val="clear" w:color="auto" w:fill="auto"/>
            <w:vAlign w:val="center"/>
          </w:tcPr>
          <w:p w14:paraId="50FF4EA4">
            <w:pPr>
              <w:pStyle w:val="20"/>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877" w:type="dxa"/>
            <w:shd w:val="clear" w:color="auto" w:fill="auto"/>
            <w:vAlign w:val="center"/>
          </w:tcPr>
          <w:p w14:paraId="1D98FD60">
            <w:pPr>
              <w:pStyle w:val="20"/>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w:t>
            </w:r>
            <w:r>
              <w:rPr>
                <w:rFonts w:hint="eastAsia" w:ascii="宋体" w:hAnsi="宋体"/>
                <w:bCs/>
                <w:color w:val="000000" w:themeColor="text1"/>
                <w:highlight w:val="none"/>
                <w:lang w:val="en-US" w:eastAsia="zh-CN"/>
                <w14:textFill>
                  <w14:solidFill>
                    <w14:schemeClr w14:val="tx1"/>
                  </w14:solidFill>
                </w14:textFill>
              </w:rPr>
              <w:t>折扣率</w:t>
            </w:r>
            <w:r>
              <w:rPr>
                <w:rFonts w:hint="eastAsia" w:ascii="宋体" w:hAnsi="宋体" w:eastAsia="宋体" w:cs="宋体"/>
                <w:color w:val="000000" w:themeColor="text1"/>
                <w:sz w:val="21"/>
                <w:szCs w:val="21"/>
                <w:highlight w:val="none"/>
                <w14:textFill>
                  <w14:solidFill>
                    <w14:schemeClr w14:val="tx1"/>
                  </w14:solidFill>
                </w14:textFill>
              </w:rPr>
              <w:t>报价</w:t>
            </w:r>
            <w:r>
              <w:rPr>
                <w:rFonts w:hint="eastAsia" w:ascii="宋体" w:hAnsi="宋体" w:eastAsia="宋体" w:cs="宋体"/>
                <w:color w:val="000000" w:themeColor="text1"/>
                <w:sz w:val="21"/>
                <w:szCs w:val="21"/>
                <w:highlight w:val="none"/>
                <w:lang w:val="en-US" w:eastAsia="zh-CN"/>
                <w14:textFill>
                  <w14:solidFill>
                    <w14:schemeClr w14:val="tx1"/>
                  </w14:solidFill>
                </w14:textFill>
              </w:rPr>
              <w:t>（0%-100%）</w:t>
            </w:r>
          </w:p>
        </w:tc>
      </w:tr>
      <w:tr w14:paraId="67F8E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D7A1AC4">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2222" w:type="dxa"/>
            <w:shd w:val="clear" w:color="auto" w:fill="auto"/>
            <w:vAlign w:val="center"/>
          </w:tcPr>
          <w:p w14:paraId="5C821EBF">
            <w:pPr>
              <w:pStyle w:val="20"/>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877" w:type="dxa"/>
            <w:shd w:val="clear" w:color="auto" w:fill="auto"/>
            <w:vAlign w:val="center"/>
          </w:tcPr>
          <w:p w14:paraId="513E8DB4">
            <w:pPr>
              <w:pStyle w:val="20"/>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5AC162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8" w:hRule="atLeast"/>
          <w:jc w:val="center"/>
        </w:trPr>
        <w:tc>
          <w:tcPr>
            <w:tcW w:w="972" w:type="dxa"/>
            <w:vAlign w:val="center"/>
          </w:tcPr>
          <w:p w14:paraId="6F3986B6">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2222" w:type="dxa"/>
            <w:shd w:val="clear" w:color="auto" w:fill="auto"/>
            <w:vAlign w:val="center"/>
          </w:tcPr>
          <w:p w14:paraId="3094222C">
            <w:pPr>
              <w:pStyle w:val="20"/>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877" w:type="dxa"/>
            <w:shd w:val="clear" w:color="auto" w:fill="auto"/>
            <w:vAlign w:val="top"/>
          </w:tcPr>
          <w:p w14:paraId="7F045C7A">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5CA20E7F">
      <w:pPr>
        <w:rPr>
          <w:rFonts w:hint="eastAsia"/>
          <w:color w:val="000000" w:themeColor="text1"/>
          <w:highlight w:val="none"/>
          <w14:textFill>
            <w14:solidFill>
              <w14:schemeClr w14:val="tx1"/>
            </w14:solidFill>
          </w14:textFill>
        </w:rPr>
      </w:pPr>
    </w:p>
    <w:p w14:paraId="3E4A5873">
      <w:pPr>
        <w:rPr>
          <w:rFonts w:hint="eastAsia"/>
          <w:color w:val="000000" w:themeColor="text1"/>
          <w:highlight w:val="none"/>
          <w14:textFill>
            <w14:solidFill>
              <w14:schemeClr w14:val="tx1"/>
            </w14:solidFill>
          </w14:textFill>
        </w:rPr>
      </w:pPr>
    </w:p>
    <w:p w14:paraId="17A0B365">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076E4B1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58573AB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311E22C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2DB640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1E3E99B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color w:val="000000" w:themeColor="text1"/>
          <w:szCs w:val="21"/>
          <w:highlight w:val="none"/>
          <w:lang w:val="en-US" w:eastAsia="zh-CN"/>
          <w14:textFill>
            <w14:solidFill>
              <w14:schemeClr w14:val="tx1"/>
            </w14:solidFill>
          </w14:textFill>
        </w:rPr>
        <w:t>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6"/>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1456"/>
        <w:gridCol w:w="7263"/>
      </w:tblGrid>
      <w:tr w14:paraId="7D0077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22" w:type="dxa"/>
          </w:tcPr>
          <w:p w14:paraId="52F502AA">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评审因素</w:t>
            </w:r>
          </w:p>
        </w:tc>
        <w:tc>
          <w:tcPr>
            <w:tcW w:w="8719" w:type="dxa"/>
            <w:gridSpan w:val="2"/>
          </w:tcPr>
          <w:p w14:paraId="6442FA67">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评审标准</w:t>
            </w:r>
          </w:p>
        </w:tc>
      </w:tr>
      <w:tr w14:paraId="092849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tcPr>
          <w:p w14:paraId="66B86D65">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分值构成</w:t>
            </w:r>
          </w:p>
        </w:tc>
        <w:tc>
          <w:tcPr>
            <w:tcW w:w="8719" w:type="dxa"/>
            <w:gridSpan w:val="2"/>
          </w:tcPr>
          <w:p w14:paraId="2986A585">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55</w:t>
            </w:r>
            <w:r>
              <w:rPr>
                <w:rFonts w:ascii="宋体" w:hAnsi="宋体" w:eastAsia="宋体" w:cs="宋体"/>
                <w:color w:val="000000" w:themeColor="text1"/>
                <w:sz w:val="21"/>
                <w:szCs w:val="21"/>
                <w:highlight w:val="none"/>
                <w14:textFill>
                  <w14:solidFill>
                    <w14:schemeClr w14:val="tx1"/>
                  </w14:solidFill>
                </w14:textFill>
              </w:rPr>
              <w:t>.0分</w:t>
            </w:r>
          </w:p>
          <w:p w14:paraId="4A12905B">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35</w:t>
            </w:r>
            <w:r>
              <w:rPr>
                <w:rFonts w:ascii="宋体" w:hAnsi="宋体" w:eastAsia="宋体" w:cs="宋体"/>
                <w:color w:val="000000" w:themeColor="text1"/>
                <w:sz w:val="21"/>
                <w:szCs w:val="21"/>
                <w:highlight w:val="none"/>
                <w14:textFill>
                  <w14:solidFill>
                    <w14:schemeClr w14:val="tx1"/>
                  </w14:solidFill>
                </w14:textFill>
              </w:rPr>
              <w:t>.0分</w:t>
            </w:r>
          </w:p>
          <w:p w14:paraId="1C929556">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报价得分10.0分</w:t>
            </w:r>
          </w:p>
        </w:tc>
      </w:tr>
      <w:tr w14:paraId="30250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restart"/>
          </w:tcPr>
          <w:p w14:paraId="65D9B0B8">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技术部分</w:t>
            </w:r>
          </w:p>
        </w:tc>
        <w:tc>
          <w:tcPr>
            <w:tcW w:w="1456" w:type="dxa"/>
            <w:shd w:val="clear" w:color="auto" w:fill="FFFFFF"/>
            <w:vAlign w:val="center"/>
          </w:tcPr>
          <w:p w14:paraId="265CCE1C">
            <w:pPr>
              <w:pStyle w:val="20"/>
              <w:spacing w:line="32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食品质量保证方案</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highlight w:val="none"/>
                <w:lang w:eastAsia="zh-CN"/>
                <w14:textFill>
                  <w14:solidFill>
                    <w14:schemeClr w14:val="tx1"/>
                  </w14:solidFill>
                </w14:textFill>
              </w:rPr>
              <w:t>）</w:t>
            </w:r>
          </w:p>
        </w:tc>
        <w:tc>
          <w:tcPr>
            <w:tcW w:w="7263" w:type="dxa"/>
            <w:shd w:val="clear" w:color="auto" w:fill="FFFFFF"/>
            <w:vAlign w:val="center"/>
          </w:tcPr>
          <w:p w14:paraId="1A676C08">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对投标文件中的质量控制方案进行评分（根据投标货物的来源、加工、包装、保存、运输各环节的质量保证及食品安全措施进行评价）：</w:t>
            </w:r>
          </w:p>
          <w:p w14:paraId="37883D6C">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1.</w:t>
            </w:r>
            <w:r>
              <w:rPr>
                <w:rFonts w:ascii="宋体" w:hAnsi="宋体" w:eastAsia="宋体" w:cs="宋体"/>
                <w:color w:val="000000" w:themeColor="text1"/>
                <w:highlight w:val="none"/>
                <w14:textFill>
                  <w14:solidFill>
                    <w14:schemeClr w14:val="tx1"/>
                  </w14:solidFill>
                </w14:textFill>
              </w:rPr>
              <w:t xml:space="preserve">方案合理完整，内容有针对性，优于或完全满足采购需求的，得10分； </w:t>
            </w:r>
          </w:p>
          <w:p w14:paraId="6547B9A4">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2</w:t>
            </w:r>
            <w:r>
              <w:rPr>
                <w:rFonts w:ascii="宋体" w:hAnsi="宋体" w:eastAsia="宋体" w:cs="宋体"/>
                <w:color w:val="000000" w:themeColor="text1"/>
                <w:highlight w:val="none"/>
                <w:lang w:eastAsia="zh-CN"/>
                <w14:textFill>
                  <w14:solidFill>
                    <w14:schemeClr w14:val="tx1"/>
                  </w14:solidFill>
                </w14:textFill>
              </w:rPr>
              <w:t>.</w:t>
            </w:r>
            <w:r>
              <w:rPr>
                <w:rFonts w:ascii="宋体" w:hAnsi="宋体" w:eastAsia="宋体" w:cs="宋体"/>
                <w:color w:val="000000" w:themeColor="text1"/>
                <w:highlight w:val="none"/>
                <w14:textFill>
                  <w14:solidFill>
                    <w14:schemeClr w14:val="tx1"/>
                  </w14:solidFill>
                </w14:textFill>
              </w:rPr>
              <w:t xml:space="preserve">方案较合理、较完整，内容有一定的针对性，基本满足采购需求的，得7分； </w:t>
            </w:r>
          </w:p>
          <w:p w14:paraId="303A23C9">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3.方案一般，部分满足采购需求的，得4分；</w:t>
            </w:r>
          </w:p>
          <w:p w14:paraId="01FBF37B">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4.方案简单，内容没有针对性，基本不能满足采购需求的，得1分</w:t>
            </w:r>
            <w:r>
              <w:rPr>
                <w:rFonts w:ascii="宋体" w:hAnsi="宋体" w:eastAsia="宋体" w:cs="宋体"/>
                <w:color w:val="000000" w:themeColor="text1"/>
                <w:highlight w:val="none"/>
                <w:lang w:eastAsia="zh-CN"/>
                <w14:textFill>
                  <w14:solidFill>
                    <w14:schemeClr w14:val="tx1"/>
                  </w14:solidFill>
                </w14:textFill>
              </w:rPr>
              <w:t>；</w:t>
            </w:r>
            <w:r>
              <w:rPr>
                <w:rFonts w:ascii="宋体" w:hAnsi="宋体" w:eastAsia="宋体" w:cs="宋体"/>
                <w:color w:val="000000" w:themeColor="text1"/>
                <w:highlight w:val="none"/>
                <w14:textFill>
                  <w14:solidFill>
                    <w14:schemeClr w14:val="tx1"/>
                  </w14:solidFill>
                </w14:textFill>
              </w:rPr>
              <w:t xml:space="preserve"> </w:t>
            </w:r>
          </w:p>
          <w:p w14:paraId="04C362D2">
            <w:pPr>
              <w:pStyle w:val="20"/>
              <w:spacing w:line="320" w:lineRule="exact"/>
              <w:jc w:val="both"/>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不提供不得分。</w:t>
            </w:r>
          </w:p>
        </w:tc>
      </w:tr>
      <w:tr w14:paraId="0615A9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tcPr>
          <w:p w14:paraId="7370EE80">
            <w:pPr>
              <w:spacing w:line="320" w:lineRule="exact"/>
              <w:rPr>
                <w:rFonts w:ascii="宋体" w:hAnsi="宋体" w:cs="宋体"/>
                <w:color w:val="000000" w:themeColor="text1"/>
                <w:sz w:val="21"/>
                <w:szCs w:val="21"/>
                <w:highlight w:val="none"/>
                <w14:textFill>
                  <w14:solidFill>
                    <w14:schemeClr w14:val="tx1"/>
                  </w14:solidFill>
                </w14:textFill>
              </w:rPr>
            </w:pPr>
          </w:p>
        </w:tc>
        <w:tc>
          <w:tcPr>
            <w:tcW w:w="1456" w:type="dxa"/>
            <w:shd w:val="clear" w:color="auto" w:fill="FFFFFF"/>
            <w:vAlign w:val="center"/>
          </w:tcPr>
          <w:p w14:paraId="69E2528A">
            <w:pPr>
              <w:pStyle w:val="20"/>
              <w:spacing w:line="320" w:lineRule="exact"/>
              <w:jc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配送方案</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highlight w:val="none"/>
                <w:lang w:eastAsia="zh-CN"/>
                <w14:textFill>
                  <w14:solidFill>
                    <w14:schemeClr w14:val="tx1"/>
                  </w14:solidFill>
                </w14:textFill>
              </w:rPr>
              <w:t>）</w:t>
            </w:r>
          </w:p>
        </w:tc>
        <w:tc>
          <w:tcPr>
            <w:tcW w:w="7263" w:type="dxa"/>
            <w:shd w:val="clear" w:color="auto" w:fill="FFFFFF"/>
            <w:vAlign w:val="center"/>
          </w:tcPr>
          <w:p w14:paraId="6F379E15">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从配送方案的全面性，可实施性，配送物流保障性，供应时效响应性等进行对比评价：</w:t>
            </w:r>
          </w:p>
          <w:p w14:paraId="440C6103">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1.</w:t>
            </w:r>
            <w:r>
              <w:rPr>
                <w:rFonts w:ascii="宋体" w:hAnsi="宋体" w:eastAsia="宋体" w:cs="宋体"/>
                <w:color w:val="000000" w:themeColor="text1"/>
                <w:highlight w:val="none"/>
                <w14:textFill>
                  <w14:solidFill>
                    <w14:schemeClr w14:val="tx1"/>
                  </w14:solidFill>
                </w14:textFill>
              </w:rPr>
              <w:t xml:space="preserve">配送方案全面，可实施性强，配送物流有保障，供应时效性高，优于或完全满足采购需求的，得10分； </w:t>
            </w:r>
          </w:p>
          <w:p w14:paraId="3BBE1680">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2.</w:t>
            </w:r>
            <w:r>
              <w:rPr>
                <w:rFonts w:ascii="宋体" w:hAnsi="宋体" w:eastAsia="宋体" w:cs="宋体"/>
                <w:color w:val="000000" w:themeColor="text1"/>
                <w:highlight w:val="none"/>
                <w14:textFill>
                  <w14:solidFill>
                    <w14:schemeClr w14:val="tx1"/>
                  </w14:solidFill>
                </w14:textFill>
              </w:rPr>
              <w:t xml:space="preserve">配送方案较全面，可实施性较强，配送物流有保障，供应时效性符合要求，基本满足采购需求的，得7分； </w:t>
            </w:r>
          </w:p>
          <w:p w14:paraId="4D830F05">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3.配送方案较全面，可实施性不强，配送物流有保障，供应时效性一般，部分满足采购需求的，得4分；</w:t>
            </w:r>
          </w:p>
          <w:p w14:paraId="45E8B779">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 xml:space="preserve">4.配送方案不够全面，可实施性不强，配送物流有保障，供应时效性不符合要求，基本不能满足采购需求的，得1分； </w:t>
            </w:r>
          </w:p>
          <w:p w14:paraId="376B0D2F">
            <w:pPr>
              <w:pStyle w:val="20"/>
              <w:spacing w:line="320" w:lineRule="exact"/>
              <w:jc w:val="both"/>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不提供不得分。</w:t>
            </w:r>
          </w:p>
        </w:tc>
      </w:tr>
      <w:tr w14:paraId="5BA1ED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tcPr>
          <w:p w14:paraId="2B09FC86">
            <w:pPr>
              <w:spacing w:line="320" w:lineRule="exact"/>
              <w:rPr>
                <w:rFonts w:ascii="宋体" w:hAnsi="宋体" w:cs="宋体"/>
                <w:color w:val="000000" w:themeColor="text1"/>
                <w:sz w:val="21"/>
                <w:szCs w:val="21"/>
                <w:highlight w:val="none"/>
                <w14:textFill>
                  <w14:solidFill>
                    <w14:schemeClr w14:val="tx1"/>
                  </w14:solidFill>
                </w14:textFill>
              </w:rPr>
            </w:pPr>
          </w:p>
        </w:tc>
        <w:tc>
          <w:tcPr>
            <w:tcW w:w="1456" w:type="dxa"/>
            <w:shd w:val="clear" w:color="auto" w:fill="FFFFFF"/>
            <w:vAlign w:val="center"/>
          </w:tcPr>
          <w:p w14:paraId="0B128C26">
            <w:pPr>
              <w:pStyle w:val="20"/>
              <w:spacing w:line="320" w:lineRule="exact"/>
              <w:jc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特殊情况应急方案（应含食物中毒应急预案）</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highlight w:val="none"/>
                <w:lang w:eastAsia="zh-CN"/>
                <w14:textFill>
                  <w14:solidFill>
                    <w14:schemeClr w14:val="tx1"/>
                  </w14:solidFill>
                </w14:textFill>
              </w:rPr>
              <w:t>）</w:t>
            </w:r>
          </w:p>
        </w:tc>
        <w:tc>
          <w:tcPr>
            <w:tcW w:w="7263" w:type="dxa"/>
            <w:shd w:val="clear" w:color="auto" w:fill="FFFFFF"/>
            <w:vAlign w:val="center"/>
          </w:tcPr>
          <w:p w14:paraId="07D7A346">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对货物临时供应应急方案，特殊情况应急供应商方案，响应时间，方案全面度，应对措施详细度，是否可实施且能满足保障采购人要求等进行对比评价：</w:t>
            </w:r>
          </w:p>
          <w:p w14:paraId="38919601">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1.</w:t>
            </w:r>
            <w:r>
              <w:rPr>
                <w:rFonts w:ascii="宋体" w:hAnsi="宋体" w:eastAsia="宋体" w:cs="宋体"/>
                <w:color w:val="000000" w:themeColor="text1"/>
                <w:highlight w:val="none"/>
                <w14:textFill>
                  <w14:solidFill>
                    <w14:schemeClr w14:val="tx1"/>
                  </w14:solidFill>
                </w14:textFill>
              </w:rPr>
              <w:t xml:space="preserve">有完善的货物临时供应应急方案及特殊情况应急供应方案，承诺收到应急通知10分钟内响应，方案全面，应对措施详细，完全可实施且能完全保障采购人要求的，优于或完全满足采购需求的，得10分； </w:t>
            </w:r>
          </w:p>
          <w:p w14:paraId="3B00455F">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2.</w:t>
            </w:r>
            <w:r>
              <w:rPr>
                <w:rFonts w:ascii="宋体" w:hAnsi="宋体" w:eastAsia="宋体" w:cs="宋体"/>
                <w:color w:val="000000" w:themeColor="text1"/>
                <w:highlight w:val="none"/>
                <w14:textFill>
                  <w14:solidFill>
                    <w14:schemeClr w14:val="tx1"/>
                  </w14:solidFill>
                </w14:textFill>
              </w:rPr>
              <w:t xml:space="preserve">有较完善的货物临时供应应急方案及特殊情况应急供应方案，承诺收到应急通知20分钟内响应，方案能满足保障采购人要求的，基本满足采购需求的，得7分； </w:t>
            </w:r>
          </w:p>
          <w:p w14:paraId="3A8C9A54">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lang w:eastAsia="zh-CN"/>
                <w14:textFill>
                  <w14:solidFill>
                    <w14:schemeClr w14:val="tx1"/>
                  </w14:solidFill>
                </w14:textFill>
              </w:rPr>
              <w:t>3.</w:t>
            </w:r>
            <w:r>
              <w:rPr>
                <w:rFonts w:ascii="宋体" w:hAnsi="宋体" w:eastAsia="宋体" w:cs="宋体"/>
                <w:color w:val="000000" w:themeColor="text1"/>
                <w:highlight w:val="none"/>
                <w14:textFill>
                  <w14:solidFill>
                    <w14:schemeClr w14:val="tx1"/>
                  </w14:solidFill>
                </w14:textFill>
              </w:rPr>
              <w:t xml:space="preserve">有货物临时供应应急方案及特殊情况应急供应方案，承诺收到应急通知30分钟内响应，方案基本能满足保障采购人要求的，部分满足采购需求的，得4分； </w:t>
            </w:r>
          </w:p>
          <w:p w14:paraId="318CA136">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 xml:space="preserve">4.货物临时供应应急方案及特殊情况应急供应方案一般，应急响应时间超过30分钟，基本不能满足保障采购人要求的，基本不能满足采购需求的，得1分； </w:t>
            </w:r>
          </w:p>
          <w:p w14:paraId="780BCE6C">
            <w:pPr>
              <w:pStyle w:val="20"/>
              <w:spacing w:line="320" w:lineRule="exact"/>
              <w:jc w:val="both"/>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不提供不得分。</w:t>
            </w:r>
          </w:p>
        </w:tc>
      </w:tr>
      <w:tr w14:paraId="4EFC9E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tcPr>
          <w:p w14:paraId="15902573">
            <w:pPr>
              <w:spacing w:line="320" w:lineRule="exact"/>
              <w:rPr>
                <w:rFonts w:ascii="宋体" w:hAnsi="宋体" w:cs="宋体"/>
                <w:color w:val="000000" w:themeColor="text1"/>
                <w:sz w:val="21"/>
                <w:szCs w:val="21"/>
                <w:highlight w:val="none"/>
                <w14:textFill>
                  <w14:solidFill>
                    <w14:schemeClr w14:val="tx1"/>
                  </w14:solidFill>
                </w14:textFill>
              </w:rPr>
            </w:pPr>
          </w:p>
        </w:tc>
        <w:tc>
          <w:tcPr>
            <w:tcW w:w="1456" w:type="dxa"/>
            <w:shd w:val="clear" w:color="auto" w:fill="FFFFFF"/>
            <w:vAlign w:val="center"/>
          </w:tcPr>
          <w:p w14:paraId="2FFA0668">
            <w:pPr>
              <w:pStyle w:val="20"/>
              <w:spacing w:line="32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出现问题退换货承诺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5分</w:t>
            </w:r>
            <w:r>
              <w:rPr>
                <w:rFonts w:hint="eastAsia" w:ascii="宋体" w:hAnsi="宋体" w:eastAsia="宋体" w:cs="宋体"/>
                <w:color w:val="000000" w:themeColor="text1"/>
                <w:highlight w:val="none"/>
                <w:lang w:eastAsia="zh-CN"/>
                <w14:textFill>
                  <w14:solidFill>
                    <w14:schemeClr w14:val="tx1"/>
                  </w14:solidFill>
                </w14:textFill>
              </w:rPr>
              <w:t>）</w:t>
            </w:r>
          </w:p>
        </w:tc>
        <w:tc>
          <w:tcPr>
            <w:tcW w:w="7263" w:type="dxa"/>
            <w:shd w:val="clear" w:color="auto" w:fill="FFFFFF"/>
            <w:vAlign w:val="center"/>
          </w:tcPr>
          <w:p w14:paraId="5B23E561">
            <w:pPr>
              <w:pStyle w:val="20"/>
              <w:spacing w:line="320" w:lineRule="exact"/>
              <w:jc w:val="both"/>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 xml:space="preserve">投标人须承诺服务期内如提供不符合采购人质量或重量要求的货物，须按采购人要求以不影响伙食供应为前提，无条件尽快补送或退换货。 </w:t>
            </w:r>
          </w:p>
          <w:p w14:paraId="0F9A8FA6">
            <w:pPr>
              <w:pStyle w:val="20"/>
              <w:spacing w:line="320" w:lineRule="exact"/>
              <w:jc w:val="both"/>
              <w:rPr>
                <w:rFonts w:hint="default" w:ascii="宋体" w:hAnsi="宋体" w:eastAsia="宋体" w:cs="宋体"/>
                <w:color w:val="000000" w:themeColor="text1"/>
                <w:highlight w:val="none"/>
                <w:lang w:val="en-US" w:eastAsia="zh-CN"/>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注：提供《承诺函》承诺，不提供不得分。</w:t>
            </w:r>
          </w:p>
        </w:tc>
      </w:tr>
      <w:tr w14:paraId="466219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restart"/>
          </w:tcPr>
          <w:p w14:paraId="58935EAA">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商务部分</w:t>
            </w:r>
          </w:p>
        </w:tc>
        <w:tc>
          <w:tcPr>
            <w:tcW w:w="1456" w:type="dxa"/>
            <w:shd w:val="clear" w:color="auto" w:fill="auto"/>
            <w:vAlign w:val="center"/>
          </w:tcPr>
          <w:p w14:paraId="5D7C26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同类项目业绩及评价（15分）</w:t>
            </w:r>
          </w:p>
        </w:tc>
        <w:tc>
          <w:tcPr>
            <w:tcW w:w="7263" w:type="dxa"/>
            <w:shd w:val="clear" w:color="auto" w:fill="auto"/>
            <w:vAlign w:val="top"/>
          </w:tcPr>
          <w:p w14:paraId="3727EE5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投标人提供</w:t>
            </w:r>
            <w:r>
              <w:rPr>
                <w:rFonts w:hint="eastAsia" w:ascii="宋体" w:hAnsi="宋体" w:cs="宋体"/>
                <w:color w:val="000000" w:themeColor="text1"/>
                <w:highlight w:val="none"/>
                <w:lang w:val="en-US" w:eastAsia="zh-CN"/>
                <w14:textFill>
                  <w14:solidFill>
                    <w14:schemeClr w14:val="tx1"/>
                  </w14:solidFill>
                </w14:textFill>
              </w:rPr>
              <w:t>2023年1月1日至今</w:t>
            </w:r>
            <w:r>
              <w:rPr>
                <w:rFonts w:hint="eastAsia" w:ascii="宋体" w:hAnsi="宋体" w:eastAsia="宋体" w:cs="宋体"/>
                <w:color w:val="000000" w:themeColor="text1"/>
                <w:highlight w:val="none"/>
                <w14:textFill>
                  <w14:solidFill>
                    <w14:schemeClr w14:val="tx1"/>
                  </w14:solidFill>
                </w14:textFill>
              </w:rPr>
              <w:t>（以合同签订时间为准）的同类项目业绩，每个得</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分，最高得</w:t>
            </w: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 xml:space="preserve">分； </w:t>
            </w:r>
          </w:p>
          <w:p w14:paraId="205EE18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注：提供项目的合同关键页复印件加盖投标人公章，不提供不得分。</w:t>
            </w:r>
          </w:p>
          <w:p w14:paraId="2348138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2.提供上述</w:t>
            </w:r>
            <w:r>
              <w:rPr>
                <w:rFonts w:hint="eastAsia" w:ascii="宋体" w:hAnsi="宋体" w:eastAsia="宋体" w:cs="宋体"/>
                <w:color w:val="000000" w:themeColor="text1"/>
                <w:highlight w:val="none"/>
                <w14:textFill>
                  <w14:solidFill>
                    <w14:schemeClr w14:val="tx1"/>
                  </w14:solidFill>
                </w14:textFill>
              </w:rPr>
              <w:t>同类</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项目的</w:t>
            </w:r>
            <w:r>
              <w:rPr>
                <w:rFonts w:hint="eastAsia" w:ascii="宋体" w:hAnsi="宋体" w:eastAsia="宋体" w:cs="宋体"/>
                <w:color w:val="000000" w:themeColor="text1"/>
                <w:sz w:val="21"/>
                <w:szCs w:val="21"/>
                <w:highlight w:val="none"/>
                <w14:textFill>
                  <w14:solidFill>
                    <w14:schemeClr w14:val="tx1"/>
                  </w14:solidFill>
                </w14:textFill>
              </w:rPr>
              <w:t>服务单位好评（即“满意或好评”等正面评价），每提供一份有效的证明材料，得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最高得</w:t>
            </w: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sz w:val="21"/>
                <w:szCs w:val="21"/>
                <w:highlight w:val="none"/>
                <w14:textFill>
                  <w14:solidFill>
                    <w14:schemeClr w14:val="tx1"/>
                  </w14:solidFill>
                </w14:textFill>
              </w:rPr>
              <w:t>。</w:t>
            </w:r>
          </w:p>
          <w:p w14:paraId="4717B48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 ①同一客户或同一项目提供多份用户满意度评价的，按一份计算；②提供经服务单位盖章确认的满意度评价证明材料</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w:t>
            </w:r>
            <w:r>
              <w:rPr>
                <w:rFonts w:hint="eastAsia" w:ascii="宋体" w:hAnsi="宋体" w:eastAsia="宋体" w:cs="宋体"/>
                <w:color w:val="000000" w:themeColor="text1"/>
                <w:sz w:val="21"/>
                <w:szCs w:val="21"/>
                <w:highlight w:val="none"/>
                <w14:textFill>
                  <w14:solidFill>
                    <w14:schemeClr w14:val="tx1"/>
                  </w14:solidFill>
                </w14:textFill>
              </w:rPr>
              <w:t>加盖投标人公章，</w:t>
            </w:r>
            <w:r>
              <w:rPr>
                <w:rFonts w:hint="eastAsia" w:ascii="宋体" w:hAnsi="宋体" w:eastAsia="宋体" w:cs="宋体"/>
                <w:color w:val="000000" w:themeColor="text1"/>
                <w:highlight w:val="none"/>
                <w14:textFill>
                  <w14:solidFill>
                    <w14:schemeClr w14:val="tx1"/>
                  </w14:solidFill>
                </w14:textFill>
              </w:rPr>
              <w:t>不提供不得分</w:t>
            </w:r>
            <w:r>
              <w:rPr>
                <w:rFonts w:hint="eastAsia" w:ascii="宋体" w:hAnsi="宋体" w:eastAsia="宋体" w:cs="宋体"/>
                <w:color w:val="000000" w:themeColor="text1"/>
                <w:sz w:val="21"/>
                <w:szCs w:val="21"/>
                <w:highlight w:val="none"/>
                <w14:textFill>
                  <w14:solidFill>
                    <w14:schemeClr w14:val="tx1"/>
                  </w14:solidFill>
                </w14:textFill>
              </w:rPr>
              <w:t>。</w:t>
            </w:r>
          </w:p>
          <w:p w14:paraId="343CFA0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eastAsia="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如是联合体</w:t>
            </w:r>
            <w:r>
              <w:rPr>
                <w:rFonts w:hint="eastAsia" w:ascii="宋体" w:hAnsi="宋体" w:cs="宋体"/>
                <w:color w:val="000000" w:themeColor="text1"/>
                <w:sz w:val="21"/>
                <w:szCs w:val="21"/>
                <w:highlight w:val="none"/>
                <w:lang w:val="en-US" w:eastAsia="zh-CN"/>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投标，任意一方提供即可得分。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14:paraId="521FD3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tcPr>
          <w:p w14:paraId="37E02AEA">
            <w:pPr>
              <w:spacing w:line="320" w:lineRule="exact"/>
              <w:rPr>
                <w:rFonts w:ascii="宋体" w:hAnsi="宋体" w:cs="宋体"/>
                <w:color w:val="000000" w:themeColor="text1"/>
                <w:sz w:val="21"/>
                <w:szCs w:val="21"/>
                <w:highlight w:val="none"/>
                <w14:textFill>
                  <w14:solidFill>
                    <w14:schemeClr w14:val="tx1"/>
                  </w14:solidFill>
                </w14:textFill>
              </w:rPr>
            </w:pPr>
          </w:p>
        </w:tc>
        <w:tc>
          <w:tcPr>
            <w:tcW w:w="1456" w:type="dxa"/>
            <w:shd w:val="clear" w:color="auto" w:fill="auto"/>
            <w:vAlign w:val="center"/>
          </w:tcPr>
          <w:p w14:paraId="12BF88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食品安全责任险保障</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6分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c>
          <w:tcPr>
            <w:tcW w:w="7263" w:type="dxa"/>
            <w:shd w:val="clear" w:color="auto" w:fill="auto"/>
            <w:vAlign w:val="top"/>
          </w:tcPr>
          <w:p w14:paraId="004FBFB6">
            <w:pPr>
              <w:pStyle w:val="20"/>
              <w:spacing w:line="320" w:lineRule="exact"/>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提供食品安全责任险保障，保额壹仟万元及以上的，得</w:t>
            </w:r>
            <w:r>
              <w:rPr>
                <w:rFonts w:hint="eastAsia" w:ascii="宋体" w:hAnsi="宋体" w:eastAsia="宋体" w:cs="宋体"/>
                <w:color w:val="000000" w:themeColor="text1"/>
                <w:highlight w:val="none"/>
                <w:lang w:val="en-US" w:eastAsia="zh-CN"/>
                <w14:textFill>
                  <w14:solidFill>
                    <w14:schemeClr w14:val="tx1"/>
                  </w14:solidFill>
                </w14:textFill>
              </w:rPr>
              <w:t>2</w:t>
            </w:r>
            <w:r>
              <w:rPr>
                <w:rFonts w:ascii="宋体" w:hAnsi="宋体" w:eastAsia="宋体" w:cs="宋体"/>
                <w:color w:val="000000" w:themeColor="text1"/>
                <w:highlight w:val="none"/>
                <w14:textFill>
                  <w14:solidFill>
                    <w14:schemeClr w14:val="tx1"/>
                  </w14:solidFill>
                </w14:textFill>
              </w:rPr>
              <w:t>分；保额贰仟万元及以上的，得</w:t>
            </w:r>
            <w:r>
              <w:rPr>
                <w:rFonts w:hint="eastAsia" w:ascii="宋体" w:hAnsi="宋体" w:eastAsia="宋体" w:cs="宋体"/>
                <w:color w:val="000000" w:themeColor="text1"/>
                <w:highlight w:val="none"/>
                <w:lang w:val="en-US" w:eastAsia="zh-CN"/>
                <w14:textFill>
                  <w14:solidFill>
                    <w14:schemeClr w14:val="tx1"/>
                  </w14:solidFill>
                </w14:textFill>
              </w:rPr>
              <w:t>4</w:t>
            </w:r>
            <w:r>
              <w:rPr>
                <w:rFonts w:ascii="宋体" w:hAnsi="宋体" w:eastAsia="宋体" w:cs="宋体"/>
                <w:color w:val="000000" w:themeColor="text1"/>
                <w:highlight w:val="none"/>
                <w14:textFill>
                  <w14:solidFill>
                    <w14:schemeClr w14:val="tx1"/>
                  </w14:solidFill>
                </w14:textFill>
              </w:rPr>
              <w:t>分；保额伍仟万元及以上的，得</w:t>
            </w:r>
            <w:r>
              <w:rPr>
                <w:rFonts w:hint="eastAsia" w:ascii="宋体" w:hAnsi="宋体" w:eastAsia="宋体" w:cs="宋体"/>
                <w:color w:val="000000" w:themeColor="text1"/>
                <w:highlight w:val="none"/>
                <w:lang w:val="en-US" w:eastAsia="zh-CN"/>
                <w14:textFill>
                  <w14:solidFill>
                    <w14:schemeClr w14:val="tx1"/>
                  </w14:solidFill>
                </w14:textFill>
              </w:rPr>
              <w:t>6</w:t>
            </w:r>
            <w:r>
              <w:rPr>
                <w:rFonts w:ascii="宋体" w:hAnsi="宋体" w:eastAsia="宋体" w:cs="宋体"/>
                <w:color w:val="000000" w:themeColor="text1"/>
                <w:highlight w:val="none"/>
                <w14:textFill>
                  <w14:solidFill>
                    <w14:schemeClr w14:val="tx1"/>
                  </w14:solidFill>
                </w14:textFill>
              </w:rPr>
              <w:t>分，本项最高得</w:t>
            </w:r>
            <w:r>
              <w:rPr>
                <w:rFonts w:hint="eastAsia" w:ascii="宋体" w:hAnsi="宋体" w:eastAsia="宋体" w:cs="宋体"/>
                <w:color w:val="000000" w:themeColor="text1"/>
                <w:highlight w:val="none"/>
                <w:lang w:val="en-US" w:eastAsia="zh-CN"/>
                <w14:textFill>
                  <w14:solidFill>
                    <w14:schemeClr w14:val="tx1"/>
                  </w14:solidFill>
                </w14:textFill>
              </w:rPr>
              <w:t>6</w:t>
            </w:r>
            <w:r>
              <w:rPr>
                <w:rFonts w:ascii="宋体" w:hAnsi="宋体" w:eastAsia="宋体" w:cs="宋体"/>
                <w:color w:val="000000" w:themeColor="text1"/>
                <w:highlight w:val="none"/>
                <w14:textFill>
                  <w14:solidFill>
                    <w14:schemeClr w14:val="tx1"/>
                  </w14:solidFill>
                </w14:textFill>
              </w:rPr>
              <w:t xml:space="preserve">分。 </w:t>
            </w:r>
          </w:p>
          <w:p w14:paraId="0D154E4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注：提供上述有效的食品安全责任险保险单、发票的复印件并加盖投标人公章，保险额均以人民币计算。如投标时未购买食品安全责任险，投标人须承诺中标后签合同前投保。评审时根据承诺投保的保额得相应的分值，提供《承诺函》，格式自拟，不提供不得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如是联合体</w:t>
            </w:r>
            <w:r>
              <w:rPr>
                <w:rFonts w:hint="eastAsia" w:ascii="宋体" w:hAnsi="宋体" w:cs="宋体"/>
                <w:color w:val="000000" w:themeColor="text1"/>
                <w:sz w:val="21"/>
                <w:szCs w:val="21"/>
                <w:highlight w:val="none"/>
                <w:lang w:val="en-US" w:eastAsia="zh-CN"/>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投标，任意一方提供即可得分。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14:paraId="6308A2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tcPr>
          <w:p w14:paraId="753F650F">
            <w:pPr>
              <w:spacing w:line="320" w:lineRule="exact"/>
              <w:rPr>
                <w:rFonts w:ascii="宋体" w:hAnsi="宋体" w:cs="宋体"/>
                <w:color w:val="000000" w:themeColor="text1"/>
                <w:sz w:val="21"/>
                <w:szCs w:val="21"/>
                <w:highlight w:val="none"/>
                <w14:textFill>
                  <w14:solidFill>
                    <w14:schemeClr w14:val="tx1"/>
                  </w14:solidFill>
                </w14:textFill>
              </w:rPr>
            </w:pPr>
          </w:p>
        </w:tc>
        <w:tc>
          <w:tcPr>
            <w:tcW w:w="1456" w:type="dxa"/>
            <w:shd w:val="clear" w:color="auto" w:fill="auto"/>
            <w:vAlign w:val="center"/>
          </w:tcPr>
          <w:p w14:paraId="187524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拟投入项目团队人员</w:t>
            </w:r>
            <w:r>
              <w:rPr>
                <w:rFonts w:hint="eastAsia" w:ascii="宋体" w:hAnsi="宋体" w:eastAsia="宋体" w:cs="宋体"/>
                <w:color w:val="000000" w:themeColor="text1"/>
                <w:sz w:val="21"/>
                <w:szCs w:val="21"/>
                <w:highlight w:val="none"/>
                <w:lang w:val="en-US" w:eastAsia="zh-CN"/>
                <w14:textFill>
                  <w14:solidFill>
                    <w14:schemeClr w14:val="tx1"/>
                  </w14:solidFill>
                </w14:textFill>
              </w:rPr>
              <w:t>情况（8分）</w:t>
            </w:r>
          </w:p>
        </w:tc>
        <w:tc>
          <w:tcPr>
            <w:tcW w:w="7263" w:type="dxa"/>
            <w:shd w:val="clear" w:color="auto" w:fill="auto"/>
            <w:vAlign w:val="center"/>
          </w:tcPr>
          <w:p w14:paraId="3B203BDD">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具有</w:t>
            </w:r>
            <w:r>
              <w:rPr>
                <w:rFonts w:hint="eastAsia" w:ascii="宋体" w:hAnsi="宋体" w:eastAsia="宋体" w:cs="宋体"/>
                <w:color w:val="000000" w:themeColor="text1"/>
                <w:sz w:val="21"/>
                <w:szCs w:val="21"/>
                <w:highlight w:val="none"/>
                <w14:textFill>
                  <w14:solidFill>
                    <w14:schemeClr w14:val="tx1"/>
                  </w14:solidFill>
                </w14:textFill>
              </w:rPr>
              <w:t>专门的</w:t>
            </w:r>
            <w:r>
              <w:rPr>
                <w:rFonts w:hint="eastAsia" w:ascii="宋体" w:hAnsi="宋体" w:eastAsia="宋体" w:cs="宋体"/>
                <w:color w:val="000000" w:themeColor="text1"/>
                <w:sz w:val="21"/>
                <w:szCs w:val="21"/>
                <w:highlight w:val="none"/>
                <w:lang w:val="en-US" w:eastAsia="zh-CN"/>
                <w14:textFill>
                  <w14:solidFill>
                    <w14:schemeClr w14:val="tx1"/>
                  </w14:solidFill>
                </w14:textFill>
              </w:rPr>
              <w:t>食品安全管理人员</w:t>
            </w:r>
            <w:r>
              <w:rPr>
                <w:rFonts w:hint="eastAsia" w:ascii="宋体" w:hAnsi="宋体" w:eastAsia="宋体" w:cs="宋体"/>
                <w:color w:val="000000" w:themeColor="text1"/>
                <w:highlight w:val="none"/>
                <w14:textFill>
                  <w14:solidFill>
                    <w14:schemeClr w14:val="tx1"/>
                  </w14:solidFill>
                </w14:textFill>
              </w:rPr>
              <w:t>，每</w:t>
            </w:r>
            <w:r>
              <w:rPr>
                <w:rFonts w:hint="eastAsia" w:ascii="宋体" w:hAnsi="宋体" w:eastAsia="宋体" w:cs="宋体"/>
                <w:color w:val="000000" w:themeColor="text1"/>
                <w:highlight w:val="none"/>
                <w:lang w:val="en-US" w:eastAsia="zh-CN"/>
                <w14:textFill>
                  <w14:solidFill>
                    <w14:schemeClr w14:val="tx1"/>
                  </w14:solidFill>
                </w14:textFill>
              </w:rPr>
              <w:t>人得4</w:t>
            </w:r>
            <w:r>
              <w:rPr>
                <w:rFonts w:hint="eastAsia" w:ascii="宋体" w:hAnsi="宋体" w:eastAsia="宋体" w:cs="宋体"/>
                <w:color w:val="000000" w:themeColor="text1"/>
                <w:highlight w:val="none"/>
                <w14:textFill>
                  <w14:solidFill>
                    <w14:schemeClr w14:val="tx1"/>
                  </w14:solidFill>
                </w14:textFill>
              </w:rPr>
              <w:t>分，最高得</w:t>
            </w:r>
            <w:r>
              <w:rPr>
                <w:rFonts w:hint="eastAsia" w:ascii="宋体" w:hAnsi="宋体" w:eastAsia="宋体" w:cs="宋体"/>
                <w:color w:val="000000" w:themeColor="text1"/>
                <w:highlight w:val="none"/>
                <w:lang w:val="en-US" w:eastAsia="zh-CN"/>
                <w14:textFill>
                  <w14:solidFill>
                    <w14:schemeClr w14:val="tx1"/>
                  </w14:solidFill>
                </w14:textFill>
              </w:rPr>
              <w:t>8</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eastAsia="zh-CN"/>
                <w14:textFill>
                  <w14:solidFill>
                    <w14:schemeClr w14:val="tx1"/>
                  </w14:solidFill>
                </w14:textFill>
              </w:rPr>
              <w:t>。</w:t>
            </w:r>
          </w:p>
          <w:p w14:paraId="705E88C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eastAsia="宋体" w:cs="宋体"/>
                <w:color w:val="000000" w:themeColor="text1"/>
                <w:sz w:val="21"/>
                <w:szCs w:val="21"/>
                <w:highlight w:val="none"/>
                <w:lang w:val="en-US" w:eastAsia="zh-CN"/>
                <w14:textFill>
                  <w14:solidFill>
                    <w14:schemeClr w14:val="tx1"/>
                  </w14:solidFill>
                </w14:textFill>
              </w:rPr>
              <w:t>配备人员</w:t>
            </w:r>
            <w:r>
              <w:rPr>
                <w:rFonts w:hint="eastAsia" w:ascii="宋体" w:hAnsi="宋体" w:eastAsia="宋体" w:cs="宋体"/>
                <w:color w:val="000000" w:themeColor="text1"/>
                <w:sz w:val="21"/>
                <w:szCs w:val="21"/>
                <w:highlight w:val="none"/>
                <w14:textFill>
                  <w14:solidFill>
                    <w14:schemeClr w14:val="tx1"/>
                  </w14:solidFill>
                </w14:textFill>
              </w:rPr>
              <w:t>需</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提供广东省食品安全管理人员考试合格证明证书复印件加盖投标人公章</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不提供不得分</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如是联合体</w:t>
            </w:r>
            <w:r>
              <w:rPr>
                <w:rFonts w:hint="eastAsia" w:ascii="宋体" w:hAnsi="宋体" w:cs="宋体"/>
                <w:color w:val="000000" w:themeColor="text1"/>
                <w:sz w:val="21"/>
                <w:szCs w:val="21"/>
                <w:highlight w:val="none"/>
                <w:lang w:val="en-US" w:eastAsia="zh-CN"/>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投标，任意一方提供即可得分。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14:paraId="083B56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tcPr>
          <w:p w14:paraId="3A3DBD1B">
            <w:pPr>
              <w:spacing w:line="320" w:lineRule="exact"/>
              <w:rPr>
                <w:rFonts w:ascii="宋体" w:hAnsi="宋体" w:cs="宋体"/>
                <w:color w:val="000000" w:themeColor="text1"/>
                <w:sz w:val="21"/>
                <w:szCs w:val="21"/>
                <w:highlight w:val="none"/>
                <w14:textFill>
                  <w14:solidFill>
                    <w14:schemeClr w14:val="tx1"/>
                  </w14:solidFill>
                </w14:textFill>
              </w:rPr>
            </w:pPr>
          </w:p>
        </w:tc>
        <w:tc>
          <w:tcPr>
            <w:tcW w:w="1456" w:type="dxa"/>
            <w:shd w:val="clear" w:color="auto" w:fill="auto"/>
            <w:vAlign w:val="center"/>
          </w:tcPr>
          <w:p w14:paraId="6298B2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配送能力</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9分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c>
          <w:tcPr>
            <w:tcW w:w="7263" w:type="dxa"/>
            <w:shd w:val="clear" w:color="auto" w:fill="auto"/>
            <w:vAlign w:val="center"/>
          </w:tcPr>
          <w:p w14:paraId="6C05CAE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投标人针对本项目投入的</w:t>
            </w:r>
            <w:r>
              <w:rPr>
                <w:rFonts w:hint="eastAsia" w:ascii="宋体" w:hAnsi="宋体" w:cs="宋体"/>
                <w:color w:val="000000" w:themeColor="text1"/>
                <w:sz w:val="21"/>
                <w:szCs w:val="21"/>
                <w:highlight w:val="none"/>
                <w:lang w:val="en-US" w:eastAsia="zh-CN"/>
                <w14:textFill>
                  <w14:solidFill>
                    <w14:schemeClr w14:val="tx1"/>
                  </w14:solidFill>
                </w14:textFill>
              </w:rPr>
              <w:t>冷藏</w:t>
            </w:r>
            <w:r>
              <w:rPr>
                <w:rFonts w:hint="eastAsia" w:ascii="宋体" w:hAnsi="宋体" w:eastAsia="宋体" w:cs="宋体"/>
                <w:color w:val="000000" w:themeColor="text1"/>
                <w:sz w:val="21"/>
                <w:szCs w:val="21"/>
                <w:highlight w:val="none"/>
                <w14:textFill>
                  <w14:solidFill>
                    <w14:schemeClr w14:val="tx1"/>
                  </w14:solidFill>
                </w14:textFill>
              </w:rPr>
              <w:t>配送车辆，每配备1台</w:t>
            </w:r>
            <w:r>
              <w:rPr>
                <w:rFonts w:hint="eastAsia" w:ascii="宋体" w:hAnsi="宋体" w:cs="宋体"/>
                <w:color w:val="000000" w:themeColor="text1"/>
                <w:sz w:val="21"/>
                <w:szCs w:val="21"/>
                <w:highlight w:val="none"/>
                <w:lang w:val="en-US" w:eastAsia="zh-CN"/>
                <w14:textFill>
                  <w14:solidFill>
                    <w14:schemeClr w14:val="tx1"/>
                  </w14:solidFill>
                </w14:textFill>
              </w:rPr>
              <w:t>冷藏</w:t>
            </w:r>
            <w:r>
              <w:rPr>
                <w:rFonts w:hint="eastAsia" w:ascii="宋体" w:hAnsi="宋体" w:eastAsia="宋体" w:cs="宋体"/>
                <w:color w:val="000000" w:themeColor="text1"/>
                <w:sz w:val="21"/>
                <w:szCs w:val="21"/>
                <w:highlight w:val="none"/>
                <w14:textFill>
                  <w14:solidFill>
                    <w14:schemeClr w14:val="tx1"/>
                  </w14:solidFill>
                </w14:textFill>
              </w:rPr>
              <w:t>配送车辆的得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3分，本项</w:t>
            </w:r>
            <w:r>
              <w:rPr>
                <w:rFonts w:hint="eastAsia" w:ascii="宋体" w:hAnsi="宋体" w:eastAsia="宋体" w:cs="宋体"/>
                <w:color w:val="000000" w:themeColor="text1"/>
                <w:sz w:val="21"/>
                <w:szCs w:val="21"/>
                <w:highlight w:val="none"/>
                <w14:textFill>
                  <w14:solidFill>
                    <w14:schemeClr w14:val="tx1"/>
                  </w14:solidFill>
                </w14:textFill>
              </w:rPr>
              <w:t>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2104A7F2">
            <w:pPr>
              <w:pStyle w:val="20"/>
              <w:spacing w:line="320" w:lineRule="exact"/>
              <w:rPr>
                <w:rFonts w:hint="eastAsia" w:ascii="宋体" w:hAnsi="宋体" w:eastAsia="宋体" w:cs="宋体"/>
                <w:color w:val="000000" w:themeColor="text1"/>
                <w:highlight w:val="none"/>
                <w:lang w:val="en-US" w:eastAsia="zh-CN"/>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 xml:space="preserve">提供配送车辆的实物照片。（需显示到车牌号，未上牌需显示车架号） </w:t>
            </w:r>
          </w:p>
          <w:p w14:paraId="785A08D7">
            <w:pPr>
              <w:pStyle w:val="20"/>
              <w:spacing w:line="320" w:lineRule="exact"/>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 xml:space="preserve">2.所提供的车辆为租赁的还须提供以投标人名义（含法定代表人）签署的租赁合同复印件。 </w:t>
            </w:r>
          </w:p>
          <w:p w14:paraId="63CF67F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3.所提供的资料应清晰可辨，加盖投标人公章，否则不予计分。</w:t>
            </w:r>
          </w:p>
          <w:p w14:paraId="05F9BD6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如是联合体</w:t>
            </w:r>
            <w:r>
              <w:rPr>
                <w:rFonts w:hint="eastAsia" w:ascii="宋体" w:hAnsi="宋体" w:cs="宋体"/>
                <w:color w:val="000000" w:themeColor="text1"/>
                <w:sz w:val="21"/>
                <w:szCs w:val="21"/>
                <w:highlight w:val="none"/>
                <w:lang w:val="en-US" w:eastAsia="zh-CN"/>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投标，任意一方提供即可得分。</w:t>
            </w:r>
          </w:p>
        </w:tc>
      </w:tr>
      <w:tr w14:paraId="6ED33E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tcPr>
          <w:p w14:paraId="2E30F3CB">
            <w:pPr>
              <w:spacing w:line="320" w:lineRule="exact"/>
              <w:rPr>
                <w:rFonts w:ascii="宋体" w:hAnsi="宋体" w:cs="宋体"/>
                <w:color w:val="000000" w:themeColor="text1"/>
                <w:sz w:val="21"/>
                <w:szCs w:val="21"/>
                <w:highlight w:val="none"/>
                <w14:textFill>
                  <w14:solidFill>
                    <w14:schemeClr w14:val="tx1"/>
                  </w14:solidFill>
                </w14:textFill>
              </w:rPr>
            </w:pPr>
          </w:p>
        </w:tc>
        <w:tc>
          <w:tcPr>
            <w:tcW w:w="1456" w:type="dxa"/>
            <w:shd w:val="clear" w:color="auto" w:fill="auto"/>
            <w:vAlign w:val="center"/>
          </w:tcPr>
          <w:p w14:paraId="77599D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投标人自有或租赁的冷冻/冷藏库情况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5分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c>
          <w:tcPr>
            <w:tcW w:w="7263" w:type="dxa"/>
            <w:shd w:val="clear" w:color="auto" w:fill="auto"/>
            <w:vAlign w:val="center"/>
          </w:tcPr>
          <w:p w14:paraId="31315D9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投标人具有</w:t>
            </w:r>
            <w:r>
              <w:rPr>
                <w:rFonts w:hint="eastAsia" w:ascii="宋体" w:hAnsi="宋体" w:eastAsia="宋体" w:cs="宋体"/>
                <w:color w:val="000000" w:themeColor="text1"/>
                <w:sz w:val="21"/>
                <w:szCs w:val="21"/>
                <w:highlight w:val="none"/>
                <w14:textFill>
                  <w14:solidFill>
                    <w14:schemeClr w14:val="tx1"/>
                  </w14:solidFill>
                </w14:textFill>
              </w:rPr>
              <w:t>冷冻/冷藏库</w:t>
            </w:r>
            <w:r>
              <w:rPr>
                <w:rFonts w:hint="eastAsia" w:ascii="宋体" w:hAnsi="宋体" w:eastAsia="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cs="宋体"/>
                <w:color w:val="000000" w:themeColor="text1"/>
                <w:sz w:val="21"/>
                <w:szCs w:val="21"/>
                <w:highlight w:val="none"/>
                <w:lang w:eastAsia="zh-CN"/>
                <w14:textFill>
                  <w14:solidFill>
                    <w14:schemeClr w14:val="tx1"/>
                  </w14:solidFill>
                </w14:textFill>
              </w:rPr>
              <w:t>。</w:t>
            </w:r>
          </w:p>
          <w:p w14:paraId="51158D2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投标人或法定代表人</w:t>
            </w:r>
            <w:r>
              <w:rPr>
                <w:rFonts w:hint="eastAsia" w:ascii="宋体" w:hAnsi="宋体" w:eastAsia="宋体" w:cs="宋体"/>
                <w:color w:val="000000" w:themeColor="text1"/>
                <w:sz w:val="21"/>
                <w:szCs w:val="21"/>
                <w:highlight w:val="none"/>
                <w14:textFill>
                  <w14:solidFill>
                    <w14:schemeClr w14:val="tx1"/>
                  </w14:solidFill>
                </w14:textFill>
              </w:rPr>
              <w:t>的产权证明或以</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投标人或法定代表人签署</w:t>
            </w:r>
            <w:r>
              <w:rPr>
                <w:rFonts w:hint="eastAsia" w:ascii="宋体" w:hAnsi="宋体" w:eastAsia="宋体" w:cs="宋体"/>
                <w:color w:val="000000" w:themeColor="text1"/>
                <w:sz w:val="21"/>
                <w:szCs w:val="21"/>
                <w:highlight w:val="none"/>
                <w14:textFill>
                  <w14:solidFill>
                    <w14:schemeClr w14:val="tx1"/>
                  </w14:solidFill>
                </w14:textFill>
              </w:rPr>
              <w:t>的租赁合同</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w:t>
            </w:r>
            <w:r>
              <w:rPr>
                <w:rFonts w:hint="eastAsia" w:ascii="宋体" w:hAnsi="宋体" w:eastAsia="宋体" w:cs="宋体"/>
                <w:color w:val="000000" w:themeColor="text1"/>
                <w:sz w:val="21"/>
                <w:szCs w:val="21"/>
                <w:highlight w:val="none"/>
                <w14:textFill>
                  <w14:solidFill>
                    <w14:schemeClr w14:val="tx1"/>
                  </w14:solidFill>
                </w14:textFill>
              </w:rPr>
              <w:t>及冷冻/冷藏库照片并加盖投标人公章</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不提供不得分。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如是联合体</w:t>
            </w:r>
            <w:r>
              <w:rPr>
                <w:rFonts w:hint="eastAsia" w:ascii="宋体" w:hAnsi="宋体" w:cs="宋体"/>
                <w:color w:val="000000" w:themeColor="text1"/>
                <w:sz w:val="21"/>
                <w:szCs w:val="21"/>
                <w:highlight w:val="none"/>
                <w:lang w:val="en-US" w:eastAsia="zh-CN"/>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投标，任意一方提供即可得分。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14:paraId="4233F7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tcPr>
          <w:p w14:paraId="5E27FC70">
            <w:pPr>
              <w:spacing w:line="320" w:lineRule="exact"/>
              <w:rPr>
                <w:rFonts w:ascii="宋体" w:hAnsi="宋体" w:cs="宋体"/>
                <w:color w:val="000000" w:themeColor="text1"/>
                <w:sz w:val="21"/>
                <w:szCs w:val="21"/>
                <w:highlight w:val="none"/>
                <w14:textFill>
                  <w14:solidFill>
                    <w14:schemeClr w14:val="tx1"/>
                  </w14:solidFill>
                </w14:textFill>
              </w:rPr>
            </w:pPr>
          </w:p>
        </w:tc>
        <w:tc>
          <w:tcPr>
            <w:tcW w:w="1456" w:type="dxa"/>
            <w:shd w:val="clear" w:color="auto" w:fill="auto"/>
            <w:vAlign w:val="center"/>
          </w:tcPr>
          <w:p w14:paraId="371C6C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配送场地</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5分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c>
          <w:tcPr>
            <w:tcW w:w="7263" w:type="dxa"/>
            <w:shd w:val="clear" w:color="auto" w:fill="auto"/>
            <w:vAlign w:val="center"/>
          </w:tcPr>
          <w:p w14:paraId="2B56585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具有</w:t>
            </w:r>
            <w:r>
              <w:rPr>
                <w:rFonts w:hint="eastAsia" w:ascii="宋体" w:hAnsi="宋体" w:eastAsia="宋体" w:cs="宋体"/>
                <w:color w:val="000000" w:themeColor="text1"/>
                <w:sz w:val="21"/>
                <w:szCs w:val="21"/>
                <w:highlight w:val="none"/>
                <w14:textFill>
                  <w14:solidFill>
                    <w14:schemeClr w14:val="tx1"/>
                  </w14:solidFill>
                </w14:textFill>
              </w:rPr>
              <w:t>配送场地</w:t>
            </w:r>
            <w:r>
              <w:rPr>
                <w:rFonts w:hint="eastAsia" w:ascii="宋体" w:hAnsi="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07741123">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投标人或法定代表人</w:t>
            </w:r>
            <w:r>
              <w:rPr>
                <w:rFonts w:hint="eastAsia" w:ascii="宋体" w:hAnsi="宋体" w:eastAsia="宋体" w:cs="宋体"/>
                <w:color w:val="000000" w:themeColor="text1"/>
                <w:sz w:val="21"/>
                <w:szCs w:val="21"/>
                <w:highlight w:val="none"/>
                <w14:textFill>
                  <w14:solidFill>
                    <w14:schemeClr w14:val="tx1"/>
                  </w14:solidFill>
                </w14:textFill>
              </w:rPr>
              <w:t>的产权证明或以</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投标人或法定代表人签署</w:t>
            </w:r>
            <w:r>
              <w:rPr>
                <w:rFonts w:hint="eastAsia" w:ascii="宋体" w:hAnsi="宋体" w:eastAsia="宋体" w:cs="宋体"/>
                <w:color w:val="000000" w:themeColor="text1"/>
                <w:sz w:val="21"/>
                <w:szCs w:val="21"/>
                <w:highlight w:val="none"/>
                <w14:textFill>
                  <w14:solidFill>
                    <w14:schemeClr w14:val="tx1"/>
                  </w14:solidFill>
                </w14:textFill>
              </w:rPr>
              <w:t>的租赁合同</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w:t>
            </w:r>
            <w:r>
              <w:rPr>
                <w:rFonts w:hint="eastAsia" w:ascii="宋体" w:hAnsi="宋体" w:eastAsia="宋体" w:cs="宋体"/>
                <w:color w:val="000000" w:themeColor="text1"/>
                <w:sz w:val="21"/>
                <w:szCs w:val="21"/>
                <w:highlight w:val="none"/>
                <w14:textFill>
                  <w14:solidFill>
                    <w14:schemeClr w14:val="tx1"/>
                  </w14:solidFill>
                </w14:textFill>
              </w:rPr>
              <w:t>及配送场地照片并加盖投标人公章</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不提供不得分。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如是联合体</w:t>
            </w:r>
            <w:r>
              <w:rPr>
                <w:rFonts w:hint="eastAsia" w:ascii="宋体" w:hAnsi="宋体" w:cs="宋体"/>
                <w:color w:val="000000" w:themeColor="text1"/>
                <w:sz w:val="21"/>
                <w:szCs w:val="21"/>
                <w:highlight w:val="none"/>
                <w:lang w:val="en-US" w:eastAsia="zh-CN"/>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投标，任意一方提供即可得分。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14:paraId="654228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tcPr>
          <w:p w14:paraId="5682DA9F">
            <w:pPr>
              <w:spacing w:line="320" w:lineRule="exact"/>
              <w:rPr>
                <w:rFonts w:ascii="宋体" w:hAnsi="宋体" w:cs="宋体"/>
                <w:color w:val="000000" w:themeColor="text1"/>
                <w:sz w:val="21"/>
                <w:szCs w:val="21"/>
                <w:highlight w:val="none"/>
                <w14:textFill>
                  <w14:solidFill>
                    <w14:schemeClr w14:val="tx1"/>
                  </w14:solidFill>
                </w14:textFill>
              </w:rPr>
            </w:pPr>
          </w:p>
        </w:tc>
        <w:tc>
          <w:tcPr>
            <w:tcW w:w="1456" w:type="dxa"/>
            <w:shd w:val="clear" w:color="auto" w:fill="auto"/>
            <w:vAlign w:val="center"/>
          </w:tcPr>
          <w:p w14:paraId="43D1B6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食品卫生检测能力</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7分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c>
          <w:tcPr>
            <w:tcW w:w="7263" w:type="dxa"/>
            <w:shd w:val="clear" w:color="auto" w:fill="auto"/>
            <w:vAlign w:val="center"/>
          </w:tcPr>
          <w:p w14:paraId="6518AA4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投标人具</w:t>
            </w:r>
            <w:r>
              <w:rPr>
                <w:rFonts w:hint="eastAsia" w:ascii="宋体" w:hAnsi="宋体" w:eastAsia="宋体" w:cs="宋体"/>
                <w:color w:val="000000" w:themeColor="text1"/>
                <w:sz w:val="21"/>
                <w:szCs w:val="21"/>
                <w:highlight w:val="none"/>
                <w:lang w:val="en-US" w:eastAsia="zh-CN"/>
                <w14:textFill>
                  <w14:solidFill>
                    <w14:schemeClr w14:val="tx1"/>
                  </w14:solidFill>
                </w14:textFill>
              </w:rPr>
              <w:t>有</w:t>
            </w:r>
            <w:r>
              <w:rPr>
                <w:rFonts w:hint="eastAsia" w:ascii="宋体" w:hAnsi="宋体" w:eastAsia="宋体" w:cs="宋体"/>
                <w:color w:val="000000" w:themeColor="text1"/>
                <w:sz w:val="21"/>
                <w:szCs w:val="21"/>
                <w:highlight w:val="none"/>
                <w14:textFill>
                  <w14:solidFill>
                    <w14:schemeClr w14:val="tx1"/>
                  </w14:solidFill>
                </w14:textFill>
              </w:rPr>
              <w:t>食品检测室，得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p>
          <w:p w14:paraId="259B49B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注：须提供食品检测室场所</w:t>
            </w:r>
            <w:r>
              <w:rPr>
                <w:rFonts w:hint="eastAsia" w:ascii="宋体" w:hAnsi="宋体" w:eastAsia="宋体" w:cs="宋体"/>
                <w:color w:val="000000" w:themeColor="text1"/>
                <w:sz w:val="21"/>
                <w:szCs w:val="21"/>
                <w:highlight w:val="none"/>
                <w:lang w:val="en-US" w:eastAsia="zh-CN"/>
                <w14:textFill>
                  <w14:solidFill>
                    <w14:schemeClr w14:val="tx1"/>
                  </w14:solidFill>
                </w14:textFill>
              </w:rPr>
              <w:t>照片</w:t>
            </w:r>
            <w:r>
              <w:rPr>
                <w:rFonts w:hint="eastAsia" w:ascii="宋体" w:hAnsi="宋体" w:eastAsia="宋体" w:cs="宋体"/>
                <w:color w:val="000000" w:themeColor="text1"/>
                <w:sz w:val="21"/>
                <w:szCs w:val="21"/>
                <w:highlight w:val="none"/>
                <w14:textFill>
                  <w14:solidFill>
                    <w14:schemeClr w14:val="tx1"/>
                  </w14:solidFill>
                </w14:textFill>
              </w:rPr>
              <w:t>并加盖投标人公章</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 xml:space="preserve">不提供不得分； </w:t>
            </w:r>
          </w:p>
          <w:p w14:paraId="3DC01A7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1"/>
                <w:szCs w:val="21"/>
                <w:highlight w:val="none"/>
                <w14:textFill>
                  <w14:solidFill>
                    <w14:schemeClr w14:val="tx1"/>
                  </w14:solidFill>
                </w14:textFill>
              </w:rPr>
              <w:t>2</w:t>
            </w:r>
            <w:r>
              <w:rPr>
                <w:rFonts w:hint="eastAsia" w:ascii="宋体" w:hAnsi="宋体" w:eastAsia="宋体" w:cs="宋体"/>
                <w:strike w:val="0"/>
                <w:dstrike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strike w:val="0"/>
                <w:dstrike w:val="0"/>
                <w:color w:val="000000" w:themeColor="text1"/>
                <w:sz w:val="21"/>
                <w:szCs w:val="21"/>
                <w:highlight w:val="none"/>
                <w14:textFill>
                  <w14:solidFill>
                    <w14:schemeClr w14:val="tx1"/>
                  </w14:solidFill>
                </w14:textFill>
              </w:rPr>
              <w:t>投标人具</w:t>
            </w:r>
            <w:r>
              <w:rPr>
                <w:rFonts w:hint="eastAsia" w:ascii="宋体" w:hAnsi="宋体" w:eastAsia="宋体" w:cs="宋体"/>
                <w:strike w:val="0"/>
                <w:color w:val="000000" w:themeColor="text1"/>
                <w:sz w:val="21"/>
                <w:szCs w:val="21"/>
                <w:highlight w:val="none"/>
                <w14:textFill>
                  <w14:solidFill>
                    <w14:schemeClr w14:val="tx1"/>
                  </w14:solidFill>
                </w14:textFill>
              </w:rPr>
              <w:t>具</w:t>
            </w:r>
            <w:r>
              <w:rPr>
                <w:rFonts w:hint="eastAsia" w:ascii="宋体" w:hAnsi="宋体" w:eastAsia="宋体" w:cs="宋体"/>
                <w:color w:val="000000" w:themeColor="text1"/>
                <w:sz w:val="21"/>
                <w:szCs w:val="21"/>
                <w:highlight w:val="none"/>
                <w14:textFill>
                  <w14:solidFill>
                    <w14:schemeClr w14:val="tx1"/>
                  </w14:solidFill>
                </w14:textFill>
              </w:rPr>
              <w:t>有</w:t>
            </w:r>
            <w:r>
              <w:rPr>
                <w:rFonts w:hint="eastAsia" w:ascii="宋体" w:hAnsi="宋体" w:eastAsia="宋体" w:cs="宋体"/>
                <w:color w:val="000000" w:themeColor="text1"/>
                <w:sz w:val="21"/>
                <w:szCs w:val="21"/>
                <w:highlight w:val="none"/>
                <w:lang w:val="en-US" w:eastAsia="zh-CN"/>
                <w14:textFill>
                  <w14:solidFill>
                    <w14:schemeClr w14:val="tx1"/>
                  </w14:solidFill>
                </w14:textFill>
              </w:rPr>
              <w:t>肉类综合检测仪</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82768E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注：提供上述检测仪器的</w:t>
            </w:r>
            <w:r>
              <w:rPr>
                <w:rFonts w:hint="eastAsia" w:ascii="宋体" w:hAnsi="宋体" w:eastAsia="宋体" w:cs="宋体"/>
                <w:color w:val="000000" w:themeColor="text1"/>
                <w:sz w:val="21"/>
                <w:szCs w:val="21"/>
                <w:highlight w:val="none"/>
                <w:lang w:val="en-US" w:eastAsia="zh-CN"/>
                <w14:textFill>
                  <w14:solidFill>
                    <w14:schemeClr w14:val="tx1"/>
                  </w14:solidFill>
                </w14:textFill>
              </w:rPr>
              <w:t>图片</w:t>
            </w:r>
            <w:r>
              <w:rPr>
                <w:rFonts w:hint="eastAsia" w:ascii="宋体" w:hAnsi="宋体" w:eastAsia="宋体" w:cs="宋体"/>
                <w:color w:val="000000" w:themeColor="text1"/>
                <w:sz w:val="21"/>
                <w:szCs w:val="21"/>
                <w:highlight w:val="none"/>
                <w14:textFill>
                  <w14:solidFill>
                    <w14:schemeClr w14:val="tx1"/>
                  </w14:solidFill>
                </w14:textFill>
              </w:rPr>
              <w:t>并加盖投标人公章</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不提供不得分。</w:t>
            </w:r>
          </w:p>
          <w:p w14:paraId="24F9AB9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如是联合体</w:t>
            </w:r>
            <w:r>
              <w:rPr>
                <w:rFonts w:hint="eastAsia" w:ascii="宋体" w:hAnsi="宋体" w:cs="宋体"/>
                <w:color w:val="000000" w:themeColor="text1"/>
                <w:sz w:val="21"/>
                <w:szCs w:val="21"/>
                <w:highlight w:val="none"/>
                <w:lang w:val="en-US" w:eastAsia="zh-CN"/>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投标，任意一方提供即可得分。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14:paraId="0F102C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tcPr>
          <w:p w14:paraId="1774114A">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w:t>
            </w:r>
          </w:p>
        </w:tc>
        <w:tc>
          <w:tcPr>
            <w:tcW w:w="1456" w:type="dxa"/>
          </w:tcPr>
          <w:p w14:paraId="59066B8C">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投标报价得分 (10.0分)</w:t>
            </w:r>
          </w:p>
        </w:tc>
        <w:tc>
          <w:tcPr>
            <w:tcW w:w="7263" w:type="dxa"/>
          </w:tcPr>
          <w:p w14:paraId="2DD98731">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注：满足招标文件要求且“XXXX”报价最低的为评标基准价。如：投标报价XXXX 20%为报价最低，评标基准价为20%，得满分 】。因落实政府采购政策进行价格调整的，以调整后的价格计算评标基准价和投标报价。</w:t>
            </w:r>
          </w:p>
        </w:tc>
      </w:tr>
    </w:tbl>
    <w:p w14:paraId="527BE2DE">
      <w:pPr>
        <w:rPr>
          <w:rFonts w:hint="eastAsia"/>
          <w:color w:val="000000" w:themeColor="text1"/>
          <w:highlight w:val="none"/>
          <w14:textFill>
            <w14:solidFill>
              <w14:schemeClr w14:val="tx1"/>
            </w14:solidFill>
          </w14:textFill>
        </w:rPr>
      </w:pPr>
    </w:p>
    <w:p w14:paraId="35186A59">
      <w:pPr>
        <w:rPr>
          <w:rFonts w:hint="eastAsia"/>
          <w:color w:val="000000" w:themeColor="text1"/>
          <w:highlight w:val="none"/>
          <w14:textFill>
            <w14:solidFill>
              <w14:schemeClr w14:val="tx1"/>
            </w14:solidFill>
          </w14:textFill>
        </w:rPr>
      </w:pPr>
    </w:p>
    <w:p w14:paraId="1BF54002">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7ABD188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4C3750AE">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w:t>
      </w:r>
    </w:p>
    <w:p w14:paraId="51F66E09">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5F2844F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5B56DCA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4D3CC12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4670F02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4DDA656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6655DCC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DC00B4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EFB9CB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47B02771">
      <w:pPr>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A79AE82">
      <w:pPr>
        <w:rPr>
          <w:rFonts w:hint="eastAsia"/>
          <w:color w:val="000000" w:themeColor="text1"/>
          <w:highlight w:val="none"/>
          <w14:textFill>
            <w14:solidFill>
              <w14:schemeClr w14:val="tx1"/>
            </w14:solidFill>
          </w14:textFill>
        </w:rPr>
      </w:pPr>
    </w:p>
    <w:p w14:paraId="56585744">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390FAEA">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8" w:name="_Toc16230"/>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bookmarkEnd w:id="88"/>
    </w:p>
    <w:p w14:paraId="394825B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18403ACD">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049792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497606F9">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A29001">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7A59B">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683E29E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7763F208">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44FB8C7">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C332AC">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819311">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EC5F0E">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36A794">
      <w:pPr>
        <w:pStyle w:val="20"/>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BB0B23C">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0BB764C6">
      <w:pPr>
        <w:pStyle w:val="20"/>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8A1D3">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4E0E20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9195DC">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0C32DC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EFE97C6">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DB46F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0B61C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B6AE42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06F65F5D">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7FF74961">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CD38092">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1DAB7EEF">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传真 ：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6A712F23">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乙方：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44C4D873">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传真：</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1795ECC2">
      <w:pPr>
        <w:pStyle w:val="20"/>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06FD3488">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根据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项目 </w:t>
      </w:r>
      <w:r>
        <w:rPr>
          <w:rFonts w:hint="eastAsia" w:ascii="宋体" w:hAnsi="宋体" w:eastAsia="宋体" w:cs="宋体"/>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的采购结果，按照《中华人民共和国政府采购法》，《中华人民共和国民法典(合同编)》的规定，经双方协商，本着平等互利和诚实信用的原则，一致同意遵守本合同如下。</w:t>
      </w:r>
    </w:p>
    <w:p w14:paraId="2324F150">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一、合同金额</w:t>
      </w:r>
    </w:p>
    <w:p w14:paraId="12F1A9F9">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合同金额为（大写）：_____________元（￥_________元）人民币。</w:t>
      </w:r>
    </w:p>
    <w:p w14:paraId="6F8E2368">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二、服务范围</w:t>
      </w:r>
    </w:p>
    <w:p w14:paraId="6F4026F5">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甲方聘请乙方提供以下服务：</w:t>
      </w:r>
    </w:p>
    <w:p w14:paraId="49C5CB8C">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w:t>
      </w:r>
      <w:r>
        <w:rPr>
          <w:rFonts w:hint="eastAsia" w:ascii="宋体" w:hAnsi="宋体" w:eastAsia="宋体" w:cs="宋体"/>
          <w:color w:val="000000" w:themeColor="text1"/>
          <w:sz w:val="21"/>
          <w:szCs w:val="21"/>
          <w:highlight w:val="none"/>
          <w:u w:val="single"/>
          <w14:textFill>
            <w14:solidFill>
              <w14:schemeClr w14:val="tx1"/>
            </w14:solidFill>
          </w14:textFill>
        </w:rPr>
        <w:t>　　　　　　　　　　　</w:t>
      </w:r>
      <w:r>
        <w:rPr>
          <w:rFonts w:hint="eastAsia" w:ascii="宋体" w:hAnsi="宋体" w:eastAsia="宋体" w:cs="宋体"/>
          <w:color w:val="000000" w:themeColor="text1"/>
          <w:sz w:val="21"/>
          <w:szCs w:val="21"/>
          <w:highlight w:val="none"/>
          <w14:textFill>
            <w14:solidFill>
              <w14:schemeClr w14:val="tx1"/>
            </w14:solidFill>
          </w14:textFill>
        </w:rPr>
        <w:t>。</w:t>
      </w:r>
    </w:p>
    <w:p w14:paraId="6A8EC229">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w:t>
      </w:r>
      <w:r>
        <w:rPr>
          <w:rFonts w:hint="eastAsia" w:ascii="宋体" w:hAnsi="宋体" w:eastAsia="宋体" w:cs="宋体"/>
          <w:color w:val="000000" w:themeColor="text1"/>
          <w:sz w:val="21"/>
          <w:szCs w:val="21"/>
          <w:highlight w:val="none"/>
          <w:u w:val="single"/>
          <w14:textFill>
            <w14:solidFill>
              <w14:schemeClr w14:val="tx1"/>
            </w14:solidFill>
          </w14:textFill>
        </w:rPr>
        <w:t>　　　　　　　　　　　</w:t>
      </w:r>
    </w:p>
    <w:p w14:paraId="6035AABA">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p w14:paraId="2CBEAFCF">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三、甲方乙方的权利和义务</w:t>
      </w:r>
    </w:p>
    <w:p w14:paraId="5382EE8E">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1.甲方的权利和义务</w:t>
      </w:r>
    </w:p>
    <w:p w14:paraId="71AE3183">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2.乙方的权利和义务</w:t>
      </w:r>
    </w:p>
    <w:p w14:paraId="3F901FCD">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四、服务期间（项目完成期限）</w:t>
      </w:r>
    </w:p>
    <w:p w14:paraId="5742BF0E">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1.委托服务期间自______年______月至______年______月止。</w:t>
      </w:r>
    </w:p>
    <w:p w14:paraId="47DE0186">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五、付款方式</w:t>
      </w:r>
    </w:p>
    <w:p w14:paraId="5B08178E">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由甲方按下列程序在</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内付款：</w:t>
      </w:r>
    </w:p>
    <w:p w14:paraId="6FA0145E">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1.在合同实施及服务人员到达服务地后__天内，甲方应将第一次付　　款总服务费的__(-%)付给乙方。</w:t>
      </w:r>
    </w:p>
    <w:p w14:paraId="19109C31">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2.第二次付款额应为总服务费的__(-%)，甲方应在乙方已经准备好，并递交了服务报告及其它相关文件，而这些报告和文件符合合同附件上的要求并被甲方验收后付给乙方。</w:t>
      </w:r>
    </w:p>
    <w:p w14:paraId="4F2487BE">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3.最后一次付款额应为总服务费的__(-%)，甲方应在乙方递交了服务总结报告和说明并完全履行合同完毕_________日内付给乙方。</w:t>
      </w:r>
    </w:p>
    <w:p w14:paraId="3BE844F2">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0EEF401C">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六、知识产权归属</w:t>
      </w:r>
    </w:p>
    <w:p w14:paraId="34F13E19">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七、保密</w:t>
      </w:r>
    </w:p>
    <w:p w14:paraId="37C63FC3">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八、违约责任与赔偿损失</w:t>
      </w:r>
    </w:p>
    <w:p w14:paraId="7F86E758">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1.乙方提供的服务不符合本合同规定的，甲方有权拒收，并且乙方须向甲方方支付本合同总价5%的违约金。</w:t>
      </w:r>
    </w:p>
    <w:p w14:paraId="4CEC236A">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2.乙方未能按本合同规定的交货时间提供服务，从逾期之日起每日按本合同总价3‰的数额向甲方支付违约金；逾期半个月以上的，甲方有权终止合同，由此造成的甲方经济损失由乙方承担。</w:t>
      </w:r>
    </w:p>
    <w:p w14:paraId="73476790">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3.甲方无正当理由拒收接受服务，到期拒付服务款项的，甲方向乙方偿付本合同总的5%的违约金。甲方人逾期付款，则每日按本合同总价的3‰向乙方偿付违约金。</w:t>
      </w:r>
    </w:p>
    <w:p w14:paraId="2CF3F604">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4.对于因甲方原因导致变更、中止或者终止政府采购合同的，甲方应当依照以下合同约定对供应商受到的损失予以赔偿或者补偿：</w:t>
      </w:r>
    </w:p>
    <w:p w14:paraId="182A9AE2">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1B092939">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5.其它违约责任按《中华人民共和国民法典(合同编)》处理。</w:t>
      </w:r>
    </w:p>
    <w:p w14:paraId="70B7673F">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九、争议的解决</w:t>
      </w:r>
    </w:p>
    <w:p w14:paraId="51D9FA4D">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firstLine="40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合同执行过程中发生的任何争议，如双方不能通过友好协商解决，按相关法律法规处理。     </w:t>
      </w:r>
    </w:p>
    <w:p w14:paraId="65B74F9C">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十、不可抗力</w:t>
      </w:r>
    </w:p>
    <w:p w14:paraId="7D49E1F2">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0F418010">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十一、税费</w:t>
      </w:r>
    </w:p>
    <w:p w14:paraId="1955D3E5">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在中国境内、外发生的与本合同执行有关的一切税费均由乙方负担。</w:t>
      </w:r>
    </w:p>
    <w:p w14:paraId="620A70A1">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十二、其它</w:t>
      </w:r>
    </w:p>
    <w:p w14:paraId="23902ED4">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1.本合同所有附件、招标文件、投标文件、中标通知书均为合同的有效组成部分，与本合同具有同等法律效力。</w:t>
      </w:r>
    </w:p>
    <w:p w14:paraId="76BD4835">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2.在执行本合同的过程中，所有经双方签署确认的文件（包括会议纪要、补充协议、往来信函）即成为本合同的有效组成部分。</w:t>
      </w:r>
    </w:p>
    <w:p w14:paraId="2BA0FC86">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3.如一方地址、电话、传真号码有变更，应在变更当日内书面通知对方，否则，应承担相应责任。</w:t>
      </w:r>
    </w:p>
    <w:p w14:paraId="0F2F4687">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4.除甲方事先书面同意外，乙方不得部分或全部转让其应履行的合同项下的义务。</w:t>
      </w:r>
    </w:p>
    <w:p w14:paraId="1A49E2FA">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十三、合同生效</w:t>
      </w:r>
    </w:p>
    <w:p w14:paraId="7E6D7563">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1.本合同在甲乙双方法人代表或其授权代表签字盖章后生效。</w:t>
      </w:r>
    </w:p>
    <w:p w14:paraId="55A56898">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2.合同一式</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份。</w:t>
      </w:r>
    </w:p>
    <w:p w14:paraId="037F7ECA">
      <w:pPr>
        <w:pStyle w:val="20"/>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6BFC5027">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甲方（盖章）：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乙方（盖章）：</w:t>
      </w:r>
    </w:p>
    <w:p w14:paraId="531CA014">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代表：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代表：</w:t>
      </w:r>
    </w:p>
    <w:p w14:paraId="5D83F218">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签订地点：</w:t>
      </w:r>
    </w:p>
    <w:p w14:paraId="428FEB98">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签订日期：　　　年　　月　　日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签订日期：　　　年　　月　　日</w:t>
      </w:r>
    </w:p>
    <w:p w14:paraId="6344F802">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开户名称：</w:t>
      </w:r>
    </w:p>
    <w:p w14:paraId="785E5D1D">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银行帐号：</w:t>
      </w:r>
    </w:p>
    <w:p w14:paraId="3AFAF099">
      <w:pPr>
        <w:pStyle w:val="20"/>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 户 行：</w:t>
      </w:r>
    </w:p>
    <w:p w14:paraId="12F609AB">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2C56C0">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4E4054">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0A7D4F">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09875B">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37BA1F7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0B60BD1B">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9" w:name="_Toc18794"/>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bookmarkEnd w:id="89"/>
    </w:p>
    <w:p w14:paraId="59B65CA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5250715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341DFB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75C3E5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89B0BD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1E23D1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11D365D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0E59593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69C4EEA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2447CF4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0ACEEA15">
      <w:pPr>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br w:type="textWrapping"/>
      </w:r>
    </w:p>
    <w:p w14:paraId="52F7002C">
      <w:pPr>
        <w:rPr>
          <w:rFonts w:hint="eastAsia"/>
          <w:color w:val="000000" w:themeColor="text1"/>
          <w:highlight w:val="none"/>
          <w14:textFill>
            <w14:solidFill>
              <w14:schemeClr w14:val="tx1"/>
            </w14:solidFill>
          </w14:textFill>
        </w:rPr>
      </w:pPr>
    </w:p>
    <w:p w14:paraId="1811C776">
      <w:pPr>
        <w:rPr>
          <w:rFonts w:hint="eastAsia"/>
          <w:color w:val="000000" w:themeColor="text1"/>
          <w:highlight w:val="none"/>
          <w14:textFill>
            <w14:solidFill>
              <w14:schemeClr w14:val="tx1"/>
            </w14:solidFill>
          </w14:textFill>
        </w:rPr>
      </w:pPr>
    </w:p>
    <w:p w14:paraId="37621915">
      <w:pPr>
        <w:rPr>
          <w:rFonts w:hint="eastAsia"/>
          <w:color w:val="000000" w:themeColor="text1"/>
          <w:highlight w:val="none"/>
          <w14:textFill>
            <w14:solidFill>
              <w14:schemeClr w14:val="tx1"/>
            </w14:solidFill>
          </w14:textFill>
        </w:rPr>
      </w:pPr>
    </w:p>
    <w:p w14:paraId="6BC4B0FE">
      <w:pP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page"/>
      </w:r>
    </w:p>
    <w:p w14:paraId="2E230EA7">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bookmarkStart w:id="90" w:name="_Toc386"/>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bookmarkEnd w:id="90"/>
    </w:p>
    <w:p w14:paraId="207F05C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581D03B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4CA4AA5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2C30717E">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45D736D4">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YXCG-20260804</w:t>
      </w:r>
    </w:p>
    <w:p w14:paraId="7DF91495">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21D3472F">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3B29383D">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1AE15594">
      <w:pPr>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56A6030">
      <w:pPr>
        <w:rPr>
          <w:rFonts w:hint="eastAsia"/>
          <w:color w:val="000000" w:themeColor="text1"/>
          <w:highlight w:val="none"/>
          <w14:textFill>
            <w14:solidFill>
              <w14:schemeClr w14:val="tx1"/>
            </w14:solidFill>
          </w14:textFill>
        </w:rPr>
      </w:pPr>
    </w:p>
    <w:p w14:paraId="64F73DD1">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BD5447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1" w:name="_Toc10944"/>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bookmarkEnd w:id="91"/>
    </w:p>
    <w:p w14:paraId="74FFEE6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2312AC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64F5FA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13AC119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08140FE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2B4D583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1D45EC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03ECA84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46B63BA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77B46A9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3566B3F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777907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6C3F54D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55754EE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5E38791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54D3976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1E5D1C9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2528062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35AAEDA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0EF70B7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0F49F83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5B27CE0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76F293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04DFD32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1E9216E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25D72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F8892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C506B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603A62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AFA925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60F8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00FD7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8A1016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26FE9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2" w:name="_Toc3242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格式一：投标函</w:t>
      </w:r>
      <w:bookmarkEnd w:id="92"/>
    </w:p>
    <w:p w14:paraId="0FB71F5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505DE0B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1342630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阳江市第二中学采购食堂物资(肉类)配送项目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YXCG-20260804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258D776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74E347C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阳江市第二中学采购食堂物资(肉类)配送项目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4F5C30B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70E44C7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710DC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AF3AA1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49006BB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54107C9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04BF31E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1B55791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8D8932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0F2DC86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4DF2E18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C4AF6E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777C68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5183801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6357B6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77FE5DE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507CF36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5C65754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6E6A319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626DD04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2F5E4C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30CD4C1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B1ACAA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2742A57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3A72D0B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D0453C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499545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A7110E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192CDA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707F0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305A8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1D968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CF502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BD6DE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1C1F6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BA517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E74CD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0EBCF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3" w:name="_Toc189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格式二：开标一览表</w:t>
      </w:r>
      <w:bookmarkEnd w:id="93"/>
    </w:p>
    <w:p w14:paraId="2CAA51B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6CB39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7C4FADF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AF0BC8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6113A8E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7631E8F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2FE8CE3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062"/>
        <w:gridCol w:w="1357"/>
        <w:gridCol w:w="1331"/>
        <w:gridCol w:w="1235"/>
      </w:tblGrid>
      <w:tr w14:paraId="336624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11" w:type="dxa"/>
            <w:vAlign w:val="center"/>
          </w:tcPr>
          <w:p w14:paraId="6DBCE69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888" w:type="dxa"/>
            <w:vAlign w:val="center"/>
          </w:tcPr>
          <w:p w14:paraId="7D51176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1937" w:type="dxa"/>
            <w:vAlign w:val="center"/>
          </w:tcPr>
          <w:p w14:paraId="35D8399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3C7EAB3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275" w:type="dxa"/>
            <w:vAlign w:val="center"/>
          </w:tcPr>
          <w:p w14:paraId="0F9C693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交货或服务期</w:t>
            </w:r>
          </w:p>
        </w:tc>
        <w:tc>
          <w:tcPr>
            <w:tcW w:w="1250" w:type="dxa"/>
            <w:vAlign w:val="center"/>
          </w:tcPr>
          <w:p w14:paraId="0579F15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1159" w:type="dxa"/>
            <w:vAlign w:val="center"/>
          </w:tcPr>
          <w:p w14:paraId="4B8CE76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72C966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11" w:type="dxa"/>
          </w:tcPr>
          <w:p w14:paraId="5F87752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888" w:type="dxa"/>
          </w:tcPr>
          <w:p w14:paraId="503B6F7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937" w:type="dxa"/>
          </w:tcPr>
          <w:p w14:paraId="0A8FABC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75" w:type="dxa"/>
          </w:tcPr>
          <w:p w14:paraId="777D5D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50" w:type="dxa"/>
          </w:tcPr>
          <w:p w14:paraId="6B30AC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59" w:type="dxa"/>
          </w:tcPr>
          <w:p w14:paraId="75ED46C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B8EF32F">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C6F0EE3">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2262AA0D">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2C43B35C">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5C142DA">
      <w:pPr>
        <w:numPr>
          <w:ilvl w:val="0"/>
          <w:numId w:val="3"/>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“开标一览表”，一份单独密封于一信封内，一份装订入投标文件正本。</w:t>
      </w:r>
    </w:p>
    <w:p w14:paraId="5BD009C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BF292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39DC8A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8D8E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A9D15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DD118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190DC31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D5F644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FD495A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E5060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8F2C0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DE8CF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5A9F48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1108C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F292A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7EB1D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4E196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4" w:name="_Toc1777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格式三：分项报价表</w:t>
      </w:r>
      <w:bookmarkEnd w:id="94"/>
    </w:p>
    <w:p w14:paraId="37A6BA2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10D23A">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3F3B137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588169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1E3DE2E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22540ED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7821629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5BB1283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907"/>
        <w:gridCol w:w="907"/>
        <w:gridCol w:w="907"/>
        <w:gridCol w:w="908"/>
      </w:tblGrid>
      <w:tr w14:paraId="79D9EA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Align w:val="top"/>
          </w:tcPr>
          <w:p w14:paraId="31BD213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品目号</w:t>
            </w:r>
          </w:p>
        </w:tc>
        <w:tc>
          <w:tcPr>
            <w:tcW w:w="831" w:type="dxa"/>
            <w:vAlign w:val="top"/>
          </w:tcPr>
          <w:p w14:paraId="3A3594B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31" w:type="dxa"/>
            <w:vAlign w:val="top"/>
          </w:tcPr>
          <w:p w14:paraId="39B54D9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货物名称</w:t>
            </w:r>
          </w:p>
        </w:tc>
        <w:tc>
          <w:tcPr>
            <w:tcW w:w="831" w:type="dxa"/>
            <w:vAlign w:val="top"/>
          </w:tcPr>
          <w:p w14:paraId="76BB816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规格型号</w:t>
            </w:r>
          </w:p>
        </w:tc>
        <w:tc>
          <w:tcPr>
            <w:tcW w:w="831" w:type="dxa"/>
            <w:vAlign w:val="top"/>
          </w:tcPr>
          <w:p w14:paraId="642EBBA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品牌</w:t>
            </w:r>
          </w:p>
        </w:tc>
        <w:tc>
          <w:tcPr>
            <w:tcW w:w="831" w:type="dxa"/>
            <w:vAlign w:val="top"/>
          </w:tcPr>
          <w:p w14:paraId="3DB52DD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产地</w:t>
            </w:r>
          </w:p>
        </w:tc>
        <w:tc>
          <w:tcPr>
            <w:tcW w:w="831" w:type="dxa"/>
            <w:vAlign w:val="top"/>
          </w:tcPr>
          <w:p w14:paraId="4D6A3D4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制造商名称</w:t>
            </w:r>
          </w:p>
        </w:tc>
        <w:tc>
          <w:tcPr>
            <w:tcW w:w="831" w:type="dxa"/>
            <w:vAlign w:val="top"/>
          </w:tcPr>
          <w:p w14:paraId="56F5585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单价</w:t>
            </w:r>
          </w:p>
        </w:tc>
        <w:tc>
          <w:tcPr>
            <w:tcW w:w="831" w:type="dxa"/>
            <w:vAlign w:val="top"/>
          </w:tcPr>
          <w:p w14:paraId="3681A87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数量</w:t>
            </w:r>
          </w:p>
        </w:tc>
        <w:tc>
          <w:tcPr>
            <w:tcW w:w="831" w:type="dxa"/>
            <w:vAlign w:val="top"/>
          </w:tcPr>
          <w:p w14:paraId="06D7ECF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总价</w:t>
            </w:r>
          </w:p>
        </w:tc>
      </w:tr>
      <w:tr w14:paraId="4232AF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Align w:val="top"/>
          </w:tcPr>
          <w:p w14:paraId="118089E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831" w:type="dxa"/>
            <w:vAlign w:val="top"/>
          </w:tcPr>
          <w:p w14:paraId="588EDB9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744CF0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39B5971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43F060B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1DEB586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5F99BC3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715CE6B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71C072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1A770C8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8B47CA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907"/>
        <w:gridCol w:w="907"/>
        <w:gridCol w:w="907"/>
        <w:gridCol w:w="908"/>
      </w:tblGrid>
      <w:tr w14:paraId="49C495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Align w:val="top"/>
          </w:tcPr>
          <w:p w14:paraId="1FF91BC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品目号</w:t>
            </w:r>
          </w:p>
        </w:tc>
        <w:tc>
          <w:tcPr>
            <w:tcW w:w="831" w:type="dxa"/>
            <w:vAlign w:val="top"/>
          </w:tcPr>
          <w:p w14:paraId="13880D6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31" w:type="dxa"/>
            <w:vAlign w:val="top"/>
          </w:tcPr>
          <w:p w14:paraId="35FCB66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服务名称</w:t>
            </w:r>
          </w:p>
        </w:tc>
        <w:tc>
          <w:tcPr>
            <w:tcW w:w="831" w:type="dxa"/>
            <w:vAlign w:val="top"/>
          </w:tcPr>
          <w:p w14:paraId="71DF3F0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服务范围</w:t>
            </w:r>
          </w:p>
        </w:tc>
        <w:tc>
          <w:tcPr>
            <w:tcW w:w="831" w:type="dxa"/>
            <w:vAlign w:val="top"/>
          </w:tcPr>
          <w:p w14:paraId="2563134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服务要求</w:t>
            </w:r>
          </w:p>
        </w:tc>
        <w:tc>
          <w:tcPr>
            <w:tcW w:w="831" w:type="dxa"/>
            <w:vAlign w:val="top"/>
          </w:tcPr>
          <w:p w14:paraId="18232B0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服务时间</w:t>
            </w:r>
          </w:p>
        </w:tc>
        <w:tc>
          <w:tcPr>
            <w:tcW w:w="831" w:type="dxa"/>
            <w:vAlign w:val="top"/>
          </w:tcPr>
          <w:p w14:paraId="65A2EAB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服务标准</w:t>
            </w:r>
          </w:p>
        </w:tc>
        <w:tc>
          <w:tcPr>
            <w:tcW w:w="831" w:type="dxa"/>
            <w:vAlign w:val="top"/>
          </w:tcPr>
          <w:p w14:paraId="5EA7B40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单价</w:t>
            </w:r>
          </w:p>
        </w:tc>
        <w:tc>
          <w:tcPr>
            <w:tcW w:w="831" w:type="dxa"/>
            <w:vAlign w:val="top"/>
          </w:tcPr>
          <w:p w14:paraId="50FCD22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数量</w:t>
            </w:r>
          </w:p>
        </w:tc>
        <w:tc>
          <w:tcPr>
            <w:tcW w:w="831" w:type="dxa"/>
            <w:vAlign w:val="top"/>
          </w:tcPr>
          <w:p w14:paraId="32AE614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总价</w:t>
            </w:r>
          </w:p>
        </w:tc>
      </w:tr>
      <w:tr w14:paraId="217D6B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Align w:val="top"/>
          </w:tcPr>
          <w:p w14:paraId="7237AB0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831" w:type="dxa"/>
            <w:vAlign w:val="top"/>
          </w:tcPr>
          <w:p w14:paraId="7EDB831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36CB588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255E788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7439A61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2376D7B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11743C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481922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33C1C6D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831" w:type="dxa"/>
            <w:vAlign w:val="top"/>
          </w:tcPr>
          <w:p w14:paraId="3F9A962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1B0D79E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ABAAF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CE28D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投标人签章：__________________</w:t>
      </w:r>
    </w:p>
    <w:p w14:paraId="5A8923C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CB41F6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FF21B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C64944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70CFE9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9C900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978354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08ABB4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EAA59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5B7C91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D8B92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F6201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D6E0D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6983A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5" w:name="_Toc451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格式四：政策适用性说明</w:t>
      </w:r>
      <w:bookmarkEnd w:id="95"/>
    </w:p>
    <w:p w14:paraId="2FDF095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94194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35D1C3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134"/>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29FB75A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038" w:type="dxa"/>
            <w:vAlign w:val="top"/>
          </w:tcPr>
          <w:p w14:paraId="0DAF407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038" w:type="dxa"/>
            <w:vAlign w:val="top"/>
          </w:tcPr>
          <w:p w14:paraId="5231385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038" w:type="dxa"/>
            <w:vAlign w:val="top"/>
          </w:tcPr>
          <w:p w14:paraId="1EA245E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038" w:type="dxa"/>
            <w:vAlign w:val="top"/>
          </w:tcPr>
          <w:p w14:paraId="4EEF859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038" w:type="dxa"/>
            <w:vAlign w:val="top"/>
          </w:tcPr>
          <w:p w14:paraId="7EC28D7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038" w:type="dxa"/>
            <w:vAlign w:val="top"/>
          </w:tcPr>
          <w:p w14:paraId="6E3BE31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038" w:type="dxa"/>
            <w:vAlign w:val="top"/>
          </w:tcPr>
          <w:p w14:paraId="2D71ABA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DF1C23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038" w:type="dxa"/>
            <w:vAlign w:val="top"/>
          </w:tcPr>
          <w:p w14:paraId="505E6A2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0D213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F83985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E1C8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9A590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321A1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881D2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46F81A3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038" w:type="dxa"/>
            <w:vAlign w:val="top"/>
          </w:tcPr>
          <w:p w14:paraId="7DB2F7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395701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4B28FC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3A858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37C06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5A193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97267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B27F58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038" w:type="dxa"/>
            <w:vAlign w:val="top"/>
          </w:tcPr>
          <w:p w14:paraId="103BB7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26523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DD20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D251B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D12E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99D7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72462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B3FBDF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038" w:type="dxa"/>
            <w:vAlign w:val="top"/>
          </w:tcPr>
          <w:p w14:paraId="53F9F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97F84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40718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64701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194BF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88E73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F6593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69D053E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038" w:type="dxa"/>
            <w:vAlign w:val="top"/>
          </w:tcPr>
          <w:p w14:paraId="62CF4E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F9E3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AD515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36606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7442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DBD846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7954D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06F5DAF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038" w:type="dxa"/>
            <w:vAlign w:val="top"/>
          </w:tcPr>
          <w:p w14:paraId="18F6A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90E1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BA7C2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667B06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2BDBC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437CC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9CB7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1ED359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3CF4B4A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5F79B48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01022CC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079D7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2259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EC89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3D526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4DBEF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F4765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3714B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22AC9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1E34C6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5DD96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9BA80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6" w:name="_Toc1160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bookmarkEnd w:id="96"/>
    </w:p>
    <w:p w14:paraId="29AEDC4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24C64BBC">
      <w:pPr>
        <w:pStyle w:val="20"/>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20"/>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2FE3DB4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31E1C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98273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9432F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B45E5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22439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95D74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F9261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45D78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06D9E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802E9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2979D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62DCC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9CCCAC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2BDF0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2E520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7F4E2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88DA1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900E4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FB0D9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49CD3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B8718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04517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90471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2108A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3D7C4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692840CC">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6F7C472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E82E612">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7D5567BA">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3D470070">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51E5AE4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D4472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66D4F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71B3D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92AC5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DA872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AB997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D1DE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3C4CE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CAAB6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F5649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A495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AA626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29F5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B3C14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A5A8A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6F0815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0B734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A8265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E68DF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C90222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5A417AAF">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0807FB0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4E6CC4">
      <w:pPr>
        <w:pStyle w:val="20"/>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7CA04A87">
      <w:pPr>
        <w:pStyle w:val="20"/>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21A4EC71">
      <w:pPr>
        <w:pStyle w:val="20"/>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0204E61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2F42D20E">
      <w:pPr>
        <w:pStyle w:val="20"/>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13727404">
      <w:pPr>
        <w:pStyle w:val="20"/>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2B5FF3F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70756702">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54B8F90">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1DA666FD">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7961092A">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54854190">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00CDD3F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8CE31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7D65A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5A30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9F0F0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BEACE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1328A733">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68E901EE">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063C4090">
      <w:pPr>
        <w:pStyle w:val="20"/>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00FC25">
      <w:pPr>
        <w:pStyle w:val="20"/>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200B4201">
      <w:pPr>
        <w:pStyle w:val="20"/>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4FE752F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06D7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C46F0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54AFF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AC45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24716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BDC21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02CE9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5B8D7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25EA5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103C7F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F161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2CA7D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C4A41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BCF0A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19E4B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6386B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C7FA0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5109E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737ED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3EB8E87F">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4A0B93DC">
      <w:pPr>
        <w:pStyle w:val="20"/>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F76FDD">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610A9504">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001F5FA6">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C28580">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2482FB">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3216AAB">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203A98">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7BDDC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EECC4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8870A4">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AF2596">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10D042">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E9632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AA2989">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EB1E48">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1490A8">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BA1820">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5BF3C">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1E0F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4F3DBB">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1FB63">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CFEFA2">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75AF1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8446E9">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FE9B8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7B0D7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62A5B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FD036F">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F780B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64943DC">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7" w:name="_Toc2450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证明书</w:t>
      </w:r>
      <w:bookmarkEnd w:id="97"/>
    </w:p>
    <w:p w14:paraId="56B74E4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E8601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EF3D3E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5572478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60315CB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6459E46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1ACFCA8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57C2B25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092DBC5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10D354C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2A1BDA8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2BAB97E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751FC1D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4A542A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C59251">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3AA5191">
      <w:pPr>
        <w:spacing w:line="480" w:lineRule="exact"/>
        <w:ind w:firstLine="420" w:firstLineChars="200"/>
        <w:rPr>
          <w:rFonts w:ascii="宋体" w:hAnsi="宋体"/>
          <w:color w:val="000000" w:themeColor="text1"/>
          <w:highlight w:val="none"/>
          <w14:textFill>
            <w14:solidFill>
              <w14:schemeClr w14:val="tx1"/>
            </w14:solidFill>
          </w14:textFill>
        </w:rPr>
      </w:pPr>
    </w:p>
    <w:p w14:paraId="033D00DE">
      <w:pPr>
        <w:pStyle w:val="5"/>
        <w:rPr>
          <w:rFonts w:hAnsi="宋体"/>
          <w:color w:val="000000" w:themeColor="text1"/>
          <w:sz w:val="21"/>
          <w:highlight w:val="none"/>
          <w14:textFill>
            <w14:solidFill>
              <w14:schemeClr w14:val="tx1"/>
            </w14:solidFill>
          </w14:textFill>
        </w:rPr>
      </w:pPr>
    </w:p>
    <w:p w14:paraId="3B3AC4AB">
      <w:pPr>
        <w:pStyle w:val="5"/>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003059D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8" w:name="_Toc2579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授权书</w:t>
      </w:r>
      <w:bookmarkEnd w:id="98"/>
    </w:p>
    <w:p w14:paraId="202B1AD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9A847A8">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6ECB4C8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1BF3FC8">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58AD744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0FA6FD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YXCG-20260804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A0A0D5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51214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29615F8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4582433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4B9F6E1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1822B01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0375031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A665BE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8B0494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13BAA14">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rPr>
          <w:color w:val="000000" w:themeColor="text1"/>
          <w:highlight w:val="none"/>
          <w14:textFill>
            <w14:solidFill>
              <w14:schemeClr w14:val="tx1"/>
            </w14:solidFill>
          </w14:textFill>
        </w:rPr>
      </w:pPr>
    </w:p>
    <w:p w14:paraId="15B53DA7">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1270</wp:posOffset>
                </wp:positionV>
                <wp:extent cx="4933950" cy="2294255"/>
                <wp:effectExtent l="4445" t="5080" r="14605" b="571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0.1pt;height:180.65pt;width:388.5pt;z-index:251661312;mso-width-relative:page;mso-height-relative:page;" fillcolor="#FFFFFF" filled="t" stroked="t" coordsize="21600,21600" o:gfxdata="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2+frPUAAAABwEA&#10;AA8AAAAAAAAAAQAgAAAAIgAAAGRycy9kb3ducmV2LnhtbFBLAQIUABQAAAAIAIdO4kAZT6w0VwIA&#10;AKQEAAAOAAAAAAAAAAEAIAAAACMBAABkcnMvZTJvRG9jLnhtbFBLBQYAAAAABgAGAFkBAADsBQAA&#10;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7BB6F9F7">
      <w:pPr>
        <w:rPr>
          <w:color w:val="000000" w:themeColor="text1"/>
          <w:highlight w:val="none"/>
          <w14:textFill>
            <w14:solidFill>
              <w14:schemeClr w14:val="tx1"/>
            </w14:solidFill>
          </w14:textFill>
        </w:rPr>
      </w:pPr>
    </w:p>
    <w:p w14:paraId="4B046B1A">
      <w:pPr>
        <w:rPr>
          <w:color w:val="000000" w:themeColor="text1"/>
          <w:highlight w:val="none"/>
          <w14:textFill>
            <w14:solidFill>
              <w14:schemeClr w14:val="tx1"/>
            </w14:solidFill>
          </w14:textFill>
        </w:rPr>
      </w:pPr>
    </w:p>
    <w:p w14:paraId="5387BD6C">
      <w:pPr>
        <w:rPr>
          <w:color w:val="000000" w:themeColor="text1"/>
          <w:highlight w:val="none"/>
          <w14:textFill>
            <w14:solidFill>
              <w14:schemeClr w14:val="tx1"/>
            </w14:solidFill>
          </w14:textFill>
        </w:rPr>
      </w:pPr>
    </w:p>
    <w:p w14:paraId="0792B6E5">
      <w:pPr>
        <w:rPr>
          <w:color w:val="000000" w:themeColor="text1"/>
          <w:highlight w:val="none"/>
          <w14:textFill>
            <w14:solidFill>
              <w14:schemeClr w14:val="tx1"/>
            </w14:solidFill>
          </w14:textFill>
        </w:rPr>
      </w:pPr>
    </w:p>
    <w:p w14:paraId="7855A2DE">
      <w:pPr>
        <w:rPr>
          <w:color w:val="000000" w:themeColor="text1"/>
          <w:highlight w:val="none"/>
          <w14:textFill>
            <w14:solidFill>
              <w14:schemeClr w14:val="tx1"/>
            </w14:solidFill>
          </w14:textFill>
        </w:rPr>
      </w:pPr>
    </w:p>
    <w:p w14:paraId="2371E52F">
      <w:pPr>
        <w:rPr>
          <w:color w:val="000000" w:themeColor="text1"/>
          <w:highlight w:val="none"/>
          <w14:textFill>
            <w14:solidFill>
              <w14:schemeClr w14:val="tx1"/>
            </w14:solidFill>
          </w14:textFill>
        </w:rPr>
      </w:pPr>
    </w:p>
    <w:p w14:paraId="56CF39DD">
      <w:pPr>
        <w:rPr>
          <w:color w:val="000000" w:themeColor="text1"/>
          <w:highlight w:val="none"/>
          <w14:textFill>
            <w14:solidFill>
              <w14:schemeClr w14:val="tx1"/>
            </w14:solidFill>
          </w14:textFill>
        </w:rPr>
      </w:pPr>
    </w:p>
    <w:p w14:paraId="4CB46427">
      <w:pPr>
        <w:rPr>
          <w:color w:val="000000" w:themeColor="text1"/>
          <w:highlight w:val="none"/>
          <w14:textFill>
            <w14:solidFill>
              <w14:schemeClr w14:val="tx1"/>
            </w14:solidFill>
          </w14:textFill>
        </w:rPr>
      </w:pPr>
    </w:p>
    <w:p w14:paraId="151D4935">
      <w:pPr>
        <w:rPr>
          <w:color w:val="000000" w:themeColor="text1"/>
          <w:highlight w:val="none"/>
          <w14:textFill>
            <w14:solidFill>
              <w14:schemeClr w14:val="tx1"/>
            </w14:solidFill>
          </w14:textFill>
        </w:rPr>
      </w:pPr>
    </w:p>
    <w:p w14:paraId="63198AF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9" w:name="_Toc1513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格式八：投标保证金</w:t>
      </w:r>
      <w:bookmarkEnd w:id="99"/>
    </w:p>
    <w:p w14:paraId="04F03F9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BBA277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11ED82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598F2FE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DCD9D8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0358D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2AED5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7FD137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0" w:name="_Toc657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格式九：提供具有独立承担民事责任的能力的证明材料</w:t>
      </w:r>
      <w:bookmarkEnd w:id="100"/>
    </w:p>
    <w:p w14:paraId="16417D3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9BB158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4E89DF6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465B96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1D670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E5110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41B20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1" w:name="_Toc2519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格式十：资格性审查要求的其他资质证明文件</w:t>
      </w:r>
      <w:bookmarkEnd w:id="101"/>
    </w:p>
    <w:p w14:paraId="7A85E10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9E0ADD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55518F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75DBAD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DFBC0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EB6BD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B4CD7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FDF2B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4561C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C8E6B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EDCDD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99EEB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212F1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2" w:name="_Toc3247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格式十一：承诺函</w:t>
      </w:r>
      <w:bookmarkEnd w:id="102"/>
    </w:p>
    <w:p w14:paraId="70BE8B7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7F51F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5A558ED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38048E3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阳江市第二中学</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7D389E7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31599EB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6BC748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560F0C6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6D3F299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075A431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75C3E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A21091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3D7536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2E4AAB3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2C2A62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163426F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20672F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EE59C7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3322B15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4CDE3BD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3873C0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3A9F369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3B6C016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417C980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895CC18">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7DF9205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3" w:name="_Toc676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格式十二：中小企业声明函</w:t>
      </w:r>
      <w:bookmarkEnd w:id="103"/>
    </w:p>
    <w:p w14:paraId="44FF4C1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6BDDD9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425EE5C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72A3B67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552D8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3B9C54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5F6E0D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602955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F4AC98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460B0F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7B08A8D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2CF64D9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44FA9B5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5C95CF7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DEE2D8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7C729F3E">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2A3DABF7">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400D572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BAAA3C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8F73FF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231A0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F8A43B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34AF79E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422B80B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05E062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001642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5894684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0F9704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36F54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8F006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F7E5F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6EB418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08260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4" w:name="_Toc1389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格式十三：监狱企业</w:t>
      </w:r>
      <w:bookmarkEnd w:id="104"/>
    </w:p>
    <w:p w14:paraId="24D97FE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77BB8C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124201E">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6AD5909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67F2631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5CC167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F8E0E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C4D4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18AAF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5D370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B7DBDB">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356BCD4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5" w:name="_Toc496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格式十四：残疾人福利性单位声明函</w:t>
      </w:r>
      <w:bookmarkEnd w:id="105"/>
    </w:p>
    <w:p w14:paraId="04DBCB8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26C1E8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5766B78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6FB004D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674C9A9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0641F50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95A600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0AE0D74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8D8F16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53AB3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B07A2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14DBA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192E46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AC5C1F">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71AE8D3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6" w:name="_Toc1347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格式十五：联合体共同投标协议书</w:t>
      </w:r>
      <w:bookmarkEnd w:id="106"/>
    </w:p>
    <w:p w14:paraId="36149AF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5B84E5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EF75AE4">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5749025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48C04FB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D4C12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0986236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208FB81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6779C30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6074623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7038DC7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222C44F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161BCDA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2CF18DB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0EE5278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727F6A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77B0297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3E86305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08A5D7E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02CA499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396A63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8CD737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ED75AE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29BEB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E2A4D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87A5F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CE9E8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24E0D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BB1B4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4210A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6979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97369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89E84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C6368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69C87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67E7D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64164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26FE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E7627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C1FDC1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F0EA2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7" w:name="_Toc180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格式十六：投标人业绩情况表</w:t>
      </w:r>
      <w:bookmarkEnd w:id="107"/>
    </w:p>
    <w:p w14:paraId="6B5970F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122D5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070A8D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6"/>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C14C41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03A7CA0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0510A9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45C6348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671566C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7DA8597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5DA551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7CD97D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D9B77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B72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415082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9E1D0A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761FC3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089925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ADE0D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BAE9B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802E0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06375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4D28C7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4558FF3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26189D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FA2A6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7ECB3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9B945B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07F910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062579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2A4C4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59691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B58F4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BD1BC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C64A5D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7A4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ECBCE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9D2E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BAD3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22D5F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AF1758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79783F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E2C068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F2174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B11C1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7BA13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EFED6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59669D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74095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F9999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B2EF3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60BCF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1E95D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1AAA9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2E760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8E81C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561B1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46BB5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9BFBB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8" w:name="_Toc347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格式十七：《技术和服务要求响应表》</w:t>
      </w:r>
      <w:bookmarkEnd w:id="108"/>
    </w:p>
    <w:p w14:paraId="7D98AD5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B75D1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A05AAE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0260620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5E5058C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4A01D66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11344E4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69D8CF6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420F643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48F45EC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01787CE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52B1FE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7D07B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CD64C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0990C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00487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7EF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4F86A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0C8923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91CAD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8CF1E1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0EE801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47E0B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C6A0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F069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065C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2109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BB24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698CE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1C4FDA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0F61C6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9139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1B6D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A8E418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8ACCE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5A4790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DEE82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65BE83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40581F7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67CE6F3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7B92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E5ECB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9C67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F375D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064D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084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B44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4D9407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0F06BA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AFEAB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8B096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8EEA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FECD5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3FCAF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E1C62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744A8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05962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16E760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3AB49F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243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FD19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0480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6D5EC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5D9CC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9214E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3D2AC3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108A93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5D8A3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8B2A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D761B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6DC5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8E16B5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E667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8E5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6D2139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1838461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03E36E3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3EC6958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C1A012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C23030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9" w:name="_Toc2467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格式十八：《商务条件响应表》</w:t>
      </w:r>
      <w:bookmarkEnd w:id="109"/>
    </w:p>
    <w:p w14:paraId="2E8288C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C31EF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3F69855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187" w:type="dxa"/>
            <w:vAlign w:val="top"/>
          </w:tcPr>
          <w:p w14:paraId="641AF8D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187" w:type="dxa"/>
            <w:vAlign w:val="top"/>
          </w:tcPr>
          <w:p w14:paraId="7B18919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187" w:type="dxa"/>
            <w:vAlign w:val="top"/>
          </w:tcPr>
          <w:p w14:paraId="56D6A0F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187" w:type="dxa"/>
            <w:vAlign w:val="top"/>
          </w:tcPr>
          <w:p w14:paraId="17504B6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187" w:type="dxa"/>
            <w:vAlign w:val="top"/>
          </w:tcPr>
          <w:p w14:paraId="7F05847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187" w:type="dxa"/>
            <w:vAlign w:val="top"/>
          </w:tcPr>
          <w:p w14:paraId="461AC48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D67B32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187" w:type="dxa"/>
            <w:vAlign w:val="top"/>
          </w:tcPr>
          <w:p w14:paraId="46B8ED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1CF0F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AF30A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249F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009429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082B0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2F572F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187" w:type="dxa"/>
            <w:vAlign w:val="top"/>
          </w:tcPr>
          <w:p w14:paraId="391E69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FF04FE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9FEE6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0542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88528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A47E17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5B8F5D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187" w:type="dxa"/>
            <w:vAlign w:val="top"/>
          </w:tcPr>
          <w:p w14:paraId="18BF88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1ADC51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F88A4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18EA2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1C54C9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D2F65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6238325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187" w:type="dxa"/>
            <w:vAlign w:val="top"/>
          </w:tcPr>
          <w:p w14:paraId="5D9E275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8FD81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4C5D9E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A3C82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CF1CC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3FF1BF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4D95A4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187" w:type="dxa"/>
            <w:vAlign w:val="top"/>
          </w:tcPr>
          <w:p w14:paraId="3D18DF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F0C7F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E252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0E13B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50385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973BE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F0902A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187" w:type="dxa"/>
            <w:vAlign w:val="top"/>
          </w:tcPr>
          <w:p w14:paraId="78C7047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CF21CC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70AB4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19601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E9D2D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88D86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5B401F3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187" w:type="dxa"/>
            <w:vAlign w:val="top"/>
          </w:tcPr>
          <w:p w14:paraId="106338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359F2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4E7AB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E62E21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39DA6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690EC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1A0671B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187" w:type="dxa"/>
            <w:vAlign w:val="top"/>
          </w:tcPr>
          <w:p w14:paraId="4697ED5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55CF9C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DB81C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EB043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9E54B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7C1F1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6EAB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863931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187" w:type="dxa"/>
            <w:vAlign w:val="top"/>
          </w:tcPr>
          <w:p w14:paraId="57F19C7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D8E15A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C6391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1436D2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437EAD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9CFF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67B701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187" w:type="dxa"/>
            <w:vAlign w:val="top"/>
          </w:tcPr>
          <w:p w14:paraId="5EA89C0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B2C182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5E4A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3365C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764EB4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D3972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36A358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7CDC4AD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30DC17A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7F0D9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52E4F06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0" w:name="_Toc2215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格式十九：履约进度计划表</w:t>
      </w:r>
      <w:bookmarkEnd w:id="110"/>
    </w:p>
    <w:p w14:paraId="2ADA890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890D71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81CC64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58D1BD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1C97E9D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46A1238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36F40E3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277A56E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76828CA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5F90CF7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2E8D75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487F17C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5C2E52F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67695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4051E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193378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12FE7FE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D0D493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C2A65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05D1A83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54BAFAB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647645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4EB475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CA58DD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FFE975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EE14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BC263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6A417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6414C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1" w:name="_Toc80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格式二十：各类证明材料</w:t>
      </w:r>
      <w:bookmarkEnd w:id="111"/>
    </w:p>
    <w:p w14:paraId="680D656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4CFF80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44E6E7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690C057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4C000B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03BC0F9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DB9EAF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BFAC8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A6C88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569B0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0BFB19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2" w:name="_Toc3255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格式二十一：采购代理服务费支付承诺书</w:t>
      </w:r>
      <w:bookmarkEnd w:id="112"/>
    </w:p>
    <w:p w14:paraId="318DA6D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798B7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467F7B6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6C8C5A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阳江市第二中学采购食堂物资(肉类)配送项目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YXCG-20260804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3528372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1480248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49C500A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36D1964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2CA0898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671934E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7462B3D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050E88E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44E8E64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5A70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0B32F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BE2235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7B13B9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CDCD4F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53832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DC448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FAE2D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BF6B25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13650B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3" w:name="_Toc1438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格式二十二：需要采购人提供的附加条件</w:t>
      </w:r>
      <w:bookmarkEnd w:id="113"/>
    </w:p>
    <w:p w14:paraId="7E0B9B4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892B8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6A0EBEF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6"/>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FFE4CB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5E5AECF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01DA34F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0356A7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4BF4F3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2278FB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2B19BF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10BC87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342F17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39BCE1E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F8D32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1F556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16194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096DB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169F5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293A5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4FC1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B6676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758A2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EC137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9B8BB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7274E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05721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7F5AB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D340F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8E2C4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AF0D3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33F91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B8A73A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4" w:name="_Toc1193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格式二十三：询问函、质疑函、投诉书格式</w:t>
      </w:r>
      <w:bookmarkEnd w:id="114"/>
    </w:p>
    <w:p w14:paraId="433BE80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45FB1D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0643D9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6E4A486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B2C3D16">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0DCE386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3E34DEB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89A892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3435C8E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37D6828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2F159E5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0668558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10722D9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6BFAB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074D945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6186A9A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3A0321E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2DBAC33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777FB67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44E94D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1F9BA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E3BAC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DA2A8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549E8F">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64F8B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6C8EA">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4B8C7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7E5B99F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0A671E7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7469D32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4CFC337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041073C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1A1BCCB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5940BAA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6515654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57E227F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4E94A4F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80BF71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548A5F3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0B7BC2B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47B7DC8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5F8F559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4E3EA1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1730463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34382F3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F7972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6AA6DFA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40E11EB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1B48247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0B51D8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575A628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432D437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4C4A32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07EF5A8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2738688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AF9B3B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931245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CC14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8AF0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9E514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5723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3A929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EA16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356E5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EBAE932">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2278F22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15" w:name="_Toc1146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格式二十四：项目实施方案、质量保证及售后服务承诺等内容和格式自拟</w:t>
      </w:r>
      <w:bookmarkEnd w:id="115"/>
    </w:p>
    <w:p w14:paraId="0E4751E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88286C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2D201C3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CD069BC">
      <w:pPr>
        <w:pStyle w:val="20"/>
        <w:rPr>
          <w:rFonts w:hint="eastAsia"/>
          <w:color w:val="000000" w:themeColor="text1"/>
          <w:highlight w:val="none"/>
          <w:lang w:val="en-US" w:eastAsia="zh-Hans"/>
          <w14:textFill>
            <w14:solidFill>
              <w14:schemeClr w14:val="tx1"/>
            </w14:solidFill>
          </w14:textFill>
        </w:rPr>
      </w:pPr>
    </w:p>
    <w:p w14:paraId="708D0FA9">
      <w:pPr>
        <w:pStyle w:val="20"/>
        <w:rPr>
          <w:rFonts w:hint="eastAsia"/>
          <w:color w:val="000000" w:themeColor="text1"/>
          <w:highlight w:val="none"/>
          <w:lang w:val="en-US" w:eastAsia="zh-Hans"/>
          <w14:textFill>
            <w14:solidFill>
              <w14:schemeClr w14:val="tx1"/>
            </w14:solidFill>
          </w14:textFill>
        </w:rPr>
      </w:pPr>
    </w:p>
    <w:p w14:paraId="334AC9EE">
      <w:pPr>
        <w:pStyle w:val="20"/>
        <w:rPr>
          <w:rFonts w:hint="eastAsia"/>
          <w:color w:val="000000" w:themeColor="text1"/>
          <w:highlight w:val="none"/>
          <w:lang w:val="en-US" w:eastAsia="zh-Hans"/>
          <w14:textFill>
            <w14:solidFill>
              <w14:schemeClr w14:val="tx1"/>
            </w14:solidFill>
          </w14:textFill>
        </w:rPr>
      </w:pPr>
    </w:p>
    <w:p w14:paraId="1CE47668">
      <w:pPr>
        <w:pStyle w:val="20"/>
        <w:rPr>
          <w:rFonts w:hint="eastAsia"/>
          <w:color w:val="000000" w:themeColor="text1"/>
          <w:highlight w:val="none"/>
          <w:lang w:val="en-US" w:eastAsia="zh-Hans"/>
          <w14:textFill>
            <w14:solidFill>
              <w14:schemeClr w14:val="tx1"/>
            </w14:solidFill>
          </w14:textFill>
        </w:rPr>
      </w:pPr>
    </w:p>
    <w:p w14:paraId="1BC77DC0">
      <w:pPr>
        <w:pStyle w:val="20"/>
        <w:rPr>
          <w:rFonts w:hint="eastAsia"/>
          <w:color w:val="000000" w:themeColor="text1"/>
          <w:highlight w:val="none"/>
          <w:lang w:val="en-US" w:eastAsia="zh-Hans"/>
          <w14:textFill>
            <w14:solidFill>
              <w14:schemeClr w14:val="tx1"/>
            </w14:solidFill>
          </w14:textFill>
        </w:rPr>
      </w:pPr>
    </w:p>
    <w:p w14:paraId="0DD684D0">
      <w:pPr>
        <w:pStyle w:val="20"/>
        <w:rPr>
          <w:rFonts w:hint="eastAsia"/>
          <w:color w:val="000000" w:themeColor="text1"/>
          <w:highlight w:val="none"/>
          <w:lang w:val="en-US" w:eastAsia="zh-Hans"/>
          <w14:textFill>
            <w14:solidFill>
              <w14:schemeClr w14:val="tx1"/>
            </w14:solidFill>
          </w14:textFill>
        </w:rPr>
      </w:pPr>
    </w:p>
    <w:p w14:paraId="23118824">
      <w:pPr>
        <w:pStyle w:val="20"/>
        <w:rPr>
          <w:rFonts w:hint="eastAsia"/>
          <w:color w:val="000000" w:themeColor="text1"/>
          <w:highlight w:val="none"/>
          <w:lang w:val="en-US" w:eastAsia="zh-Hans"/>
          <w14:textFill>
            <w14:solidFill>
              <w14:schemeClr w14:val="tx1"/>
            </w14:solidFill>
          </w14:textFill>
        </w:rPr>
      </w:pPr>
    </w:p>
    <w:p w14:paraId="39A3EB57">
      <w:pPr>
        <w:pStyle w:val="20"/>
        <w:rPr>
          <w:rFonts w:hint="eastAsia"/>
          <w:color w:val="000000" w:themeColor="text1"/>
          <w:highlight w:val="none"/>
          <w:lang w:val="en-US" w:eastAsia="zh-Hans"/>
          <w14:textFill>
            <w14:solidFill>
              <w14:schemeClr w14:val="tx1"/>
            </w14:solidFill>
          </w14:textFill>
        </w:rPr>
      </w:pPr>
    </w:p>
    <w:p w14:paraId="3A82B74E">
      <w:pPr>
        <w:pStyle w:val="20"/>
        <w:rPr>
          <w:rFonts w:hint="eastAsia"/>
          <w:color w:val="000000" w:themeColor="text1"/>
          <w:highlight w:val="none"/>
          <w:lang w:val="en-US" w:eastAsia="zh-Hans"/>
          <w14:textFill>
            <w14:solidFill>
              <w14:schemeClr w14:val="tx1"/>
            </w14:solidFill>
          </w14:textFill>
        </w:rPr>
      </w:pPr>
    </w:p>
    <w:p w14:paraId="5D04EF79">
      <w:pPr>
        <w:pStyle w:val="20"/>
        <w:rPr>
          <w:rFonts w:hint="eastAsia"/>
          <w:color w:val="000000" w:themeColor="text1"/>
          <w:highlight w:val="none"/>
          <w:lang w:val="en-US" w:eastAsia="zh-Hans"/>
          <w14:textFill>
            <w14:solidFill>
              <w14:schemeClr w14:val="tx1"/>
            </w14:solidFill>
          </w14:textFill>
        </w:rPr>
      </w:pPr>
    </w:p>
    <w:p w14:paraId="740D9E95">
      <w:pPr>
        <w:pStyle w:val="20"/>
        <w:rPr>
          <w:rFonts w:hint="eastAsia"/>
          <w:color w:val="000000" w:themeColor="text1"/>
          <w:highlight w:val="none"/>
          <w:lang w:val="en-US" w:eastAsia="zh-Hans"/>
          <w14:textFill>
            <w14:solidFill>
              <w14:schemeClr w14:val="tx1"/>
            </w14:solidFill>
          </w14:textFill>
        </w:rPr>
      </w:pPr>
    </w:p>
    <w:p w14:paraId="6F2EADD6">
      <w:pPr>
        <w:pStyle w:val="20"/>
        <w:rPr>
          <w:rFonts w:hint="eastAsia"/>
          <w:color w:val="000000" w:themeColor="text1"/>
          <w:highlight w:val="none"/>
          <w:lang w:val="en-US" w:eastAsia="zh-Hans"/>
          <w14:textFill>
            <w14:solidFill>
              <w14:schemeClr w14:val="tx1"/>
            </w14:solidFill>
          </w14:textFill>
        </w:rPr>
      </w:pPr>
    </w:p>
    <w:p w14:paraId="237296C9">
      <w:pPr>
        <w:pStyle w:val="20"/>
        <w:rPr>
          <w:rFonts w:hint="eastAsia"/>
          <w:color w:val="000000" w:themeColor="text1"/>
          <w:highlight w:val="none"/>
          <w:lang w:val="en-US" w:eastAsia="zh-Hans"/>
          <w14:textFill>
            <w14:solidFill>
              <w14:schemeClr w14:val="tx1"/>
            </w14:solidFill>
          </w14:textFill>
        </w:rPr>
      </w:pPr>
    </w:p>
    <w:p w14:paraId="6F7079CA">
      <w:pPr>
        <w:pStyle w:val="20"/>
        <w:rPr>
          <w:rFonts w:hint="eastAsia"/>
          <w:color w:val="000000" w:themeColor="text1"/>
          <w:highlight w:val="none"/>
          <w:lang w:val="en-US" w:eastAsia="zh-Hans"/>
          <w14:textFill>
            <w14:solidFill>
              <w14:schemeClr w14:val="tx1"/>
            </w14:solidFill>
          </w14:textFill>
        </w:rPr>
      </w:pPr>
    </w:p>
    <w:p w14:paraId="25E036EE">
      <w:pPr>
        <w:pStyle w:val="20"/>
        <w:rPr>
          <w:rFonts w:hint="eastAsia"/>
          <w:color w:val="000000" w:themeColor="text1"/>
          <w:highlight w:val="none"/>
          <w:lang w:val="en-US" w:eastAsia="zh-Hans"/>
          <w14:textFill>
            <w14:solidFill>
              <w14:schemeClr w14:val="tx1"/>
            </w14:solidFill>
          </w14:textFill>
        </w:rPr>
      </w:pPr>
    </w:p>
    <w:p w14:paraId="1AE79E39">
      <w:pPr>
        <w:pStyle w:val="20"/>
        <w:rPr>
          <w:rFonts w:hint="eastAsia"/>
          <w:color w:val="000000" w:themeColor="text1"/>
          <w:highlight w:val="none"/>
          <w:lang w:val="en-US" w:eastAsia="zh-Hans"/>
          <w14:textFill>
            <w14:solidFill>
              <w14:schemeClr w14:val="tx1"/>
            </w14:solidFill>
          </w14:textFill>
        </w:rPr>
      </w:pPr>
    </w:p>
    <w:p w14:paraId="2D455EC8">
      <w:pPr>
        <w:pStyle w:val="20"/>
        <w:rPr>
          <w:rFonts w:hint="eastAsia"/>
          <w:color w:val="000000" w:themeColor="text1"/>
          <w:highlight w:val="none"/>
          <w:lang w:val="en-US" w:eastAsia="zh-Hans"/>
          <w14:textFill>
            <w14:solidFill>
              <w14:schemeClr w14:val="tx1"/>
            </w14:solidFill>
          </w14:textFill>
        </w:rPr>
      </w:pPr>
    </w:p>
    <w:p w14:paraId="4ADD1D89">
      <w:pPr>
        <w:pStyle w:val="20"/>
        <w:rPr>
          <w:rFonts w:hint="eastAsia"/>
          <w:color w:val="000000" w:themeColor="text1"/>
          <w:highlight w:val="none"/>
          <w:lang w:val="en-US" w:eastAsia="zh-Hans"/>
          <w14:textFill>
            <w14:solidFill>
              <w14:schemeClr w14:val="tx1"/>
            </w14:solidFill>
          </w14:textFill>
        </w:rPr>
      </w:pPr>
    </w:p>
    <w:p w14:paraId="4EFF1FE8">
      <w:pPr>
        <w:pStyle w:val="20"/>
        <w:rPr>
          <w:rFonts w:hint="eastAsia"/>
          <w:color w:val="000000" w:themeColor="text1"/>
          <w:highlight w:val="none"/>
          <w:lang w:val="en-US" w:eastAsia="zh-Hans"/>
          <w14:textFill>
            <w14:solidFill>
              <w14:schemeClr w14:val="tx1"/>
            </w14:solidFill>
          </w14:textFill>
        </w:rPr>
      </w:pPr>
    </w:p>
    <w:p w14:paraId="6ED66D9A">
      <w:pPr>
        <w:rPr>
          <w:rFonts w:hint="eastAsia"/>
          <w:color w:val="000000" w:themeColor="text1"/>
          <w:sz w:val="32"/>
          <w:szCs w:val="20"/>
          <w:highlight w:val="none"/>
          <w14:textFill>
            <w14:solidFill>
              <w14:schemeClr w14:val="tx1"/>
            </w14:solidFill>
          </w14:textFill>
        </w:rPr>
      </w:pPr>
      <w:r>
        <w:rPr>
          <w:rFonts w:hint="eastAsia"/>
          <w:color w:val="000000" w:themeColor="text1"/>
          <w:sz w:val="32"/>
          <w:szCs w:val="20"/>
          <w:highlight w:val="none"/>
          <w14:textFill>
            <w14:solidFill>
              <w14:schemeClr w14:val="tx1"/>
            </w14:solidFill>
          </w14:textFill>
        </w:rPr>
        <w:br w:type="page"/>
      </w:r>
    </w:p>
    <w:p w14:paraId="74F96EEC">
      <w:pPr>
        <w:keepNext w:val="0"/>
        <w:keepLines w:val="0"/>
        <w:pageBreakBefore w:val="0"/>
        <w:widowControl w:val="0"/>
        <w:kinsoku/>
        <w:wordWrap/>
        <w:overflowPunct/>
        <w:topLinePunct w:val="0"/>
        <w:autoSpaceDE/>
        <w:autoSpaceDN/>
        <w:bidi w:val="0"/>
        <w:adjustRightInd/>
        <w:snapToGrid/>
        <w:textAlignment w:val="auto"/>
        <w:outlineLvl w:val="0"/>
        <w:rPr>
          <w:rFonts w:hint="eastAsia"/>
          <w:b/>
          <w:bCs/>
          <w:color w:val="000000" w:themeColor="text1"/>
          <w:sz w:val="28"/>
          <w:szCs w:val="28"/>
          <w:highlight w:val="none"/>
          <w14:textFill>
            <w14:solidFill>
              <w14:schemeClr w14:val="tx1"/>
            </w14:solidFill>
          </w14:textFill>
        </w:rPr>
      </w:pPr>
      <w:bookmarkStart w:id="116" w:name="_Toc31710"/>
      <w:r>
        <w:rPr>
          <w:rFonts w:hint="eastAsia"/>
          <w:b/>
          <w:bCs/>
          <w:color w:val="000000" w:themeColor="text1"/>
          <w:sz w:val="28"/>
          <w:szCs w:val="28"/>
          <w:highlight w:val="none"/>
          <w14:textFill>
            <w14:solidFill>
              <w14:schemeClr w14:val="tx1"/>
            </w14:solidFill>
          </w14:textFill>
        </w:rPr>
        <w:t>附件</w:t>
      </w:r>
      <w:bookmarkEnd w:id="116"/>
    </w:p>
    <w:p w14:paraId="29047022">
      <w:pPr>
        <w:keepNext w:val="0"/>
        <w:keepLines w:val="0"/>
        <w:pageBreakBefore w:val="0"/>
        <w:widowControl w:val="0"/>
        <w:kinsoku/>
        <w:wordWrap/>
        <w:overflowPunct/>
        <w:topLinePunct w:val="0"/>
        <w:autoSpaceDE/>
        <w:autoSpaceDN/>
        <w:bidi w:val="0"/>
        <w:adjustRightInd/>
        <w:snapToGrid/>
        <w:jc w:val="center"/>
        <w:textAlignment w:val="auto"/>
        <w:outlineLvl w:val="1"/>
        <w:rPr>
          <w:rFonts w:ascii="宋体" w:hAnsi="宋体" w:cs="宋体"/>
          <w:b/>
          <w:bCs/>
          <w:color w:val="000000" w:themeColor="text1"/>
          <w:kern w:val="0"/>
          <w:sz w:val="32"/>
          <w:szCs w:val="32"/>
          <w:highlight w:val="none"/>
          <w14:textFill>
            <w14:solidFill>
              <w14:schemeClr w14:val="tx1"/>
            </w14:solidFill>
          </w14:textFill>
        </w:rPr>
      </w:pPr>
      <w:bookmarkStart w:id="117" w:name="_Toc10047"/>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bookmarkEnd w:id="117"/>
    </w:p>
    <w:p w14:paraId="7B77D1B2">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6B00B6A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197968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CFD617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6A97A64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CB32EE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5E36436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405ED2E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75E8CE5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E913E2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8FEBD3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25536BC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22F7ECE">
      <w:pPr>
        <w:keepNext w:val="0"/>
        <w:keepLines w:val="0"/>
        <w:pageBreakBefore w:val="0"/>
        <w:widowControl w:val="0"/>
        <w:kinsoku/>
        <w:wordWrap/>
        <w:overflowPunct/>
        <w:topLinePunct w:val="0"/>
        <w:autoSpaceDE/>
        <w:autoSpaceDN/>
        <w:bidi w:val="0"/>
        <w:adjustRightInd/>
        <w:snapToGrid/>
        <w:spacing w:line="600" w:lineRule="exact"/>
        <w:ind w:right="-168" w:rightChars="-8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4C2C2D7">
      <w:pPr>
        <w:rPr>
          <w:rFonts w:ascii="宋体" w:hAnsi="宋体"/>
          <w:color w:val="000000" w:themeColor="text1"/>
          <w:highlight w:val="none"/>
          <w14:textFill>
            <w14:solidFill>
              <w14:schemeClr w14:val="tx1"/>
            </w14:solidFill>
          </w14:textFill>
        </w:rPr>
      </w:pPr>
    </w:p>
    <w:p w14:paraId="0EF0C47A">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b/>
          <w:bCs/>
          <w:color w:val="000000" w:themeColor="text1"/>
          <w:sz w:val="44"/>
          <w:szCs w:val="44"/>
          <w:highlight w:val="none"/>
          <w14:textFill>
            <w14:solidFill>
              <w14:schemeClr w14:val="tx1"/>
            </w14:solidFill>
          </w14:textFill>
        </w:rPr>
      </w:pPr>
      <w:bookmarkStart w:id="118" w:name="_Toc15118"/>
      <w:bookmarkStart w:id="119" w:name="_Hlk534184791"/>
      <w:r>
        <w:rPr>
          <w:rFonts w:hint="eastAsia"/>
          <w:b/>
          <w:bCs/>
          <w:color w:val="000000" w:themeColor="text1"/>
          <w:sz w:val="44"/>
          <w:szCs w:val="44"/>
          <w:highlight w:val="none"/>
          <w14:textFill>
            <w14:solidFill>
              <w14:schemeClr w14:val="tx1"/>
            </w14:solidFill>
          </w14:textFill>
        </w:rPr>
        <w:t>购买标书登记表</w:t>
      </w:r>
      <w:bookmarkEnd w:id="118"/>
    </w:p>
    <w:p w14:paraId="359A8C7E">
      <w:pPr>
        <w:jc w:val="center"/>
        <w:rPr>
          <w:rFonts w:hint="eastAsia"/>
          <w:b/>
          <w:bCs/>
          <w:color w:val="000000" w:themeColor="text1"/>
          <w:sz w:val="44"/>
          <w:szCs w:val="44"/>
          <w:highlight w:val="none"/>
          <w14:textFill>
            <w14:solidFill>
              <w14:schemeClr w14:val="tx1"/>
            </w14:solidFill>
          </w14:textFill>
        </w:rPr>
      </w:pPr>
    </w:p>
    <w:p w14:paraId="3C975B75">
      <w:pPr>
        <w:jc w:val="center"/>
        <w:rPr>
          <w:color w:val="000000" w:themeColor="text1"/>
          <w:szCs w:val="21"/>
          <w:highlight w:val="none"/>
          <w14:textFill>
            <w14:solidFill>
              <w14:schemeClr w14:val="tx1"/>
            </w14:solidFill>
          </w14:textFill>
        </w:rPr>
      </w:pPr>
    </w:p>
    <w:tbl>
      <w:tblPr>
        <w:tblStyle w:val="16"/>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7C4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419F222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FE17FD7">
            <w:pPr>
              <w:rPr>
                <w:color w:val="000000" w:themeColor="text1"/>
                <w:sz w:val="28"/>
                <w:szCs w:val="28"/>
                <w:highlight w:val="none"/>
                <w14:textFill>
                  <w14:solidFill>
                    <w14:schemeClr w14:val="tx1"/>
                  </w14:solidFill>
                </w14:textFill>
              </w:rPr>
            </w:pPr>
          </w:p>
        </w:tc>
      </w:tr>
      <w:tr w14:paraId="2ABA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A26CF8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2971D77F">
            <w:pPr>
              <w:rPr>
                <w:color w:val="000000" w:themeColor="text1"/>
                <w:sz w:val="28"/>
                <w:szCs w:val="28"/>
                <w:highlight w:val="none"/>
                <w14:textFill>
                  <w14:solidFill>
                    <w14:schemeClr w14:val="tx1"/>
                  </w14:solidFill>
                </w14:textFill>
              </w:rPr>
            </w:pPr>
          </w:p>
        </w:tc>
        <w:tc>
          <w:tcPr>
            <w:tcW w:w="1940" w:type="dxa"/>
            <w:noWrap/>
            <w:vAlign w:val="center"/>
          </w:tcPr>
          <w:p w14:paraId="2A2B72AB">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采购包</w:t>
            </w:r>
          </w:p>
        </w:tc>
        <w:tc>
          <w:tcPr>
            <w:tcW w:w="2895" w:type="dxa"/>
            <w:noWrap/>
          </w:tcPr>
          <w:p w14:paraId="0D06D1B3">
            <w:pPr>
              <w:rPr>
                <w:color w:val="000000" w:themeColor="text1"/>
                <w:sz w:val="28"/>
                <w:szCs w:val="28"/>
                <w:highlight w:val="none"/>
                <w14:textFill>
                  <w14:solidFill>
                    <w14:schemeClr w14:val="tx1"/>
                  </w14:solidFill>
                </w14:textFill>
              </w:rPr>
            </w:pPr>
          </w:p>
        </w:tc>
      </w:tr>
      <w:tr w14:paraId="0278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0D55FA1">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6775" w:type="dxa"/>
            <w:gridSpan w:val="3"/>
            <w:noWrap/>
          </w:tcPr>
          <w:p w14:paraId="47C4C458">
            <w:pPr>
              <w:rPr>
                <w:color w:val="000000" w:themeColor="text1"/>
                <w:sz w:val="28"/>
                <w:szCs w:val="28"/>
                <w:highlight w:val="none"/>
                <w14:textFill>
                  <w14:solidFill>
                    <w14:schemeClr w14:val="tx1"/>
                  </w14:solidFill>
                </w14:textFill>
              </w:rPr>
            </w:pPr>
          </w:p>
        </w:tc>
      </w:tr>
      <w:tr w14:paraId="49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C9168E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771427FC">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7BF9CC45">
            <w:pPr>
              <w:rPr>
                <w:color w:val="000000" w:themeColor="text1"/>
                <w:sz w:val="28"/>
                <w:szCs w:val="28"/>
                <w:highlight w:val="none"/>
                <w14:textFill>
                  <w14:solidFill>
                    <w14:schemeClr w14:val="tx1"/>
                  </w14:solidFill>
                </w14:textFill>
              </w:rPr>
            </w:pPr>
          </w:p>
        </w:tc>
      </w:tr>
      <w:tr w14:paraId="79D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55C348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5917F4B9">
            <w:pPr>
              <w:rPr>
                <w:color w:val="000000" w:themeColor="text1"/>
                <w:sz w:val="28"/>
                <w:szCs w:val="28"/>
                <w:highlight w:val="none"/>
                <w14:textFill>
                  <w14:solidFill>
                    <w14:schemeClr w14:val="tx1"/>
                  </w14:solidFill>
                </w14:textFill>
              </w:rPr>
            </w:pPr>
          </w:p>
        </w:tc>
      </w:tr>
      <w:tr w14:paraId="22D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B374AC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5CF72C9C">
            <w:pPr>
              <w:rPr>
                <w:color w:val="000000" w:themeColor="text1"/>
                <w:sz w:val="28"/>
                <w:szCs w:val="28"/>
                <w:highlight w:val="none"/>
                <w14:textFill>
                  <w14:solidFill>
                    <w14:schemeClr w14:val="tx1"/>
                  </w14:solidFill>
                </w14:textFill>
              </w:rPr>
            </w:pPr>
          </w:p>
        </w:tc>
        <w:tc>
          <w:tcPr>
            <w:tcW w:w="1940" w:type="dxa"/>
            <w:noWrap/>
            <w:vAlign w:val="center"/>
          </w:tcPr>
          <w:p w14:paraId="3397B5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6767A134">
            <w:pPr>
              <w:rPr>
                <w:color w:val="000000" w:themeColor="text1"/>
                <w:sz w:val="28"/>
                <w:szCs w:val="28"/>
                <w:highlight w:val="none"/>
                <w14:textFill>
                  <w14:solidFill>
                    <w14:schemeClr w14:val="tx1"/>
                  </w14:solidFill>
                </w14:textFill>
              </w:rPr>
            </w:pPr>
          </w:p>
        </w:tc>
      </w:tr>
      <w:tr w14:paraId="404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B0B4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4A227F16">
            <w:pPr>
              <w:rPr>
                <w:color w:val="000000" w:themeColor="text1"/>
                <w:sz w:val="28"/>
                <w:szCs w:val="28"/>
                <w:highlight w:val="none"/>
                <w14:textFill>
                  <w14:solidFill>
                    <w14:schemeClr w14:val="tx1"/>
                  </w14:solidFill>
                </w14:textFill>
              </w:rPr>
            </w:pPr>
          </w:p>
        </w:tc>
        <w:tc>
          <w:tcPr>
            <w:tcW w:w="1940" w:type="dxa"/>
            <w:noWrap/>
            <w:vAlign w:val="center"/>
          </w:tcPr>
          <w:p w14:paraId="5DEF7FE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2179FACC">
            <w:pPr>
              <w:rPr>
                <w:color w:val="000000" w:themeColor="text1"/>
                <w:sz w:val="28"/>
                <w:szCs w:val="28"/>
                <w:highlight w:val="none"/>
                <w14:textFill>
                  <w14:solidFill>
                    <w14:schemeClr w14:val="tx1"/>
                  </w14:solidFill>
                </w14:textFill>
              </w:rPr>
            </w:pPr>
          </w:p>
        </w:tc>
      </w:tr>
      <w:tr w14:paraId="1C7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C26389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0D5ACAD6">
            <w:pPr>
              <w:rPr>
                <w:color w:val="000000" w:themeColor="text1"/>
                <w:sz w:val="28"/>
                <w:szCs w:val="28"/>
                <w:highlight w:val="none"/>
                <w14:textFill>
                  <w14:solidFill>
                    <w14:schemeClr w14:val="tx1"/>
                  </w14:solidFill>
                </w14:textFill>
              </w:rPr>
            </w:pPr>
          </w:p>
        </w:tc>
        <w:tc>
          <w:tcPr>
            <w:tcW w:w="1940" w:type="dxa"/>
            <w:noWrap/>
            <w:vAlign w:val="center"/>
          </w:tcPr>
          <w:p w14:paraId="400AAAD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8AEF493">
            <w:pPr>
              <w:rPr>
                <w:color w:val="000000" w:themeColor="text1"/>
                <w:sz w:val="28"/>
                <w:szCs w:val="28"/>
                <w:highlight w:val="none"/>
                <w14:textFill>
                  <w14:solidFill>
                    <w14:schemeClr w14:val="tx1"/>
                  </w14:solidFill>
                </w14:textFill>
              </w:rPr>
            </w:pPr>
          </w:p>
        </w:tc>
      </w:tr>
      <w:tr w14:paraId="590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2D0222F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5DCB87D1">
            <w:pPr>
              <w:rPr>
                <w:color w:val="000000" w:themeColor="text1"/>
                <w:sz w:val="28"/>
                <w:szCs w:val="28"/>
                <w:highlight w:val="none"/>
                <w14:textFill>
                  <w14:solidFill>
                    <w14:schemeClr w14:val="tx1"/>
                  </w14:solidFill>
                </w14:textFill>
              </w:rPr>
            </w:pPr>
          </w:p>
        </w:tc>
      </w:tr>
      <w:bookmarkEnd w:id="119"/>
    </w:tbl>
    <w:p w14:paraId="0A6D332E">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MingLiU">
    <w:altName w:val="PMingLiU-ExtB"/>
    <w:panose1 w:val="020203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10"/>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1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11"/>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6"/>
    <w:multiLevelType w:val="singleLevel"/>
    <w:tmpl w:val="00000026"/>
    <w:lvl w:ilvl="0" w:tentative="0">
      <w:start w:val="1"/>
      <w:numFmt w:val="decimal"/>
      <w:pStyle w:val="28"/>
      <w:lvlText w:val="%1."/>
      <w:lvlJc w:val="left"/>
      <w:pPr>
        <w:tabs>
          <w:tab w:val="left" w:pos="360"/>
        </w:tabs>
        <w:ind w:left="360" w:hanging="360"/>
      </w:pPr>
    </w:lvl>
  </w:abstractNum>
  <w:abstractNum w:abstractNumId="2">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1D7D62"/>
    <w:rsid w:val="00661709"/>
    <w:rsid w:val="009810B3"/>
    <w:rsid w:val="02331ABF"/>
    <w:rsid w:val="024261A6"/>
    <w:rsid w:val="025832D3"/>
    <w:rsid w:val="035148F2"/>
    <w:rsid w:val="039D04CA"/>
    <w:rsid w:val="042172CF"/>
    <w:rsid w:val="0425335F"/>
    <w:rsid w:val="045F4DED"/>
    <w:rsid w:val="048C13FC"/>
    <w:rsid w:val="04D05CEB"/>
    <w:rsid w:val="04EF55C4"/>
    <w:rsid w:val="05096B07"/>
    <w:rsid w:val="05F15F19"/>
    <w:rsid w:val="063D4CBA"/>
    <w:rsid w:val="06FA07EB"/>
    <w:rsid w:val="070E313E"/>
    <w:rsid w:val="075838FA"/>
    <w:rsid w:val="07B45450"/>
    <w:rsid w:val="09EF276F"/>
    <w:rsid w:val="0A5E78F5"/>
    <w:rsid w:val="0B3A5C6C"/>
    <w:rsid w:val="0B495EAF"/>
    <w:rsid w:val="0C28640C"/>
    <w:rsid w:val="0C3B7EEE"/>
    <w:rsid w:val="0C7A48B8"/>
    <w:rsid w:val="0C8C24F7"/>
    <w:rsid w:val="0CC41D6A"/>
    <w:rsid w:val="0D660F9A"/>
    <w:rsid w:val="0E464928"/>
    <w:rsid w:val="0E4F1A2E"/>
    <w:rsid w:val="0E556903"/>
    <w:rsid w:val="0E7771D7"/>
    <w:rsid w:val="0F9811B3"/>
    <w:rsid w:val="108865E6"/>
    <w:rsid w:val="10E7693A"/>
    <w:rsid w:val="1105322F"/>
    <w:rsid w:val="11230F50"/>
    <w:rsid w:val="11A07096"/>
    <w:rsid w:val="1283439D"/>
    <w:rsid w:val="12E36BE9"/>
    <w:rsid w:val="14467430"/>
    <w:rsid w:val="14C940E6"/>
    <w:rsid w:val="153320AA"/>
    <w:rsid w:val="15D942D4"/>
    <w:rsid w:val="162163A6"/>
    <w:rsid w:val="16760717"/>
    <w:rsid w:val="177F50ED"/>
    <w:rsid w:val="18463EA2"/>
    <w:rsid w:val="18B52DD6"/>
    <w:rsid w:val="19B92850"/>
    <w:rsid w:val="1AA66E7A"/>
    <w:rsid w:val="1ABD5F72"/>
    <w:rsid w:val="1BAA0BEC"/>
    <w:rsid w:val="1BF81957"/>
    <w:rsid w:val="1C580648"/>
    <w:rsid w:val="1C6A3ED7"/>
    <w:rsid w:val="1C7A4CA4"/>
    <w:rsid w:val="1C936A0C"/>
    <w:rsid w:val="1D0B1216"/>
    <w:rsid w:val="1D21234A"/>
    <w:rsid w:val="1D9B2B44"/>
    <w:rsid w:val="1DBC4C07"/>
    <w:rsid w:val="1F9300B1"/>
    <w:rsid w:val="207B2D2A"/>
    <w:rsid w:val="208539D6"/>
    <w:rsid w:val="20CE1D41"/>
    <w:rsid w:val="21B21B9E"/>
    <w:rsid w:val="22CA6173"/>
    <w:rsid w:val="23156E23"/>
    <w:rsid w:val="23FB55E8"/>
    <w:rsid w:val="24C30629"/>
    <w:rsid w:val="250F7D12"/>
    <w:rsid w:val="255F2A47"/>
    <w:rsid w:val="257007B0"/>
    <w:rsid w:val="26025181"/>
    <w:rsid w:val="26105AEF"/>
    <w:rsid w:val="2613754D"/>
    <w:rsid w:val="26154EB4"/>
    <w:rsid w:val="26415CA9"/>
    <w:rsid w:val="268E2D52"/>
    <w:rsid w:val="2694227D"/>
    <w:rsid w:val="27167136"/>
    <w:rsid w:val="27B241AD"/>
    <w:rsid w:val="27C070A1"/>
    <w:rsid w:val="27C546B8"/>
    <w:rsid w:val="287C121A"/>
    <w:rsid w:val="288F5AD7"/>
    <w:rsid w:val="28920A3E"/>
    <w:rsid w:val="28DA4193"/>
    <w:rsid w:val="28E62B38"/>
    <w:rsid w:val="290556B4"/>
    <w:rsid w:val="298F5A8D"/>
    <w:rsid w:val="29935E30"/>
    <w:rsid w:val="299747E3"/>
    <w:rsid w:val="29DB5F49"/>
    <w:rsid w:val="2B2A092C"/>
    <w:rsid w:val="2B51698E"/>
    <w:rsid w:val="2B844FB6"/>
    <w:rsid w:val="2B9D6077"/>
    <w:rsid w:val="2BB313F7"/>
    <w:rsid w:val="2C7E2617"/>
    <w:rsid w:val="2D346567"/>
    <w:rsid w:val="2D97230E"/>
    <w:rsid w:val="2DB71F51"/>
    <w:rsid w:val="2E7D5CEC"/>
    <w:rsid w:val="2E8A3192"/>
    <w:rsid w:val="2ECB1B24"/>
    <w:rsid w:val="2ED51684"/>
    <w:rsid w:val="2F6404B7"/>
    <w:rsid w:val="305A56D9"/>
    <w:rsid w:val="30A80613"/>
    <w:rsid w:val="31E367AE"/>
    <w:rsid w:val="326A6587"/>
    <w:rsid w:val="32C43EEA"/>
    <w:rsid w:val="335C05C6"/>
    <w:rsid w:val="337551E4"/>
    <w:rsid w:val="33C51F02"/>
    <w:rsid w:val="340B78F6"/>
    <w:rsid w:val="34F565DC"/>
    <w:rsid w:val="34FA4631"/>
    <w:rsid w:val="35270760"/>
    <w:rsid w:val="355552CD"/>
    <w:rsid w:val="357A4D33"/>
    <w:rsid w:val="36A93B22"/>
    <w:rsid w:val="37775337"/>
    <w:rsid w:val="378555CE"/>
    <w:rsid w:val="3795163A"/>
    <w:rsid w:val="384855BD"/>
    <w:rsid w:val="38DD7AB3"/>
    <w:rsid w:val="396226AE"/>
    <w:rsid w:val="398048E2"/>
    <w:rsid w:val="39D87235"/>
    <w:rsid w:val="3A83468A"/>
    <w:rsid w:val="3C425ABB"/>
    <w:rsid w:val="3C77021F"/>
    <w:rsid w:val="3C850B8E"/>
    <w:rsid w:val="3CBB6338"/>
    <w:rsid w:val="3CBD0327"/>
    <w:rsid w:val="3D6D517E"/>
    <w:rsid w:val="3E24689A"/>
    <w:rsid w:val="3E2A590C"/>
    <w:rsid w:val="3E9C5D1B"/>
    <w:rsid w:val="3EA42E21"/>
    <w:rsid w:val="3F035D9A"/>
    <w:rsid w:val="3F9A2A03"/>
    <w:rsid w:val="40774C91"/>
    <w:rsid w:val="409500FD"/>
    <w:rsid w:val="41166258"/>
    <w:rsid w:val="415428DD"/>
    <w:rsid w:val="42075BA1"/>
    <w:rsid w:val="429F5DD9"/>
    <w:rsid w:val="42BE1A30"/>
    <w:rsid w:val="437305D7"/>
    <w:rsid w:val="43CA332A"/>
    <w:rsid w:val="43E228FB"/>
    <w:rsid w:val="44435C86"/>
    <w:rsid w:val="44623562"/>
    <w:rsid w:val="450D7972"/>
    <w:rsid w:val="451C4E7E"/>
    <w:rsid w:val="45A54CE6"/>
    <w:rsid w:val="45C53DA9"/>
    <w:rsid w:val="46690BD8"/>
    <w:rsid w:val="474653BD"/>
    <w:rsid w:val="47932CA1"/>
    <w:rsid w:val="47CB0DD4"/>
    <w:rsid w:val="47F70466"/>
    <w:rsid w:val="487344BE"/>
    <w:rsid w:val="488C1626"/>
    <w:rsid w:val="491D5CAA"/>
    <w:rsid w:val="49B303BC"/>
    <w:rsid w:val="49BE157C"/>
    <w:rsid w:val="49D217F6"/>
    <w:rsid w:val="4A340EAF"/>
    <w:rsid w:val="4A62250E"/>
    <w:rsid w:val="4A8C30E7"/>
    <w:rsid w:val="4AEE2B5A"/>
    <w:rsid w:val="4B086B5A"/>
    <w:rsid w:val="4B0D06CC"/>
    <w:rsid w:val="4B3317B5"/>
    <w:rsid w:val="4D7C5695"/>
    <w:rsid w:val="4DAB1AD6"/>
    <w:rsid w:val="4DD12071"/>
    <w:rsid w:val="4E0F475B"/>
    <w:rsid w:val="4E5C1022"/>
    <w:rsid w:val="4F147E17"/>
    <w:rsid w:val="4FB56C3C"/>
    <w:rsid w:val="50155430"/>
    <w:rsid w:val="509B4084"/>
    <w:rsid w:val="51D610EC"/>
    <w:rsid w:val="52471049"/>
    <w:rsid w:val="52927709"/>
    <w:rsid w:val="53913478"/>
    <w:rsid w:val="53B316E5"/>
    <w:rsid w:val="53B52B8D"/>
    <w:rsid w:val="53C102A5"/>
    <w:rsid w:val="54B42188"/>
    <w:rsid w:val="568C47D3"/>
    <w:rsid w:val="56D61007"/>
    <w:rsid w:val="56DD6EDF"/>
    <w:rsid w:val="56F75D8C"/>
    <w:rsid w:val="571D28A3"/>
    <w:rsid w:val="575925A3"/>
    <w:rsid w:val="57D460CD"/>
    <w:rsid w:val="58B02697"/>
    <w:rsid w:val="58BA6D2D"/>
    <w:rsid w:val="594B6520"/>
    <w:rsid w:val="5A0343A1"/>
    <w:rsid w:val="5A7E2464"/>
    <w:rsid w:val="5AD07020"/>
    <w:rsid w:val="5B01367D"/>
    <w:rsid w:val="5B3945F0"/>
    <w:rsid w:val="5C9306BD"/>
    <w:rsid w:val="5D5F6439"/>
    <w:rsid w:val="5D6D0B56"/>
    <w:rsid w:val="5E0F1C0D"/>
    <w:rsid w:val="5E8C14B0"/>
    <w:rsid w:val="5EB90EE3"/>
    <w:rsid w:val="5F0F1B11"/>
    <w:rsid w:val="606D2D49"/>
    <w:rsid w:val="60AC0895"/>
    <w:rsid w:val="60BA7F29"/>
    <w:rsid w:val="636E5628"/>
    <w:rsid w:val="63807109"/>
    <w:rsid w:val="63B079EF"/>
    <w:rsid w:val="63B76FCA"/>
    <w:rsid w:val="63C74D38"/>
    <w:rsid w:val="63D556A7"/>
    <w:rsid w:val="63DD630A"/>
    <w:rsid w:val="64F658D5"/>
    <w:rsid w:val="66613222"/>
    <w:rsid w:val="67086130"/>
    <w:rsid w:val="67452B44"/>
    <w:rsid w:val="685E5C6B"/>
    <w:rsid w:val="68C33D20"/>
    <w:rsid w:val="68D0643D"/>
    <w:rsid w:val="68E465BF"/>
    <w:rsid w:val="69117181"/>
    <w:rsid w:val="693966D8"/>
    <w:rsid w:val="69524E67"/>
    <w:rsid w:val="69AB49DB"/>
    <w:rsid w:val="69F34AD9"/>
    <w:rsid w:val="6A554E4C"/>
    <w:rsid w:val="6AAB53B4"/>
    <w:rsid w:val="6ACA5484"/>
    <w:rsid w:val="6B7632CC"/>
    <w:rsid w:val="6BAE1FE0"/>
    <w:rsid w:val="6BD64493"/>
    <w:rsid w:val="6C0703C8"/>
    <w:rsid w:val="6CCB2A08"/>
    <w:rsid w:val="6CF546C4"/>
    <w:rsid w:val="6D0C2FBA"/>
    <w:rsid w:val="6D1A412B"/>
    <w:rsid w:val="6D513E38"/>
    <w:rsid w:val="6D544E73"/>
    <w:rsid w:val="6E6733A0"/>
    <w:rsid w:val="6EAD34A8"/>
    <w:rsid w:val="6F305E87"/>
    <w:rsid w:val="6F834209"/>
    <w:rsid w:val="6FD9207B"/>
    <w:rsid w:val="70595806"/>
    <w:rsid w:val="70C1148D"/>
    <w:rsid w:val="717A70B8"/>
    <w:rsid w:val="71B96608"/>
    <w:rsid w:val="71CF3736"/>
    <w:rsid w:val="71D505DE"/>
    <w:rsid w:val="71E73175"/>
    <w:rsid w:val="725231E8"/>
    <w:rsid w:val="72A963E6"/>
    <w:rsid w:val="73027B3B"/>
    <w:rsid w:val="74081181"/>
    <w:rsid w:val="740D2C3B"/>
    <w:rsid w:val="744F37D0"/>
    <w:rsid w:val="74BD5781"/>
    <w:rsid w:val="74BF4858"/>
    <w:rsid w:val="74FC02A2"/>
    <w:rsid w:val="75CC75E6"/>
    <w:rsid w:val="76143E0D"/>
    <w:rsid w:val="7621652A"/>
    <w:rsid w:val="77F42148"/>
    <w:rsid w:val="77F79321"/>
    <w:rsid w:val="78056103"/>
    <w:rsid w:val="78670B6C"/>
    <w:rsid w:val="78972AD3"/>
    <w:rsid w:val="78A56B5E"/>
    <w:rsid w:val="79FF4DD4"/>
    <w:rsid w:val="7A2860D9"/>
    <w:rsid w:val="7A3C3932"/>
    <w:rsid w:val="7A5E1AFB"/>
    <w:rsid w:val="7AD85D51"/>
    <w:rsid w:val="7AEA5A84"/>
    <w:rsid w:val="7B890DF9"/>
    <w:rsid w:val="7BBD0AA3"/>
    <w:rsid w:val="7BC8448F"/>
    <w:rsid w:val="7E696CC0"/>
    <w:rsid w:val="7E7A7402"/>
    <w:rsid w:val="7EA81482"/>
    <w:rsid w:val="7EE011E6"/>
    <w:rsid w:val="7F412E62"/>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4">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6">
    <w:name w:val="index 5"/>
    <w:basedOn w:val="1"/>
    <w:next w:val="1"/>
    <w:qFormat/>
    <w:uiPriority w:val="0"/>
    <w:pPr>
      <w:ind w:left="1680"/>
    </w:pPr>
  </w:style>
  <w:style w:type="paragraph" w:styleId="7">
    <w:name w:val="Body Text"/>
    <w:basedOn w:val="1"/>
    <w:qFormat/>
    <w:uiPriority w:val="0"/>
    <w:pPr>
      <w:spacing w:after="120"/>
    </w:pPr>
  </w:style>
  <w:style w:type="paragraph" w:styleId="8">
    <w:name w:val="toc 3"/>
    <w:basedOn w:val="1"/>
    <w:next w:val="1"/>
    <w:qFormat/>
    <w:uiPriority w:val="0"/>
    <w:pPr>
      <w:ind w:left="840" w:leftChars="400"/>
    </w:pPr>
  </w:style>
  <w:style w:type="paragraph" w:styleId="9">
    <w:name w:val="Plain Text"/>
    <w:basedOn w:val="1"/>
    <w:qFormat/>
    <w:uiPriority w:val="0"/>
    <w:rPr>
      <w:rFonts w:ascii="宋体" w:hAnsi="Courier New"/>
      <w:szCs w:val="20"/>
    </w:rPr>
  </w:style>
  <w:style w:type="paragraph" w:styleId="10">
    <w:name w:val="footer"/>
    <w:basedOn w:val="1"/>
    <w:next w:val="6"/>
    <w:qFormat/>
    <w:uiPriority w:val="0"/>
    <w:pPr>
      <w:tabs>
        <w:tab w:val="center" w:pos="4153"/>
        <w:tab w:val="right" w:pos="8306"/>
      </w:tabs>
      <w:snapToGrid w:val="0"/>
      <w:jc w:val="left"/>
    </w:pPr>
    <w:rPr>
      <w:sz w:val="18"/>
      <w:szCs w:val="20"/>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Body Text 2"/>
    <w:basedOn w:val="1"/>
    <w:qFormat/>
    <w:uiPriority w:val="0"/>
    <w:pPr>
      <w:widowControl/>
      <w:spacing w:after="120" w:afterLines="0" w:line="480" w:lineRule="auto"/>
      <w:jc w:val="left"/>
    </w:pPr>
    <w:rPr>
      <w:kern w:val="0"/>
      <w:szCs w:val="20"/>
    </w:rPr>
  </w:style>
  <w:style w:type="paragraph" w:styleId="15">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22"/>
    <w:rPr>
      <w:b/>
      <w:bCs/>
    </w:rPr>
  </w:style>
  <w:style w:type="paragraph" w:customStyle="1" w:styleId="20">
    <w:name w:val="null3"/>
    <w:hidden/>
    <w:qFormat/>
    <w:uiPriority w:val="0"/>
    <w:rPr>
      <w:rFonts w:hint="eastAsia" w:asciiTheme="minorHAnsi" w:hAnsiTheme="minorHAnsi" w:eastAsiaTheme="minorEastAsia" w:cstheme="minorBidi"/>
      <w:lang w:val="en-US" w:eastAsia="zh-Hans"/>
    </w:rPr>
  </w:style>
  <w:style w:type="character" w:styleId="21">
    <w:name w:val="Placeholder Text"/>
    <w:basedOn w:val="18"/>
    <w:semiHidden/>
    <w:qFormat/>
    <w:uiPriority w:val="99"/>
    <w:rPr>
      <w:color w:val="808080"/>
    </w:rPr>
  </w:style>
  <w:style w:type="paragraph" w:customStyle="1" w:styleId="22">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styleId="23">
    <w:name w:val="List Paragraph"/>
    <w:basedOn w:val="1"/>
    <w:qFormat/>
    <w:uiPriority w:val="34"/>
    <w:pPr>
      <w:ind w:firstLine="420" w:firstLineChars="200"/>
    </w:pPr>
  </w:style>
  <w:style w:type="paragraph" w:customStyle="1" w:styleId="24">
    <w:name w:val="首行缩进"/>
    <w:basedOn w:val="1"/>
    <w:autoRedefine/>
    <w:qFormat/>
    <w:uiPriority w:val="0"/>
    <w:pPr>
      <w:spacing w:line="360" w:lineRule="auto"/>
      <w:ind w:firstLine="480" w:firstLineChars="200"/>
    </w:pPr>
    <w:rPr>
      <w:rFonts w:ascii="宋体" w:hAnsi="宋体" w:cs="宋体"/>
      <w:kern w:val="0"/>
      <w:sz w:val="24"/>
    </w:rPr>
  </w:style>
  <w:style w:type="paragraph" w:customStyle="1" w:styleId="25">
    <w:name w:val="Table Paragraph"/>
    <w:basedOn w:val="1"/>
    <w:qFormat/>
    <w:uiPriority w:val="1"/>
    <w:pPr>
      <w:spacing w:before="70"/>
    </w:pPr>
    <w:rPr>
      <w:rFonts w:ascii="宋体" w:hAnsi="宋体" w:eastAsia="宋体" w:cs="宋体"/>
      <w:lang w:val="zh-CN" w:eastAsia="zh-CN" w:bidi="zh-CN"/>
    </w:rPr>
  </w:style>
  <w:style w:type="paragraph" w:customStyle="1" w:styleId="26">
    <w:name w:val="_Style 22"/>
    <w:basedOn w:val="1"/>
    <w:next w:val="23"/>
    <w:qFormat/>
    <w:uiPriority w:val="34"/>
    <w:pPr>
      <w:ind w:firstLine="420" w:firstLineChars="200"/>
    </w:pPr>
    <w:rPr>
      <w:rFonts w:ascii="Times New Roman" w:hAnsi="Times New Roman" w:cs="Times New Roman"/>
      <w:kern w:val="0"/>
      <w:sz w:val="20"/>
      <w:szCs w:val="24"/>
    </w:rPr>
  </w:style>
  <w:style w:type="paragraph" w:customStyle="1" w:styleId="27">
    <w:name w:val="其他"/>
    <w:basedOn w:val="1"/>
    <w:qFormat/>
    <w:uiPriority w:val="0"/>
    <w:pPr>
      <w:widowControl w:val="0"/>
      <w:shd w:val="clear" w:color="auto" w:fill="FFFFFF"/>
      <w:spacing w:after="100" w:line="468" w:lineRule="auto"/>
      <w:ind w:firstLine="400"/>
    </w:pPr>
    <w:rPr>
      <w:rFonts w:ascii="MingLiU" w:hAnsi="MingLiU" w:eastAsia="MingLiU" w:cs="MingLiU"/>
      <w:sz w:val="20"/>
      <w:szCs w:val="20"/>
      <w:u w:val="none"/>
      <w:lang w:val="zh-CN" w:eastAsia="zh-CN" w:bidi="zh-CN"/>
    </w:rPr>
  </w:style>
  <w:style w:type="paragraph" w:customStyle="1" w:styleId="28">
    <w:name w:val="表格文字"/>
    <w:basedOn w:val="1"/>
    <w:qFormat/>
    <w:uiPriority w:val="0"/>
    <w:pPr>
      <w:numPr>
        <w:ilvl w:val="0"/>
        <w:numId w:val="2"/>
      </w:numPr>
      <w:tabs>
        <w:tab w:val="clear" w:pos="360"/>
      </w:tabs>
      <w:ind w:left="0" w:firstLine="0"/>
      <w:jc w:val="left"/>
    </w:pPr>
    <w:rPr>
      <w:rFonts w:ascii="Arial" w:hAnsi="Arial" w:eastAsia="仿宋_GB2312" w:cs="Arial"/>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5499F061">
          <w:pPr>
            <w:pStyle w:val="5"/>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 w:type="paragraph" w:customStyle="1" w:styleId="4">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75</Pages>
  <Words>2751</Words>
  <Characters>3014</Characters>
  <Lines>0</Lines>
  <Paragraphs>0</Paragraphs>
  <TotalTime>4</TotalTime>
  <ScaleCrop>false</ScaleCrop>
  <LinksUpToDate>false</LinksUpToDate>
  <CharactersWithSpaces>3120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Administrator</cp:lastModifiedBy>
  <cp:lastPrinted>2026-07-14T01:13:00Z</cp:lastPrinted>
  <dcterms:modified xsi:type="dcterms:W3CDTF">2026-08-04T09:20:37Z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84AAD3F223FF2AC521F59E68BCC7017B_42</vt:lpwstr>
  </property>
  <property fmtid="{D5CDD505-2E9C-101B-9397-08002B2CF9AE}" pid="4" name="KSOTemplateDocerSaveRecord">
    <vt:lpwstr>eyJoZGlkIjoiNjRhODA0MGJlYjkwYzhjNWY3NDVmZDZhNTM4ODVlZmIiLCJ1c2VySWQiOiI0MzkwMDY1NTEifQ==</vt:lpwstr>
  </property>
</Properties>
</file>