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8"/>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8"/>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BD5D3BA">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4745232">
      <w:pPr>
        <w:pStyle w:val="8"/>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bidi w:val="0"/>
        <w:rPr>
          <w:color w:val="000000" w:themeColor="text1"/>
          <w:highlight w:val="none"/>
          <w14:textFill>
            <w14:solidFill>
              <w14:schemeClr w14:val="tx1"/>
            </w14:solidFill>
          </w14:textFill>
        </w:rPr>
      </w:pPr>
    </w:p>
    <w:tbl>
      <w:tblPr>
        <w:tblStyle w:val="15"/>
        <w:tblW w:w="7709" w:type="dxa"/>
        <w:jc w:val="center"/>
        <w:tblLayout w:type="fixed"/>
        <w:tblCellMar>
          <w:top w:w="0" w:type="dxa"/>
          <w:left w:w="108" w:type="dxa"/>
          <w:bottom w:w="0" w:type="dxa"/>
          <w:right w:w="108" w:type="dxa"/>
        </w:tblCellMar>
      </w:tblPr>
      <w:tblGrid>
        <w:gridCol w:w="1951"/>
        <w:gridCol w:w="284"/>
        <w:gridCol w:w="5474"/>
      </w:tblGrid>
      <w:tr w14:paraId="5A3C51A6">
        <w:tblPrEx>
          <w:tblCellMar>
            <w:top w:w="0" w:type="dxa"/>
            <w:left w:w="108" w:type="dxa"/>
            <w:bottom w:w="0" w:type="dxa"/>
            <w:right w:w="108" w:type="dxa"/>
          </w:tblCellMar>
        </w:tblPrEx>
        <w:trPr>
          <w:trHeight w:val="567"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YXCG-20260702</w:t>
            </w:r>
          </w:p>
        </w:tc>
      </w:tr>
      <w:tr w14:paraId="201EA358">
        <w:tblPrEx>
          <w:tblCellMar>
            <w:top w:w="0" w:type="dxa"/>
            <w:left w:w="108" w:type="dxa"/>
            <w:bottom w:w="0" w:type="dxa"/>
            <w:right w:w="108" w:type="dxa"/>
          </w:tblCellMar>
        </w:tblPrEx>
        <w:trPr>
          <w:trHeight w:val="1030"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阳江职业技术学院软件正版化服务和零信任设备采购项目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阳江职业技术学院</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474"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9439394">
      <w:pPr>
        <w:pStyle w:val="8"/>
        <w:widowControl/>
        <w:adjustRightInd w:val="0"/>
        <w:snapToGrid w:val="0"/>
        <w:spacing w:line="360" w:lineRule="auto"/>
        <w:jc w:val="center"/>
        <w:rPr>
          <w:rFonts w:hint="eastAsia" w:hAnsi="宋体"/>
          <w:b/>
          <w:bCs/>
          <w:color w:val="000000" w:themeColor="text1"/>
          <w:sz w:val="28"/>
          <w:szCs w:val="21"/>
          <w:highlight w:val="none"/>
          <w14:textFill>
            <w14:solidFill>
              <w14:schemeClr w14:val="tx1"/>
            </w14:solidFill>
          </w14:textFill>
        </w:rPr>
      </w:pP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15665A8A">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_Toc15357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第一章</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投标邀请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12C48E">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_Toc6943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第二章 采购需求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153C0B5">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_Toc2956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第三章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696796">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_Toc20089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一、名词解释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5C780A">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_Toc20482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_Toc20482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42933F">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_Toc6053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DEA0D60">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_Toc6775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四、招标文件的澄清和修改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E0F97DA">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_Toc2436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五、投标要求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1A1A75">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_Toc1985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六、开标、评标和定标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E7D29E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_Toc21771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七、询问、质疑与投诉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D907A2">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_Toc22170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八、合同签订和履行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CB575F">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_Toc4442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第四章 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_Toc4442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5880810">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_Toc28608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一、评标要求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_Toc28608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44ADEE">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_Toc463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二</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政府采购政策落实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704792">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_Toc30794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三</w:t>
      </w:r>
      <w:r>
        <w:rPr>
          <w:rFonts w:hint="eastAsia" w:asciiTheme="minorEastAsia" w:hAnsiTheme="minorEastAsia" w:cs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评审程序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7351EA4">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_Toc12687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第五章 合同</w:t>
      </w:r>
      <w:r>
        <w:rPr>
          <w:rFonts w:hint="eastAsia" w:asciiTheme="minorEastAsia" w:hAnsiTheme="minorEastAsia" w:cstheme="minorEastAsia"/>
          <w:color w:val="000000" w:themeColor="text1"/>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68EFB3C">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_Toc1937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第六章 投标文件格式与要求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173C688">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_Toc14410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bCs w:val="0"/>
          <w:color w:val="000000" w:themeColor="text1"/>
          <w:szCs w:val="44"/>
          <w:highlight w:val="none"/>
          <w14:textFill>
            <w14:solidFill>
              <w14:schemeClr w14:val="tx1"/>
            </w14:solidFill>
          </w14:textFill>
        </w:rPr>
        <w:t>投标文件封面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F1F9F1">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_Toc9554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8"/>
          <w:highlight w:val="none"/>
          <w14:textFill>
            <w14:solidFill>
              <w14:schemeClr w14:val="tx1"/>
            </w14:solidFill>
          </w14:textFill>
        </w:rPr>
        <w:t>投标文件目录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E8FD61B">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_Toc23122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A1218D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_Toc6649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_Toc6649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D03677">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_Toc1598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格式三：分项报价表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000FB7">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_Toc10807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格式四：政策适用性说明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8C6E6F">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_Toc1185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格式五：关于符合本国产品标准的声明函等有关证明文件（如适用）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30D6A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_Toc24657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格式六：</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EC423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_Toc4782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格式七：</w:t>
      </w:r>
      <w:r>
        <w:rPr>
          <w:rFonts w:hint="eastAsia" w:asciiTheme="minorEastAsia" w:hAnsiTheme="minorEastAsia" w:eastAsiaTheme="minorEastAsia" w:cstheme="minorEastAsia"/>
          <w:color w:val="000000" w:themeColor="text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0B9B0F4">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_Toc22721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格式八：投标保证金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65F2BA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_Toc9913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格式九：提供具有独立承担民事责任的能力的证明材料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3BB8A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_Toc29995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格式十：资格性审查要求的其他资质证明文件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_Toc29995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C86073">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_Toc22002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格式十一：承诺函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D90FC4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_Toc12214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格式十二：中小企业声明函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9F8D93">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_Toc19665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格式十三：监狱企业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78C3B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_Toc23097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格式十四：残疾人福利性单位声明函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_Toc23097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D262E1">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_Toc6154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格式十五：联合体共同投标协议书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7B1C1F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_Toc12265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格式十六：投标人业绩情况表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_Toc12265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FB1F8BB">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_Toc10759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格式十七：《技术和服务要求响应表》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6F887FC">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_Toc5483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格式十八：《商务条件响应表》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258F8BB">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_Toc10547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格式十九：履约进度计划表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5C3C3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_Toc627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格式二十：各类证明材料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A020D8B">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_Toc13723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格式二十一：采购代理服务费支付承诺书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_Toc13723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78A995D">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_Toc10584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格式二十二：需要采购人提供的附加条件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5A7768">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_Toc2232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格式二十三：询问函、质疑函、投诉书格式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CACB023">
      <w:pPr>
        <w:pStyle w:val="7"/>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_Toc21569 </w:instrText>
      </w:r>
      <w:r>
        <w:rPr>
          <w:color w:val="000000" w:themeColor="text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格式二十四：项目实施方案、质量保证及售后服务承诺等内容和格式自拟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6422894">
      <w:pPr>
        <w:pStyle w:val="11"/>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_Toc10331 </w:instrText>
      </w:r>
      <w:r>
        <w:rPr>
          <w:color w:val="000000" w:themeColor="text1"/>
          <w:highlight w:val="none"/>
          <w14:textFill>
            <w14:solidFill>
              <w14:schemeClr w14:val="tx1"/>
            </w14:solidFill>
          </w14:textFill>
        </w:rPr>
        <w:fldChar w:fldCharType="separate"/>
      </w:r>
      <w:r>
        <w:rPr>
          <w:rFonts w:hint="eastAsia" w:ascii="宋体" w:hAnsi="宋体" w:eastAsia="宋体" w:cs="宋体"/>
          <w:bCs/>
          <w:color w:val="000000" w:themeColor="text1"/>
          <w:kern w:val="0"/>
          <w:szCs w:val="28"/>
          <w:highlight w:val="none"/>
          <w14:textFill>
            <w14:solidFill>
              <w14:schemeClr w14:val="tx1"/>
            </w14:solidFill>
          </w14:textFill>
        </w:rPr>
        <w:t>附件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5E4F1FF">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_Toc27871 </w:instrText>
      </w:r>
      <w:r>
        <w:rPr>
          <w:color w:val="000000" w:themeColor="text1"/>
          <w:highlight w:val="none"/>
          <w14:textFill>
            <w14:solidFill>
              <w14:schemeClr w14:val="tx1"/>
            </w14:solidFill>
          </w14:textFill>
        </w:rPr>
        <w:fldChar w:fldCharType="separate"/>
      </w:r>
      <w:r>
        <w:rPr>
          <w:rFonts w:hint="eastAsia" w:ascii="宋体" w:hAnsi="宋体" w:cs="宋体"/>
          <w:bCs/>
          <w:color w:val="000000" w:themeColor="text1"/>
          <w:kern w:val="0"/>
          <w:szCs w:val="32"/>
          <w:highlight w:val="none"/>
          <w14:textFill>
            <w14:solidFill>
              <w14:schemeClr w14:val="tx1"/>
            </w14:solidFill>
          </w14:textFill>
        </w:rPr>
        <w:t>阳江市政府采购供应商资格信用承诺函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_Toc27871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D03DD73">
      <w:pPr>
        <w:pStyle w:val="12"/>
        <w:tabs>
          <w:tab w:val="right" w:leader="dot" w:pos="9070"/>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_Toc28171 </w:instrText>
      </w:r>
      <w:r>
        <w:rPr>
          <w:color w:val="000000" w:themeColor="text1"/>
          <w:highlight w:val="none"/>
          <w14:textFill>
            <w14:solidFill>
              <w14:schemeClr w14:val="tx1"/>
            </w14:solidFill>
          </w14:textFill>
        </w:rPr>
        <w:fldChar w:fldCharType="separate"/>
      </w:r>
      <w:r>
        <w:rPr>
          <w:rFonts w:hint="eastAsia"/>
          <w:bCs/>
          <w:color w:val="000000" w:themeColor="text1"/>
          <w:szCs w:val="44"/>
          <w:highlight w:val="none"/>
          <w14:textFill>
            <w14:solidFill>
              <w14:schemeClr w14:val="tx1"/>
            </w14:solidFill>
          </w14:textFill>
        </w:rPr>
        <w:t>购买标书登记表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7AEF3C">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720A3275">
      <w:pPr>
        <w:rPr>
          <w:color w:val="000000" w:themeColor="text1"/>
          <w:highlight w:val="none"/>
          <w14:textFill>
            <w14:solidFill>
              <w14:schemeClr w14:val="tx1"/>
            </w14:solidFill>
          </w14:textFill>
        </w:rPr>
      </w:pPr>
    </w:p>
    <w:p w14:paraId="1EA01E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3692808D">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15357"/>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阳江职业技术学院软件正版化服务和零信任设备采购项目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一.项目概述</w:t>
      </w:r>
    </w:p>
    <w:p w14:paraId="29DC24E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阳江职业技术学院软件正版化服务和零信任设备采购项目</w:t>
      </w:r>
    </w:p>
    <w:p w14:paraId="1409E65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YXCG-20260702</w:t>
      </w:r>
    </w:p>
    <w:p w14:paraId="704EAF9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38000.00元</w:t>
      </w:r>
    </w:p>
    <w:p w14:paraId="2D02960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w:t>
      </w:r>
    </w:p>
    <w:p w14:paraId="19070426">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采购包预算金额：600000.00元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633"/>
        <w:gridCol w:w="995"/>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3BFEAC3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633" w:type="dxa"/>
            <w:vAlign w:val="center"/>
          </w:tcPr>
          <w:p w14:paraId="762C3C92">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3700406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1170525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F3E3B0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306DCC2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8C1216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1-1</w:t>
            </w:r>
          </w:p>
        </w:tc>
        <w:tc>
          <w:tcPr>
            <w:tcW w:w="1946" w:type="dxa"/>
            <w:vAlign w:val="center"/>
          </w:tcPr>
          <w:p w14:paraId="74947C8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2633" w:type="dxa"/>
            <w:vAlign w:val="center"/>
          </w:tcPr>
          <w:p w14:paraId="33A2D68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阳江职业技术学院软件正版化服务采购</w:t>
            </w:r>
          </w:p>
        </w:tc>
        <w:tc>
          <w:tcPr>
            <w:tcW w:w="995" w:type="dxa"/>
            <w:shd w:val="clear" w:color="auto" w:fill="auto"/>
            <w:vAlign w:val="center"/>
          </w:tcPr>
          <w:p w14:paraId="670C41C8">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1296" w:type="dxa"/>
            <w:shd w:val="clear" w:color="auto" w:fill="auto"/>
            <w:vAlign w:val="center"/>
          </w:tcPr>
          <w:p w14:paraId="01DD354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0FB552BE">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3DB92E87">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p>
    <w:p w14:paraId="2AA79C9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本采购包不接受联合体投标</w:t>
      </w:r>
    </w:p>
    <w:p w14:paraId="096368E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合同分包：不允许合同分包</w:t>
      </w:r>
    </w:p>
    <w:p w14:paraId="667CAD8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合同履行期限：合同签订后15个工作日内完成实施项目的供货与实施。</w:t>
      </w:r>
      <w:r>
        <w:rPr>
          <w:rFonts w:hint="eastAsia" w:asciiTheme="minorEastAsia" w:hAnsiTheme="minorEastAsia" w:cstheme="minorEastAsia"/>
          <w:b w:val="0"/>
          <w:bCs/>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b w:val="0"/>
          <w:bCs/>
          <w:color w:val="000000" w:themeColor="text1"/>
          <w:sz w:val="21"/>
          <w:szCs w:val="21"/>
          <w:highlight w:val="none"/>
          <w:lang w:val="en-US" w:eastAsia="zh-CN"/>
          <w14:textFill>
            <w14:solidFill>
              <w14:schemeClr w14:val="tx1"/>
            </w14:solidFill>
          </w14:textFill>
        </w:rPr>
        <w:t>超出该服务期作无效投标处理</w:t>
      </w:r>
      <w:r>
        <w:rPr>
          <w:rFonts w:hint="eastAsia" w:asciiTheme="minorEastAsia" w:hAnsiTheme="minorEastAsia" w:cstheme="minorEastAsia"/>
          <w:b w:val="0"/>
          <w:bCs/>
          <w:color w:val="000000" w:themeColor="text1"/>
          <w:sz w:val="21"/>
          <w:szCs w:val="21"/>
          <w:highlight w:val="none"/>
          <w:lang w:eastAsia="zh-CN"/>
          <w14:textFill>
            <w14:solidFill>
              <w14:schemeClr w14:val="tx1"/>
            </w14:solidFill>
          </w14:textFill>
        </w:rPr>
        <w:t>）</w:t>
      </w:r>
    </w:p>
    <w:p w14:paraId="4153E246">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C7AD4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p w14:paraId="5548C8F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采购包预算金额：238000.00元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946"/>
        <w:gridCol w:w="2633"/>
        <w:gridCol w:w="995"/>
        <w:gridCol w:w="1296"/>
        <w:gridCol w:w="1296"/>
      </w:tblGrid>
      <w:tr w14:paraId="6F4EBE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50E8F8B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1946" w:type="dxa"/>
            <w:vAlign w:val="center"/>
          </w:tcPr>
          <w:p w14:paraId="382677E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2633" w:type="dxa"/>
            <w:vAlign w:val="center"/>
          </w:tcPr>
          <w:p w14:paraId="71C57AB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采购标的</w:t>
            </w:r>
          </w:p>
        </w:tc>
        <w:tc>
          <w:tcPr>
            <w:tcW w:w="995" w:type="dxa"/>
            <w:vAlign w:val="center"/>
          </w:tcPr>
          <w:p w14:paraId="5491323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p w14:paraId="68B458E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1296" w:type="dxa"/>
            <w:vAlign w:val="center"/>
          </w:tcPr>
          <w:p w14:paraId="284E40E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技术规格、参数及要求</w:t>
            </w:r>
          </w:p>
        </w:tc>
        <w:tc>
          <w:tcPr>
            <w:tcW w:w="1296" w:type="dxa"/>
            <w:vAlign w:val="center"/>
          </w:tcPr>
          <w:p w14:paraId="67766C3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是否允许进口产品</w:t>
            </w:r>
          </w:p>
        </w:tc>
      </w:tr>
      <w:tr w14:paraId="2B6E5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0EAB25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2-1</w:t>
            </w:r>
          </w:p>
        </w:tc>
        <w:tc>
          <w:tcPr>
            <w:tcW w:w="1946" w:type="dxa"/>
            <w:vAlign w:val="center"/>
          </w:tcPr>
          <w:p w14:paraId="7094AF70">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heme="minorEastAsia" w:hAnsiTheme="minorEastAsia" w:eastAsiaTheme="minorEastAsia" w:cstheme="minorEastAsia"/>
                <w:color w:val="000000" w:themeColor="text1"/>
                <w:sz w:val="21"/>
                <w:szCs w:val="21"/>
                <w:highlight w:val="none"/>
                <w:lang w:val="en-U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安全设备</w:t>
            </w:r>
          </w:p>
        </w:tc>
        <w:tc>
          <w:tcPr>
            <w:tcW w:w="2633" w:type="dxa"/>
            <w:vAlign w:val="center"/>
          </w:tcPr>
          <w:p w14:paraId="30FDF54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tc>
        <w:tc>
          <w:tcPr>
            <w:tcW w:w="995" w:type="dxa"/>
            <w:shd w:val="clear" w:color="auto" w:fill="auto"/>
            <w:vAlign w:val="center"/>
          </w:tcPr>
          <w:p w14:paraId="107130B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(套)</w:t>
            </w:r>
          </w:p>
        </w:tc>
        <w:tc>
          <w:tcPr>
            <w:tcW w:w="1296" w:type="dxa"/>
            <w:shd w:val="clear" w:color="auto" w:fill="auto"/>
            <w:vAlign w:val="center"/>
          </w:tcPr>
          <w:p w14:paraId="66F730A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详见第二章</w:t>
            </w:r>
          </w:p>
        </w:tc>
        <w:tc>
          <w:tcPr>
            <w:tcW w:w="1296" w:type="dxa"/>
            <w:shd w:val="clear" w:color="auto" w:fill="auto"/>
            <w:vAlign w:val="center"/>
          </w:tcPr>
          <w:p w14:paraId="1B86873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bl>
    <w:p w14:paraId="33D1AC90">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p>
    <w:p w14:paraId="2307B9E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本采购包不接受联合体投标</w:t>
      </w:r>
    </w:p>
    <w:p w14:paraId="44E1EF8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合同分包：不允许合同分包</w:t>
      </w:r>
    </w:p>
    <w:p w14:paraId="4018925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合同履行期限：自合同签订之日起15天内完成。</w:t>
      </w:r>
      <w:r>
        <w:rPr>
          <w:rFonts w:hint="eastAsia" w:asciiTheme="minorEastAsia" w:hAnsiTheme="minorEastAsia" w:cstheme="minorEastAsia"/>
          <w:b w:val="0"/>
          <w:bCs/>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b w:val="0"/>
          <w:bCs/>
          <w:color w:val="000000" w:themeColor="text1"/>
          <w:sz w:val="21"/>
          <w:szCs w:val="21"/>
          <w:highlight w:val="none"/>
          <w:lang w:val="en-US" w:eastAsia="zh-CN"/>
          <w14:textFill>
            <w14:solidFill>
              <w14:schemeClr w14:val="tx1"/>
            </w14:solidFill>
          </w14:textFill>
        </w:rPr>
        <w:t>超出该服务期作无效投标处理</w:t>
      </w:r>
      <w:r>
        <w:rPr>
          <w:rFonts w:hint="eastAsia" w:asciiTheme="minorEastAsia" w:hAnsiTheme="minorEastAsia" w:cstheme="minorEastAsia"/>
          <w:b w:val="0"/>
          <w:bCs/>
          <w:color w:val="000000" w:themeColor="text1"/>
          <w:sz w:val="21"/>
          <w:szCs w:val="21"/>
          <w:highlight w:val="none"/>
          <w:lang w:eastAsia="zh-CN"/>
          <w14:textFill>
            <w14:solidFill>
              <w14:schemeClr w14:val="tx1"/>
            </w14:solidFill>
          </w14:textFill>
        </w:rPr>
        <w:t>）</w:t>
      </w:r>
    </w:p>
    <w:p w14:paraId="38EB562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二.投标人的资格要求</w:t>
      </w:r>
    </w:p>
    <w:p w14:paraId="24E94B2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1"/>
          <w:szCs w:val="21"/>
          <w:highlight w:val="none"/>
          <w14:textFill>
            <w14:solidFill>
              <w14:schemeClr w14:val="tx1"/>
            </w14:solidFill>
          </w14:textFill>
        </w:rPr>
        <w:t>1.投标人应具备《中华人民共和国政府采购法》第二十二条规定的条件，提供下列材料：</w:t>
      </w:r>
    </w:p>
    <w:p w14:paraId="0663033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w:t>
      </w:r>
    </w:p>
    <w:p w14:paraId="40E8450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p w14:paraId="714E082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w:t>
      </w:r>
    </w:p>
    <w:p w14:paraId="25C25B40">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纳税收和社会保障资金的相关材料或出具《承诺函》。如依法免税或不需要缴纳社会保障资金的，提供相应证明材料。</w:t>
      </w:r>
    </w:p>
    <w:p w14:paraId="064755A4">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w:t>
      </w:r>
    </w:p>
    <w:p w14:paraId="38FA419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5BF80B0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4EA72F3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20"/>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采购包1（阳江职业技术学院软件正版化服务采购）：本项目非专门面向中小企业。</w:t>
      </w:r>
    </w:p>
    <w:p w14:paraId="7AD766CE">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（阳江职业技术学院零信任设备采购）：本项目非专门面向中小企业。</w:t>
      </w:r>
    </w:p>
    <w:p w14:paraId="099BCB7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w:t>
      </w:r>
    </w:p>
    <w:p w14:paraId="197BA692">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6ED1781B">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p w14:paraId="61DC1287">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本项目不接受联合体投标。</w:t>
      </w:r>
    </w:p>
    <w:p w14:paraId="2447DDC6">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投标人须在招标代理机</w:t>
      </w:r>
      <w:r>
        <w:rPr>
          <w:rFonts w:hint="eastAsia" w:ascii="宋体" w:hAnsi="宋体" w:eastAsia="宋体" w:cs="宋体"/>
          <w:color w:val="000000" w:themeColor="text1"/>
          <w:sz w:val="21"/>
          <w:szCs w:val="21"/>
          <w:highlight w:val="none"/>
          <w:lang w:val="en-US" w:eastAsia="zh-CN"/>
          <w14:textFill>
            <w14:solidFill>
              <w14:schemeClr w14:val="tx1"/>
            </w14:solidFill>
          </w14:textFill>
        </w:rPr>
        <w:t>构登记并购买招标文件。</w:t>
      </w:r>
    </w:p>
    <w:p w14:paraId="3341464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97E909">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p w14:paraId="2EA9206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384CDC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p w14:paraId="2420A816">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本项目不接受联合体投标。</w:t>
      </w:r>
    </w:p>
    <w:p w14:paraId="3A53DDF9">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投标人须在招标代理机</w:t>
      </w:r>
      <w:r>
        <w:rPr>
          <w:rFonts w:hint="eastAsia" w:ascii="宋体" w:hAnsi="宋体" w:eastAsia="宋体" w:cs="宋体"/>
          <w:color w:val="000000" w:themeColor="text1"/>
          <w:sz w:val="21"/>
          <w:szCs w:val="21"/>
          <w:highlight w:val="none"/>
          <w:lang w:val="en-US" w:eastAsia="zh-CN"/>
          <w14:textFill>
            <w14:solidFill>
              <w14:schemeClr w14:val="tx1"/>
            </w14:solidFill>
          </w14:textFill>
        </w:rPr>
        <w:t>构登记并购买招标文件。</w:t>
      </w:r>
    </w:p>
    <w:p w14:paraId="358FF523">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p>
    <w:p w14:paraId="607921E9">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color w:val="000000" w:themeColor="text1"/>
          <w:szCs w:val="21"/>
          <w:highlight w:val="none"/>
          <w14:textFill>
            <w14:solidFill>
              <w14:schemeClr w14:val="tx1"/>
            </w14:solidFill>
          </w14:textFill>
        </w:rPr>
        <w:t>至</w:t>
      </w:r>
      <w:r>
        <w:rPr>
          <w:rFonts w:hint="eastAsia" w:ascii="宋体" w:hAnsi="宋体" w:cs="宋体"/>
          <w:color w:val="000000" w:themeColor="text1"/>
          <w:szCs w:val="21"/>
          <w:highlight w:val="none"/>
          <w:lang w:val="en-US" w:eastAsia="zh-CN"/>
          <w14:textFill>
            <w14:solidFill>
              <w14:schemeClr w14:val="tx1"/>
            </w14:solidFill>
          </w14:textFill>
        </w:rPr>
        <w:t xml:space="preserve"> 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59" w:leftChars="164" w:hanging="315"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eastAsia" w:ascii="宋体" w:hAnsi="宋体" w:eastAsia="宋体" w:cs="宋体"/>
            <w:color w:val="000000" w:themeColor="text1"/>
            <w:highlight w:val="none"/>
            <w14:textFill>
              <w14:solidFill>
                <w14:schemeClr w14:val="tx1"/>
              </w14:solidFill>
            </w14:textFill>
          </w:rPr>
          <w:id w:val="785397802"/>
          <w:lock w:val="sdtLocked"/>
          <w:placeholder>
            <w:docPart w:val="{3e06b179-ff53-448b-b9eb-3ff6c55a5c19}"/>
          </w:placeholder>
          <w:date w:fullDate="2026-06-05T00:00:00Z">
            <w:dateFormat w:val="yyyy'年'M'月'd'日'"/>
            <w:lid w:val="zh-CN"/>
            <w:storeMappedDataAs w:val="datetime"/>
            <w:calendar w:val="gregorian"/>
          </w:date>
        </w:sdtPr>
        <w:sdtEndPr>
          <w:rPr>
            <w:rFonts w:hint="eastAsia" w:ascii="宋体" w:hAnsi="宋体" w:eastAsia="宋体" w:cs="宋体"/>
            <w:color w:val="000000" w:themeColor="text1"/>
            <w:highlight w:val="none"/>
            <w14:textFill>
              <w14:solidFill>
                <w14:schemeClr w14:val="tx1"/>
              </w14:solidFill>
            </w14:textFill>
          </w:rPr>
        </w:sdtEndPr>
        <w:sdtContent>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color w:val="000000" w:themeColor="text1"/>
              <w:szCs w:val="21"/>
              <w:highlight w:val="none"/>
              <w14:textFill>
                <w14:solidFill>
                  <w14:schemeClr w14:val="tx1"/>
                </w14:solidFill>
              </w14:textFill>
            </w:rPr>
            <w:t>至</w:t>
          </w:r>
          <w:r>
            <w:rPr>
              <w:rFonts w:hint="eastAsia" w:ascii="宋体" w:hAnsi="宋体" w:cs="宋体"/>
              <w:color w:val="000000" w:themeColor="text1"/>
              <w:szCs w:val="21"/>
              <w:highlight w:val="none"/>
              <w:lang w:val="en-US" w:eastAsia="zh-CN"/>
              <w14:textFill>
                <w14:solidFill>
                  <w14:schemeClr w14:val="tx1"/>
                </w14:solidFill>
              </w14:textFill>
            </w:rPr>
            <w:t xml:space="preserve"> 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sdtContent>
      </w:sdt>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日  </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 (北京时间)。</w:t>
      </w:r>
      <w:bookmarkStart w:id="120" w:name="_GoBack"/>
      <w:bookmarkEnd w:id="120"/>
    </w:p>
    <w:p w14:paraId="36FAE56E">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 xml:space="preserve"> 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日 </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0(北京时间)。</w:t>
      </w:r>
    </w:p>
    <w:p w14:paraId="40DF13E0">
      <w:pPr>
        <w:pStyle w:val="20"/>
        <w:keepNext w:val="0"/>
        <w:keepLines w:val="0"/>
        <w:pageBreakBefore w:val="0"/>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六.本项目联系方式：</w:t>
      </w:r>
    </w:p>
    <w:p w14:paraId="4AF82EC1">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762BDF3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阳江职业技术学院</w:t>
      </w:r>
    </w:p>
    <w:p w14:paraId="532F923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地    址：</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阳江市江城区东山路213号</w:t>
      </w:r>
    </w:p>
    <w:p w14:paraId="5568386A">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 系 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徐可</w:t>
      </w:r>
    </w:p>
    <w:p w14:paraId="663F5CD1">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联系电话：0662-3351985</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p>
    <w:p w14:paraId="013F29A0">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0"/>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p>
    <w:p w14:paraId="44E9DBEA">
      <w:pPr>
        <w:keepNext w:val="0"/>
        <w:keepLines w:val="0"/>
        <w:pageBreakBefore w:val="0"/>
        <w:kinsoku/>
        <w:wordWrap/>
        <w:overflowPunct/>
        <w:topLinePunct w:val="0"/>
        <w:autoSpaceDE/>
        <w:autoSpaceDN/>
        <w:bidi w:val="0"/>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keepNext w:val="0"/>
        <w:keepLines w:val="0"/>
        <w:pageBreakBefore w:val="0"/>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37B13D95">
      <w:pPr>
        <w:pStyle w:val="20"/>
        <w:keepNext w:val="0"/>
        <w:keepLines w:val="0"/>
        <w:pageBreakBefore w:val="0"/>
        <w:kinsoku/>
        <w:wordWrap/>
        <w:overflowPunct/>
        <w:topLinePunct w:val="0"/>
        <w:autoSpaceDE/>
        <w:autoSpaceDN/>
        <w:bidi w:val="0"/>
        <w:adjustRightInd/>
        <w:snapToGrid/>
        <w:spacing w:line="360" w:lineRule="auto"/>
        <w:ind w:firstLine="480"/>
        <w:jc w:val="right"/>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p>
    <w:p w14:paraId="746705D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1" w:name="_Toc6943"/>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5AC9EE8C">
      <w:pPr>
        <w:pStyle w:val="20"/>
        <w:keepNext w:val="0"/>
        <w:keepLines w:val="0"/>
        <w:pageBreakBefore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b/>
          <w:bCs/>
          <w:color w:val="000000" w:themeColor="text1"/>
          <w:sz w:val="21"/>
          <w:szCs w:val="21"/>
          <w:highlight w:val="none"/>
          <w:lang w:val="en-US" w:eastAsia="zh-CN"/>
          <w14:textFill>
            <w14:solidFill>
              <w14:schemeClr w14:val="tx1"/>
            </w14:solidFill>
          </w14:textFill>
        </w:rPr>
        <w:t>项目概况</w:t>
      </w:r>
    </w:p>
    <w:p w14:paraId="50EE2AE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采购包1（阳江职业技术学院软件正版化服务采购）</w:t>
      </w:r>
    </w:p>
    <w:p w14:paraId="1A064F4B">
      <w:pP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一、采购内容</w:t>
      </w:r>
    </w:p>
    <w:tbl>
      <w:tblPr>
        <w:tblStyle w:val="15"/>
        <w:tblW w:w="44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5"/>
        <w:gridCol w:w="3598"/>
        <w:gridCol w:w="2166"/>
        <w:gridCol w:w="1707"/>
      </w:tblGrid>
      <w:tr w14:paraId="4231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80" w:type="pct"/>
            <w:vAlign w:val="center"/>
          </w:tcPr>
          <w:p w14:paraId="689F51E5">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2224" w:type="pct"/>
            <w:vAlign w:val="center"/>
          </w:tcPr>
          <w:p w14:paraId="457D0551">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产品名称</w:t>
            </w:r>
          </w:p>
        </w:tc>
        <w:tc>
          <w:tcPr>
            <w:tcW w:w="1339" w:type="pct"/>
            <w:vAlign w:val="center"/>
          </w:tcPr>
          <w:p w14:paraId="2BAEF527">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w:t>
            </w:r>
          </w:p>
        </w:tc>
        <w:tc>
          <w:tcPr>
            <w:tcW w:w="1055" w:type="pct"/>
            <w:vAlign w:val="center"/>
          </w:tcPr>
          <w:p w14:paraId="4FC3CD2F">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备注</w:t>
            </w:r>
          </w:p>
        </w:tc>
      </w:tr>
      <w:tr w14:paraId="3DE4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80" w:type="pct"/>
            <w:vAlign w:val="center"/>
          </w:tcPr>
          <w:p w14:paraId="69A2D12C">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2224" w:type="pct"/>
            <w:vAlign w:val="center"/>
          </w:tcPr>
          <w:p w14:paraId="30B244BE">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正版软件管理平台服务</w:t>
            </w:r>
          </w:p>
        </w:tc>
        <w:tc>
          <w:tcPr>
            <w:tcW w:w="1339" w:type="pct"/>
            <w:vAlign w:val="center"/>
          </w:tcPr>
          <w:p w14:paraId="059D99A0">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1项</w:t>
            </w:r>
          </w:p>
        </w:tc>
        <w:tc>
          <w:tcPr>
            <w:tcW w:w="1055" w:type="pct"/>
            <w:vAlign w:val="center"/>
          </w:tcPr>
          <w:p w14:paraId="37D81052">
            <w:pPr>
              <w:adjustRightInd w:val="0"/>
              <w:snapToGrid w:val="0"/>
              <w:jc w:val="center"/>
              <w:rPr>
                <w:rFonts w:ascii="宋体" w:hAnsi="宋体" w:cs="宋体"/>
                <w:color w:val="000000" w:themeColor="text1"/>
                <w:szCs w:val="21"/>
                <w:highlight w:val="none"/>
                <w14:textFill>
                  <w14:solidFill>
                    <w14:schemeClr w14:val="tx1"/>
                  </w14:solidFill>
                </w14:textFill>
              </w:rPr>
            </w:pPr>
          </w:p>
        </w:tc>
      </w:tr>
      <w:tr w14:paraId="5BB6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80" w:type="pct"/>
            <w:vAlign w:val="center"/>
          </w:tcPr>
          <w:p w14:paraId="47943F4C">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2224" w:type="pct"/>
            <w:vAlign w:val="center"/>
          </w:tcPr>
          <w:p w14:paraId="402777CB">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微软系列软件授权服务</w:t>
            </w:r>
          </w:p>
        </w:tc>
        <w:tc>
          <w:tcPr>
            <w:tcW w:w="1339" w:type="pct"/>
            <w:vAlign w:val="center"/>
          </w:tcPr>
          <w:p w14:paraId="023DFE20">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1项</w:t>
            </w:r>
          </w:p>
        </w:tc>
        <w:tc>
          <w:tcPr>
            <w:tcW w:w="1055" w:type="pct"/>
            <w:vAlign w:val="center"/>
          </w:tcPr>
          <w:p w14:paraId="2B35919A">
            <w:pPr>
              <w:adjustRightInd w:val="0"/>
              <w:snapToGrid w:val="0"/>
              <w:jc w:val="center"/>
              <w:rPr>
                <w:rFonts w:ascii="宋体" w:hAnsi="宋体" w:cs="宋体"/>
                <w:color w:val="000000" w:themeColor="text1"/>
                <w:szCs w:val="21"/>
                <w:highlight w:val="none"/>
                <w14:textFill>
                  <w14:solidFill>
                    <w14:schemeClr w14:val="tx1"/>
                  </w14:solidFill>
                </w14:textFill>
              </w:rPr>
            </w:pPr>
          </w:p>
        </w:tc>
      </w:tr>
      <w:tr w14:paraId="3979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80" w:type="pct"/>
            <w:vAlign w:val="center"/>
          </w:tcPr>
          <w:p w14:paraId="626318A6">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2224" w:type="pct"/>
            <w:vAlign w:val="center"/>
          </w:tcPr>
          <w:p w14:paraId="038E98E4">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金山WPS授权服务</w:t>
            </w:r>
          </w:p>
        </w:tc>
        <w:tc>
          <w:tcPr>
            <w:tcW w:w="1339" w:type="pct"/>
            <w:vAlign w:val="center"/>
          </w:tcPr>
          <w:p w14:paraId="1BFD4B72">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1项</w:t>
            </w:r>
          </w:p>
        </w:tc>
        <w:tc>
          <w:tcPr>
            <w:tcW w:w="1055" w:type="pct"/>
            <w:vAlign w:val="center"/>
          </w:tcPr>
          <w:p w14:paraId="589C266B">
            <w:pPr>
              <w:adjustRightInd w:val="0"/>
              <w:snapToGrid w:val="0"/>
              <w:jc w:val="center"/>
              <w:rPr>
                <w:rFonts w:ascii="宋体" w:hAnsi="宋体" w:cs="宋体"/>
                <w:color w:val="000000" w:themeColor="text1"/>
                <w:szCs w:val="21"/>
                <w:highlight w:val="none"/>
                <w14:textFill>
                  <w14:solidFill>
                    <w14:schemeClr w14:val="tx1"/>
                  </w14:solidFill>
                </w14:textFill>
              </w:rPr>
            </w:pPr>
          </w:p>
        </w:tc>
      </w:tr>
    </w:tbl>
    <w:p w14:paraId="4C81B556">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二、项目背景</w:t>
      </w:r>
    </w:p>
    <w:p w14:paraId="45EA29A7">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党的二十大报告中指出，完善科技创新体系，坚持创新在我国现代化建设全局中的核心地位。要求深化科技体制改革，加强知识产权法治保障，形成支持全面创新的基础制度。</w:t>
      </w:r>
    </w:p>
    <w:p w14:paraId="7914C0F9">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国务院办公厅、广东省人民政府及广东省教育厅均积极推进计算机软件正版化相关工作。</w:t>
      </w:r>
      <w:r>
        <w:rPr>
          <w:rFonts w:hint="eastAsia" w:ascii="宋体" w:hAnsi="宋体" w:cs="宋体"/>
          <w:color w:val="000000" w:themeColor="text1"/>
          <w:szCs w:val="21"/>
          <w:highlight w:val="none"/>
          <w14:textFill>
            <w14:solidFill>
              <w14:schemeClr w14:val="tx1"/>
            </w14:solidFill>
          </w14:textFill>
        </w:rPr>
        <w:t>2024年12月2日教育部印发《教育部 国家版权局关于做好教育系统软件正版化工作的通知》要求，2027年底前，教育系统软件正版化工作长效机制基本建立，教育系统软件正版率显著提升，全面使用正版操作系统软件、办公软件和杀毒软件，使用未经软件著作权人授权的软件情况基本杜绝。教育系统工作人员、教师、学生版权保护意识普遍增强，尊重和保护知识产权成为师生的自觉行动。2025年7月，广东省教育厅、广东省版权局也联合发出通知要求，2026年底，全省普通高校和省属中等职业学校正版软件合格率达到90%以上；2027年底前，全省教育系统软件正版化工作长效机制基本建设，全面使用正版操作系统软件、教育系统软件和杀毒软件，使用未经授权软件的情况基本杜绝。在阳江职业技术学院数字化转型持续推进中，软件正版化工作已被提上重要议事日程。结合学校实际，进行软件正版化场地授权服务，能够统筹规范管理采购校内所需正版软件产品，并依托正版软件管理平台开展运维，可有效降低正版软件管理及运维难度，保障软件系统与教学网络的安全稳定运行，为教师提供专业的技术支持与服务保障。</w:t>
      </w:r>
    </w:p>
    <w:p w14:paraId="4E7DA36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通过项目建设，推行国家校园软件正版化计划，符合学校信息化工作标准化、规范化要求，同时在师生中树立保护知识产权的意识；减少盗版软件使用带来的网络安全隐患问题。通过建设校园软件正版化服务平台，为全校师生提供软件正版化授权及服务，实现操作系统、办公软件等正版化。通过资源平台建设，为校园网内师生用户提供快速的客户端软件资源下载通道。</w:t>
      </w:r>
    </w:p>
    <w:p w14:paraId="718C986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Cs w:val="21"/>
          <w:highlight w:val="none"/>
          <w14:textFill>
            <w14:solidFill>
              <w14:schemeClr w14:val="tx1"/>
            </w14:solidFill>
          </w14:textFill>
        </w:rPr>
      </w:pPr>
    </w:p>
    <w:p w14:paraId="647805C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采购包</w:t>
      </w:r>
      <w:r>
        <w:rPr>
          <w:rFonts w:hint="eastAsia" w:asciiTheme="minorEastAsia" w:hAnsiTheme="minorEastAsia" w:cstheme="minorEastAsia"/>
          <w:b/>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（阳江职业技术学院零信任设备采购）</w:t>
      </w:r>
    </w:p>
    <w:p w14:paraId="09A3FACD">
      <w:pPr>
        <w:spacing w:line="360" w:lineRule="auto"/>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一、采购内容</w:t>
      </w:r>
    </w:p>
    <w:tbl>
      <w:tblPr>
        <w:tblStyle w:val="15"/>
        <w:tblW w:w="44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5"/>
        <w:gridCol w:w="3597"/>
        <w:gridCol w:w="2166"/>
        <w:gridCol w:w="1706"/>
      </w:tblGrid>
      <w:tr w14:paraId="660B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80" w:type="pct"/>
            <w:vAlign w:val="center"/>
          </w:tcPr>
          <w:p w14:paraId="0B03B7BD">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2224" w:type="pct"/>
            <w:vAlign w:val="center"/>
          </w:tcPr>
          <w:p w14:paraId="04E965D0">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产品名称</w:t>
            </w:r>
          </w:p>
        </w:tc>
        <w:tc>
          <w:tcPr>
            <w:tcW w:w="1339" w:type="pct"/>
            <w:vAlign w:val="center"/>
          </w:tcPr>
          <w:p w14:paraId="0479DE59">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w:t>
            </w:r>
          </w:p>
        </w:tc>
        <w:tc>
          <w:tcPr>
            <w:tcW w:w="1055" w:type="pct"/>
            <w:vAlign w:val="center"/>
          </w:tcPr>
          <w:p w14:paraId="32A1B558">
            <w:pPr>
              <w:adjustRightInd w:val="0"/>
              <w:snapToGrid w:val="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备注</w:t>
            </w:r>
          </w:p>
        </w:tc>
      </w:tr>
      <w:tr w14:paraId="0AD6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0" w:hRule="atLeast"/>
          <w:jc w:val="center"/>
        </w:trPr>
        <w:tc>
          <w:tcPr>
            <w:tcW w:w="380" w:type="pct"/>
            <w:vAlign w:val="center"/>
          </w:tcPr>
          <w:p w14:paraId="2B804BE5">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2224" w:type="pct"/>
            <w:vAlign w:val="center"/>
          </w:tcPr>
          <w:p w14:paraId="603DB535">
            <w:pPr>
              <w:adjustRightInd w:val="0"/>
              <w:snapToGrid w:val="0"/>
              <w:jc w:val="center"/>
              <w:rPr>
                <w:rFonts w:ascii="宋体" w:hAnsi="宋体" w:cs="宋体"/>
                <w:color w:val="000000" w:themeColor="text1"/>
                <w:szCs w:val="21"/>
                <w:highlight w:val="none"/>
                <w14:textFill>
                  <w14:solidFill>
                    <w14:schemeClr w14:val="tx1"/>
                  </w14:solidFill>
                </w14:textFill>
              </w:rPr>
            </w:pPr>
            <w:r>
              <w:rPr>
                <w:rFonts w:cs="仿宋_GB2312" w:asciiTheme="minorEastAsia" w:hAnsiTheme="minorEastAsia"/>
                <w:color w:val="000000" w:themeColor="text1"/>
                <w:szCs w:val="21"/>
                <w:highlight w:val="none"/>
                <w14:textFill>
                  <w14:solidFill>
                    <w14:schemeClr w14:val="tx1"/>
                  </w14:solidFill>
                </w14:textFill>
              </w:rPr>
              <w:t>零信任设备</w:t>
            </w:r>
          </w:p>
        </w:tc>
        <w:tc>
          <w:tcPr>
            <w:tcW w:w="1339" w:type="pct"/>
            <w:vAlign w:val="center"/>
          </w:tcPr>
          <w:p w14:paraId="776A19FB">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1套</w:t>
            </w:r>
          </w:p>
        </w:tc>
        <w:tc>
          <w:tcPr>
            <w:tcW w:w="1055" w:type="pct"/>
            <w:vAlign w:val="center"/>
          </w:tcPr>
          <w:p w14:paraId="1FB0DF42">
            <w:pPr>
              <w:adjustRightInd w:val="0"/>
              <w:snapToGrid w:val="0"/>
              <w:jc w:val="center"/>
              <w:rPr>
                <w:rFonts w:ascii="宋体" w:hAnsi="宋体" w:cs="宋体"/>
                <w:color w:val="000000" w:themeColor="text1"/>
                <w:szCs w:val="21"/>
                <w:highlight w:val="none"/>
                <w14:textFill>
                  <w14:solidFill>
                    <w14:schemeClr w14:val="tx1"/>
                  </w14:solidFill>
                </w14:textFill>
              </w:rPr>
            </w:pPr>
          </w:p>
        </w:tc>
      </w:tr>
    </w:tbl>
    <w:p w14:paraId="284A1AEC">
      <w:pPr>
        <w:spacing w:line="360" w:lineRule="auto"/>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二、项目概况</w:t>
      </w:r>
    </w:p>
    <w:p w14:paraId="5A202407">
      <w:pPr>
        <w:spacing w:line="360" w:lineRule="auto"/>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随着信息化建设不断深入，数字校园建设持续推进，阳江职业技术学院已经建设了丰富的数字化系统，信息系统移动化给学校带来了办公效率的提升，但是多样化的移动接入方式及复杂多样的网络环境也同样带来了诸多挑战。为了进一步提升学校网络安全防护水平，需购置零信任安全接入设备。</w:t>
      </w:r>
    </w:p>
    <w:p w14:paraId="79176A59">
      <w:pPr>
        <w:pStyle w:val="20"/>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项目建设完成后，面向全校师生构建起以零信任理念架构为基础，以“基于身份为中心”为核心建设零信任统一安全接入平台，实现全方位立体的业务安全访问体系。可为学校提供身份验证与访问控制、动态访问控制、网络分段与微分隔离、设备与终端安全、数据安全与隐私保护、持续监控与威胁检测等安全服务，并可与统一认证平台对接，实现无感知单点登录访问。</w:t>
      </w:r>
    </w:p>
    <w:p w14:paraId="01CC0C7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B21E2B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采购包1（阳江职业技术学院软件正版化服务采购）</w:t>
      </w:r>
    </w:p>
    <w:p w14:paraId="1E3A5E6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75"/>
        <w:gridCol w:w="7296"/>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775" w:type="dxa"/>
            <w:vAlign w:val="center"/>
          </w:tcPr>
          <w:p w14:paraId="2CF4362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7296" w:type="dxa"/>
            <w:vAlign w:val="top"/>
          </w:tcPr>
          <w:p w14:paraId="0FD68CEA">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合同签订后15个工作日内完成实施项目的供货与实施。（超出该</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w:t>
            </w:r>
            <w:r>
              <w:rPr>
                <w:rFonts w:hint="eastAsia" w:ascii="宋体" w:hAnsi="宋体" w:eastAsia="宋体" w:cs="宋体"/>
                <w:color w:val="000000" w:themeColor="text1"/>
                <w:sz w:val="21"/>
                <w:szCs w:val="21"/>
                <w:highlight w:val="none"/>
                <w:lang w:eastAsia="zh-CN"/>
                <w14:textFill>
                  <w14:solidFill>
                    <w14:schemeClr w14:val="tx1"/>
                  </w14:solidFill>
                </w14:textFill>
              </w:rPr>
              <w:t>期作无效投标处理）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41FEE26B">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7296" w:type="dxa"/>
            <w:vAlign w:val="top"/>
          </w:tcPr>
          <w:p w14:paraId="191200CA">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阳江职业技术学院</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5D615A9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付款方式</w:t>
            </w:r>
          </w:p>
        </w:tc>
        <w:tc>
          <w:tcPr>
            <w:tcW w:w="7296" w:type="dxa"/>
            <w:vAlign w:val="top"/>
          </w:tcPr>
          <w:p w14:paraId="7C3A5B95">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项目按年度分两期支付。本年度支付第一期，即合同签署后15个工作日内，采购人向中标供应商支付合同总额的50%；中标供应商正常提供所有服务内容涉及的正版化业务，并通过验收后，下一年度采购人向中标供应商支付合同总额的50%。</w:t>
            </w:r>
          </w:p>
          <w:p w14:paraId="46D76ABB">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本项目是财政专项资金支持。付款时间为采购人根据财政部门资金安排通知，向财政部门提出支付申请的时间（不含财政部门审查时间和支付时间），乙方不得以资金付款期限已过为由向甲方索赔或支付违约金。</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124C4BB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7296" w:type="dxa"/>
            <w:vAlign w:val="top"/>
          </w:tcPr>
          <w:p w14:paraId="321C6542">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65527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26E84CA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投标报价包括</w:t>
            </w:r>
          </w:p>
        </w:tc>
        <w:tc>
          <w:tcPr>
            <w:tcW w:w="7296" w:type="dxa"/>
            <w:vAlign w:val="top"/>
          </w:tcPr>
          <w:p w14:paraId="0E97871D">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t>报价包括完成本项目的一切费用。</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775" w:type="dxa"/>
            <w:vAlign w:val="center"/>
          </w:tcPr>
          <w:p w14:paraId="706FC03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7296" w:type="dxa"/>
            <w:vAlign w:val="top"/>
          </w:tcPr>
          <w:p w14:paraId="464463F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采购合同由中标供应商凭《中标通知书》与采购人双方签订，签订时间为《中标通知书》发出之日起25个日历日内。</w:t>
            </w:r>
          </w:p>
        </w:tc>
      </w:tr>
      <w:tr w14:paraId="1038B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75" w:type="dxa"/>
            <w:vAlign w:val="center"/>
          </w:tcPr>
          <w:p w14:paraId="7A79068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产品安装要求</w:t>
            </w:r>
          </w:p>
        </w:tc>
        <w:tc>
          <w:tcPr>
            <w:tcW w:w="7296" w:type="dxa"/>
            <w:vAlign w:val="center"/>
          </w:tcPr>
          <w:p w14:paraId="2D521FE5">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1.投标人需向采购人提供本项目采购的所有软件的安装和维护服务的全部内容。</w:t>
            </w:r>
          </w:p>
          <w:p w14:paraId="121284CD">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2.要求投标人需具有良好信誉和相关实力的技术队伍。</w:t>
            </w:r>
          </w:p>
          <w:p w14:paraId="31E03905">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3.安装调试在合同签订后3个工作日内开始进行。</w:t>
            </w:r>
          </w:p>
          <w:p w14:paraId="29C4B0A0">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4.所有设备和服务均需由中标供应商送货上门并安装调试。采购人不再支付任何费用。</w:t>
            </w:r>
          </w:p>
          <w:p w14:paraId="6E7D9102">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5.自系统安装工作一开始，投标人需允许采购人的工作人员一起参与系统的安装、测试、诊断及解决遇到的问题等各项工作。</w:t>
            </w:r>
          </w:p>
        </w:tc>
      </w:tr>
      <w:tr w14:paraId="60A1EE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75" w:type="dxa"/>
            <w:vAlign w:val="center"/>
          </w:tcPr>
          <w:p w14:paraId="2CF625C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验收要求</w:t>
            </w:r>
          </w:p>
        </w:tc>
        <w:tc>
          <w:tcPr>
            <w:tcW w:w="7296" w:type="dxa"/>
            <w:vAlign w:val="center"/>
          </w:tcPr>
          <w:p w14:paraId="7E2BA8F7">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1.采购人按照采购合同规定的技术、服务、安全标准组织对中标供应商履约情况进行验收，并出具合格与否情况的验收书。</w:t>
            </w:r>
          </w:p>
          <w:p w14:paraId="1ABF4DDF">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2.采购人组成验收小组，按照采购合同规定的技术、服务、安全标准组织对中标供应商履约情况进行验收。</w:t>
            </w:r>
          </w:p>
          <w:p w14:paraId="0DF5EB18">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3.当出现不合格产品时，中标供应商要无条件更换合格产品。除采购人认可,否则不接受任何形式的降格处理。</w:t>
            </w:r>
          </w:p>
        </w:tc>
      </w:tr>
      <w:tr w14:paraId="4CC6D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75" w:type="dxa"/>
            <w:vAlign w:val="center"/>
          </w:tcPr>
          <w:p w14:paraId="4B53CD5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人员要求</w:t>
            </w:r>
          </w:p>
        </w:tc>
        <w:tc>
          <w:tcPr>
            <w:tcW w:w="7296" w:type="dxa"/>
            <w:vAlign w:val="center"/>
          </w:tcPr>
          <w:p w14:paraId="027EB777">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1.项目经理：至少1名。</w:t>
            </w:r>
          </w:p>
          <w:p w14:paraId="45529B72">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2.项目成员：项目服务人员在9人或以上。</w:t>
            </w:r>
          </w:p>
        </w:tc>
      </w:tr>
      <w:tr w14:paraId="3974D1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75" w:type="dxa"/>
            <w:vAlign w:val="center"/>
          </w:tcPr>
          <w:p w14:paraId="43624E4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售后服务要求</w:t>
            </w:r>
          </w:p>
        </w:tc>
        <w:tc>
          <w:tcPr>
            <w:tcW w:w="7296" w:type="dxa"/>
            <w:vAlign w:val="center"/>
          </w:tcPr>
          <w:p w14:paraId="20854839">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1.所有服务均按照招标文件中的规格型号提供，如有不符合合同要求的，客户有权提出更改。</w:t>
            </w:r>
          </w:p>
          <w:p w14:paraId="7BB423B0">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2.服务期内，软件管理平台维护均为免费。</w:t>
            </w:r>
          </w:p>
          <w:p w14:paraId="738C2109">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3.在服务期内，针对学校所有计算机使用的Windows操作系统提供版本升级服务（使用的版本号由学校计算机用户自主决定），并到现场安装调试。</w:t>
            </w:r>
          </w:p>
          <w:p w14:paraId="3DAB3A55">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4.提供windows操作系统方式为：MAK密钥激活以及KMS激活。</w:t>
            </w:r>
          </w:p>
        </w:tc>
      </w:tr>
      <w:tr w14:paraId="27FBEA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775" w:type="dxa"/>
            <w:vAlign w:val="center"/>
          </w:tcPr>
          <w:p w14:paraId="5E2F32A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培训要求</w:t>
            </w:r>
          </w:p>
        </w:tc>
        <w:tc>
          <w:tcPr>
            <w:tcW w:w="7296" w:type="dxa"/>
            <w:vAlign w:val="center"/>
          </w:tcPr>
          <w:p w14:paraId="244F272C">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1.培训授课人需是经过厂家认证工程师、技术员等。</w:t>
            </w:r>
          </w:p>
          <w:p w14:paraId="682B7A75">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2.投标人需为被培训人员提供培训用文字资料和讲义等。所有的资料需是中文书写。</w:t>
            </w:r>
          </w:p>
          <w:p w14:paraId="0785E620">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3.培训内容：使用技巧培训，管理平台使用培训；培训3名以上网络管理人员，对系统安装部署及激活操作进行操作培训。</w:t>
            </w:r>
          </w:p>
          <w:p w14:paraId="7B559EB0">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4.所有培训费用（含培训教材费）及各项支出计入投标总报价，采购人不再支付任何费用。</w:t>
            </w:r>
          </w:p>
        </w:tc>
      </w:tr>
    </w:tbl>
    <w:p w14:paraId="0F20AD8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5"/>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06"/>
        <w:gridCol w:w="659"/>
        <w:gridCol w:w="1182"/>
        <w:gridCol w:w="1295"/>
        <w:gridCol w:w="812"/>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7D7DC7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06" w:type="dxa"/>
            <w:vAlign w:val="center"/>
          </w:tcPr>
          <w:p w14:paraId="026703E6">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59" w:type="dxa"/>
            <w:vAlign w:val="center"/>
          </w:tcPr>
          <w:p w14:paraId="4AFCD6CF">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182" w:type="dxa"/>
            <w:vAlign w:val="center"/>
          </w:tcPr>
          <w:p w14:paraId="1D752AE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95" w:type="dxa"/>
            <w:vAlign w:val="center"/>
          </w:tcPr>
          <w:p w14:paraId="5E02BBC6">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812" w:type="dxa"/>
            <w:vAlign w:val="center"/>
          </w:tcPr>
          <w:p w14:paraId="1FAD587A">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44" w:type="dxa"/>
            <w:vAlign w:val="center"/>
          </w:tcPr>
          <w:p w14:paraId="7B9D5CB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4AA6B17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vAlign w:val="center"/>
          </w:tcPr>
          <w:p w14:paraId="2D0610B2">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其他信息技术服务</w:t>
            </w:r>
          </w:p>
        </w:tc>
        <w:tc>
          <w:tcPr>
            <w:tcW w:w="1281" w:type="dxa"/>
            <w:vAlign w:val="center"/>
          </w:tcPr>
          <w:p w14:paraId="714E3604">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阳江职业技术学院软件正版化服务采购</w:t>
            </w:r>
          </w:p>
        </w:tc>
        <w:tc>
          <w:tcPr>
            <w:tcW w:w="706" w:type="dxa"/>
            <w:vAlign w:val="center"/>
          </w:tcPr>
          <w:p w14:paraId="1C42777D">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项</w:t>
            </w:r>
          </w:p>
        </w:tc>
        <w:tc>
          <w:tcPr>
            <w:tcW w:w="659" w:type="dxa"/>
            <w:vAlign w:val="center"/>
          </w:tcPr>
          <w:p w14:paraId="6C384655">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1.00</w:t>
            </w:r>
          </w:p>
        </w:tc>
        <w:tc>
          <w:tcPr>
            <w:tcW w:w="1182" w:type="dxa"/>
            <w:vAlign w:val="center"/>
          </w:tcPr>
          <w:p w14:paraId="4B7F3960">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60</w:t>
            </w:r>
            <w:r>
              <w:rPr>
                <w:rFonts w:hint="eastAsia" w:ascii="宋体" w:hAnsi="宋体" w:eastAsia="宋体" w:cs="宋体"/>
                <w:color w:val="000000" w:themeColor="text1"/>
                <w:highlight w:val="none"/>
                <w14:textFill>
                  <w14:solidFill>
                    <w14:schemeClr w14:val="tx1"/>
                  </w14:solidFill>
                </w14:textFill>
              </w:rPr>
              <w:t>000</w:t>
            </w:r>
            <w:r>
              <w:rPr>
                <w:rFonts w:hint="eastAsia" w:ascii="宋体" w:hAnsi="宋体" w:eastAsia="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.00</w:t>
            </w:r>
          </w:p>
        </w:tc>
        <w:tc>
          <w:tcPr>
            <w:tcW w:w="1295" w:type="dxa"/>
            <w:vAlign w:val="center"/>
          </w:tcPr>
          <w:p w14:paraId="150D1B58">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60</w:t>
            </w:r>
            <w:r>
              <w:rPr>
                <w:rFonts w:hint="eastAsia" w:ascii="宋体" w:hAnsi="宋体" w:eastAsia="宋体" w:cs="宋体"/>
                <w:color w:val="000000" w:themeColor="text1"/>
                <w:highlight w:val="none"/>
                <w14:textFill>
                  <w14:solidFill>
                    <w14:schemeClr w14:val="tx1"/>
                  </w14:solidFill>
                </w14:textFill>
              </w:rPr>
              <w:t>000</w:t>
            </w:r>
            <w:r>
              <w:rPr>
                <w:rFonts w:hint="eastAsia" w:ascii="宋体" w:hAnsi="宋体" w:eastAsia="宋体" w:cs="宋体"/>
                <w:color w:val="000000" w:themeColor="text1"/>
                <w:highlight w:val="none"/>
                <w:lang w:val="en-US" w:eastAsia="zh-CN"/>
                <w14:textFill>
                  <w14:solidFill>
                    <w14:schemeClr w14:val="tx1"/>
                  </w14:solidFill>
                </w14:textFill>
              </w:rPr>
              <w:t>0</w:t>
            </w:r>
            <w:r>
              <w:rPr>
                <w:rFonts w:hint="eastAsia" w:ascii="宋体" w:hAnsi="宋体" w:eastAsia="宋体" w:cs="宋体"/>
                <w:color w:val="000000" w:themeColor="text1"/>
                <w:highlight w:val="none"/>
                <w14:textFill>
                  <w14:solidFill>
                    <w14:schemeClr w14:val="tx1"/>
                  </w14:solidFill>
                </w14:textFill>
              </w:rPr>
              <w:t>.00</w:t>
            </w:r>
          </w:p>
        </w:tc>
        <w:tc>
          <w:tcPr>
            <w:tcW w:w="812" w:type="dxa"/>
            <w:shd w:val="clear" w:color="auto" w:fill="auto"/>
            <w:vAlign w:val="center"/>
          </w:tcPr>
          <w:p w14:paraId="28B1DD8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"https://baike.baidu.com/item/%E8%BD%AF%E4%BB%B6%E5%92%8C%E4%BF%A1%E6%81%AF%E6%8A%80%E6%9C%AF%E6%9C%8D%E5%8A%A1%E4%B8%9A/60200450?fromModule=lemma_inlink" \t "https://baike.baidu.com/item/%E4%B8%AD%E5%B0%8F%E4%BC%81%E4%B8%9A%E5%88%92%E5%9E%8B%E6%A0%87%E5%87%86%E8%A7%84%E5%AE%9A/_blank"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default" w:asciiTheme="minorEastAsia" w:hAnsiTheme="minorEastAsia" w:eastAsiaTheme="minorEastAsia" w:cstheme="minorEastAsia"/>
                <w:color w:val="000000" w:themeColor="text1"/>
                <w:sz w:val="21"/>
                <w:szCs w:val="21"/>
                <w:highlight w:val="none"/>
                <w14:textFill>
                  <w14:solidFill>
                    <w14:schemeClr w14:val="tx1"/>
                  </w14:solidFill>
                </w14:textFill>
              </w:rPr>
              <w:t>软件和信息技术服务业</w:t>
            </w:r>
            <w:r>
              <w:rPr>
                <w:rFonts w:hint="default"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c>
          <w:tcPr>
            <w:tcW w:w="794" w:type="dxa"/>
            <w:shd w:val="clear" w:color="auto" w:fill="auto"/>
            <w:vAlign w:val="center"/>
          </w:tcPr>
          <w:p w14:paraId="6B007D0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008CA4E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275E1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1DC641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：阳江职业技术学院软件正版化服务采购</w:t>
      </w:r>
    </w:p>
    <w:tbl>
      <w:tblPr>
        <w:tblStyle w:val="15"/>
        <w:tblW w:w="94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93"/>
        <w:gridCol w:w="669"/>
        <w:gridCol w:w="7638"/>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93" w:type="dxa"/>
            <w:vAlign w:val="top"/>
          </w:tcPr>
          <w:p w14:paraId="2E9D6568">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669" w:type="dxa"/>
            <w:vAlign w:val="top"/>
          </w:tcPr>
          <w:p w14:paraId="3790369B">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638" w:type="dxa"/>
            <w:vAlign w:val="top"/>
          </w:tcPr>
          <w:p w14:paraId="42FF3933">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84" w:hRule="atLeast"/>
          <w:jc w:val="center"/>
        </w:trPr>
        <w:tc>
          <w:tcPr>
            <w:tcW w:w="1093" w:type="dxa"/>
            <w:vAlign w:val="top"/>
          </w:tcPr>
          <w:p w14:paraId="7BDFDCF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69" w:type="dxa"/>
            <w:vAlign w:val="center"/>
          </w:tcPr>
          <w:p w14:paraId="2DBC09B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7638" w:type="dxa"/>
            <w:vAlign w:val="top"/>
          </w:tcPr>
          <w:p w14:paraId="4D512D5E">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（一）服务清单</w:t>
            </w:r>
          </w:p>
          <w:tbl>
            <w:tblPr>
              <w:tblStyle w:val="15"/>
              <w:tblW w:w="7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939"/>
              <w:gridCol w:w="5841"/>
            </w:tblGrid>
            <w:tr w14:paraId="6F186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90" w:type="dxa"/>
                  <w:tcMar>
                    <w:top w:w="0" w:type="dxa"/>
                    <w:left w:w="105" w:type="dxa"/>
                    <w:bottom w:w="0" w:type="dxa"/>
                    <w:right w:w="105" w:type="dxa"/>
                  </w:tcMar>
                  <w:vAlign w:val="center"/>
                </w:tcPr>
                <w:p w14:paraId="3806C2F9">
                  <w:pPr>
                    <w:pStyle w:val="20"/>
                    <w:spacing w:line="320" w:lineRule="exact"/>
                    <w:jc w:val="center"/>
                    <w:rPr>
                      <w:rFonts w:hint="default" w:ascii="宋体" w:hAnsi="宋体" w:eastAsia="宋体" w:cs="宋体"/>
                      <w:b/>
                      <w:color w:val="000000" w:themeColor="text1"/>
                      <w:sz w:val="21"/>
                      <w:szCs w:val="21"/>
                      <w:highlight w:val="none"/>
                      <w14:textFill>
                        <w14:solidFill>
                          <w14:schemeClr w14:val="tx1"/>
                        </w14:solidFill>
                      </w14:textFill>
                    </w:rPr>
                  </w:pPr>
                  <w:r>
                    <w:rPr>
                      <w:rFonts w:ascii="宋体" w:hAnsi="宋体" w:eastAsia="宋体" w:cs="宋体"/>
                      <w:b/>
                      <w:color w:val="000000" w:themeColor="text1"/>
                      <w:sz w:val="21"/>
                      <w:szCs w:val="21"/>
                      <w:highlight w:val="none"/>
                      <w14:textFill>
                        <w14:solidFill>
                          <w14:schemeClr w14:val="tx1"/>
                        </w14:solidFill>
                      </w14:textFill>
                    </w:rPr>
                    <w:t>序号</w:t>
                  </w:r>
                </w:p>
              </w:tc>
              <w:tc>
                <w:tcPr>
                  <w:tcW w:w="939" w:type="dxa"/>
                  <w:tcMar>
                    <w:top w:w="0" w:type="dxa"/>
                    <w:left w:w="105" w:type="dxa"/>
                    <w:bottom w:w="0" w:type="dxa"/>
                    <w:right w:w="105" w:type="dxa"/>
                  </w:tcMar>
                  <w:vAlign w:val="center"/>
                </w:tcPr>
                <w:p w14:paraId="5F524CC0">
                  <w:pPr>
                    <w:pStyle w:val="20"/>
                    <w:spacing w:line="320" w:lineRule="exact"/>
                    <w:jc w:val="center"/>
                    <w:rPr>
                      <w:rFonts w:hint="default" w:ascii="宋体" w:hAnsi="宋体" w:eastAsia="宋体" w:cs="宋体"/>
                      <w:b/>
                      <w:color w:val="000000" w:themeColor="text1"/>
                      <w:sz w:val="21"/>
                      <w:szCs w:val="21"/>
                      <w:highlight w:val="none"/>
                      <w14:textFill>
                        <w14:solidFill>
                          <w14:schemeClr w14:val="tx1"/>
                        </w14:solidFill>
                      </w14:textFill>
                    </w:rPr>
                  </w:pPr>
                  <w:r>
                    <w:rPr>
                      <w:rFonts w:ascii="宋体" w:hAnsi="宋体" w:eastAsia="宋体" w:cs="宋体"/>
                      <w:b/>
                      <w:color w:val="000000" w:themeColor="text1"/>
                      <w:sz w:val="21"/>
                      <w:szCs w:val="21"/>
                      <w:highlight w:val="none"/>
                      <w14:textFill>
                        <w14:solidFill>
                          <w14:schemeClr w14:val="tx1"/>
                        </w14:solidFill>
                      </w14:textFill>
                    </w:rPr>
                    <w:t>名称</w:t>
                  </w:r>
                </w:p>
              </w:tc>
              <w:tc>
                <w:tcPr>
                  <w:tcW w:w="5841" w:type="dxa"/>
                  <w:tcMar>
                    <w:top w:w="0" w:type="dxa"/>
                    <w:left w:w="105" w:type="dxa"/>
                    <w:bottom w:w="0" w:type="dxa"/>
                    <w:right w:w="105" w:type="dxa"/>
                  </w:tcMar>
                  <w:vAlign w:val="center"/>
                </w:tcPr>
                <w:p w14:paraId="2C6F03C5">
                  <w:pPr>
                    <w:pStyle w:val="20"/>
                    <w:spacing w:line="320" w:lineRule="exact"/>
                    <w:jc w:val="center"/>
                    <w:rPr>
                      <w:rFonts w:hint="default" w:ascii="宋体" w:hAnsi="宋体" w:eastAsia="宋体" w:cs="宋体"/>
                      <w:b/>
                      <w:color w:val="000000" w:themeColor="text1"/>
                      <w:sz w:val="21"/>
                      <w:szCs w:val="21"/>
                      <w:highlight w:val="none"/>
                      <w14:textFill>
                        <w14:solidFill>
                          <w14:schemeClr w14:val="tx1"/>
                        </w14:solidFill>
                      </w14:textFill>
                    </w:rPr>
                  </w:pPr>
                  <w:r>
                    <w:rPr>
                      <w:rFonts w:ascii="宋体" w:hAnsi="宋体" w:eastAsia="宋体" w:cs="宋体"/>
                      <w:b/>
                      <w:color w:val="000000" w:themeColor="text1"/>
                      <w:sz w:val="21"/>
                      <w:szCs w:val="21"/>
                      <w:highlight w:val="none"/>
                      <w14:textFill>
                        <w14:solidFill>
                          <w14:schemeClr w14:val="tx1"/>
                        </w14:solidFill>
                      </w14:textFill>
                    </w:rPr>
                    <w:t>服务要求描述</w:t>
                  </w:r>
                </w:p>
              </w:tc>
            </w:tr>
            <w:tr w14:paraId="30A9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tcMar>
                    <w:top w:w="0" w:type="dxa"/>
                    <w:left w:w="105" w:type="dxa"/>
                    <w:bottom w:w="0" w:type="dxa"/>
                    <w:right w:w="105" w:type="dxa"/>
                  </w:tcMar>
                  <w:vAlign w:val="center"/>
                </w:tcPr>
                <w:p w14:paraId="6B6308C9">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p>
              </w:tc>
              <w:tc>
                <w:tcPr>
                  <w:tcW w:w="939" w:type="dxa"/>
                  <w:tcMar>
                    <w:top w:w="0" w:type="dxa"/>
                    <w:left w:w="105" w:type="dxa"/>
                    <w:bottom w:w="0" w:type="dxa"/>
                    <w:right w:w="105" w:type="dxa"/>
                  </w:tcMar>
                  <w:vAlign w:val="center"/>
                </w:tcPr>
                <w:p w14:paraId="78C9CD9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正版软件管理平台服务</w:t>
                  </w:r>
                </w:p>
              </w:tc>
              <w:tc>
                <w:tcPr>
                  <w:tcW w:w="5841" w:type="dxa"/>
                  <w:tcMar>
                    <w:top w:w="0" w:type="dxa"/>
                    <w:left w:w="105" w:type="dxa"/>
                    <w:bottom w:w="0" w:type="dxa"/>
                    <w:right w:w="105" w:type="dxa"/>
                  </w:tcMar>
                </w:tcPr>
                <w:p w14:paraId="277D0572">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包含软件资产管理巡检服务、正版软件授权认证，软件版本升降级、管理部门激活次数分配、用户激活次数分配、操作文档管理、软件管理、统计报表、正版软件检测数据查看和导出数据、日志查看等服务。所提供软件版本与原厂商一致。提供服务范围为校内教职工及学生。</w:t>
                  </w:r>
                </w:p>
              </w:tc>
            </w:tr>
            <w:tr w14:paraId="3480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Merge w:val="restart"/>
                  <w:tcMar>
                    <w:top w:w="0" w:type="dxa"/>
                    <w:left w:w="105" w:type="dxa"/>
                    <w:bottom w:w="0" w:type="dxa"/>
                    <w:right w:w="105" w:type="dxa"/>
                  </w:tcMar>
                  <w:vAlign w:val="center"/>
                </w:tcPr>
                <w:p w14:paraId="674372C4">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p>
              </w:tc>
              <w:tc>
                <w:tcPr>
                  <w:tcW w:w="939" w:type="dxa"/>
                  <w:vMerge w:val="restart"/>
                  <w:tcMar>
                    <w:top w:w="0" w:type="dxa"/>
                    <w:left w:w="105" w:type="dxa"/>
                    <w:bottom w:w="0" w:type="dxa"/>
                    <w:right w:w="105" w:type="dxa"/>
                  </w:tcMar>
                  <w:vAlign w:val="center"/>
                </w:tcPr>
                <w:p w14:paraId="0DD529F7">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微软正版软件授权服务</w:t>
                  </w:r>
                </w:p>
              </w:tc>
              <w:tc>
                <w:tcPr>
                  <w:tcW w:w="5841" w:type="dxa"/>
                  <w:tcMar>
                    <w:top w:w="0" w:type="dxa"/>
                    <w:left w:w="105" w:type="dxa"/>
                    <w:bottom w:w="0" w:type="dxa"/>
                    <w:right w:w="105" w:type="dxa"/>
                  </w:tcMar>
                </w:tcPr>
                <w:p w14:paraId="44CC20D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Windows 8.1 PRO、Windows 10 PRO、Windows 11 PRO，适用于采购人办公室、教室、实验室和图书馆等场所的计算机，包括教职工电脑和笔记本。</w:t>
                  </w:r>
                </w:p>
              </w:tc>
            </w:tr>
            <w:tr w14:paraId="78414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Merge w:val="continue"/>
                  <w:vAlign w:val="center"/>
                </w:tcPr>
                <w:p w14:paraId="6F1CC6DF">
                  <w:pPr>
                    <w:spacing w:line="320" w:lineRule="exact"/>
                    <w:jc w:val="center"/>
                    <w:rPr>
                      <w:rFonts w:ascii="宋体" w:hAnsi="宋体" w:cs="宋体"/>
                      <w:color w:val="000000" w:themeColor="text1"/>
                      <w:szCs w:val="21"/>
                      <w:highlight w:val="none"/>
                      <w14:textFill>
                        <w14:solidFill>
                          <w14:schemeClr w14:val="tx1"/>
                        </w14:solidFill>
                      </w14:textFill>
                    </w:rPr>
                  </w:pPr>
                </w:p>
              </w:tc>
              <w:tc>
                <w:tcPr>
                  <w:tcW w:w="939" w:type="dxa"/>
                  <w:vMerge w:val="continue"/>
                  <w:vAlign w:val="center"/>
                </w:tcPr>
                <w:p w14:paraId="412F8D82">
                  <w:pPr>
                    <w:spacing w:line="320" w:lineRule="exact"/>
                    <w:jc w:val="center"/>
                    <w:rPr>
                      <w:rFonts w:ascii="宋体" w:hAnsi="宋体" w:cs="宋体"/>
                      <w:color w:val="000000" w:themeColor="text1"/>
                      <w:szCs w:val="21"/>
                      <w:highlight w:val="none"/>
                      <w14:textFill>
                        <w14:solidFill>
                          <w14:schemeClr w14:val="tx1"/>
                        </w14:solidFill>
                      </w14:textFill>
                    </w:rPr>
                  </w:pPr>
                </w:p>
              </w:tc>
              <w:tc>
                <w:tcPr>
                  <w:tcW w:w="5841" w:type="dxa"/>
                  <w:tcMar>
                    <w:top w:w="0" w:type="dxa"/>
                    <w:left w:w="105" w:type="dxa"/>
                    <w:bottom w:w="0" w:type="dxa"/>
                    <w:right w:w="105" w:type="dxa"/>
                  </w:tcMar>
                </w:tcPr>
                <w:p w14:paraId="7B49FABE">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Windows Server 2016、2019、2022，能覆盖采购人数据中心机房内各类型服务器</w:t>
                  </w:r>
                </w:p>
              </w:tc>
            </w:tr>
            <w:tr w14:paraId="00AC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Merge w:val="continue"/>
                  <w:vAlign w:val="center"/>
                </w:tcPr>
                <w:p w14:paraId="109B5EBB">
                  <w:pPr>
                    <w:spacing w:line="320" w:lineRule="exact"/>
                    <w:jc w:val="center"/>
                    <w:rPr>
                      <w:rFonts w:ascii="宋体" w:hAnsi="宋体" w:cs="宋体"/>
                      <w:color w:val="000000" w:themeColor="text1"/>
                      <w:szCs w:val="21"/>
                      <w:highlight w:val="none"/>
                      <w14:textFill>
                        <w14:solidFill>
                          <w14:schemeClr w14:val="tx1"/>
                        </w14:solidFill>
                      </w14:textFill>
                    </w:rPr>
                  </w:pPr>
                </w:p>
              </w:tc>
              <w:tc>
                <w:tcPr>
                  <w:tcW w:w="939" w:type="dxa"/>
                  <w:vMerge w:val="continue"/>
                  <w:vAlign w:val="center"/>
                </w:tcPr>
                <w:p w14:paraId="297A53BC">
                  <w:pPr>
                    <w:spacing w:line="320" w:lineRule="exact"/>
                    <w:jc w:val="center"/>
                    <w:rPr>
                      <w:rFonts w:ascii="宋体" w:hAnsi="宋体" w:cs="宋体"/>
                      <w:color w:val="000000" w:themeColor="text1"/>
                      <w:szCs w:val="21"/>
                      <w:highlight w:val="none"/>
                      <w14:textFill>
                        <w14:solidFill>
                          <w14:schemeClr w14:val="tx1"/>
                        </w14:solidFill>
                      </w14:textFill>
                    </w:rPr>
                  </w:pPr>
                </w:p>
              </w:tc>
              <w:tc>
                <w:tcPr>
                  <w:tcW w:w="5841" w:type="dxa"/>
                  <w:tcMar>
                    <w:top w:w="0" w:type="dxa"/>
                    <w:left w:w="105" w:type="dxa"/>
                    <w:bottom w:w="0" w:type="dxa"/>
                    <w:right w:w="105" w:type="dxa"/>
                  </w:tcMar>
                </w:tcPr>
                <w:p w14:paraId="59D48AB2">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Sql Server 2012、2017、2019，能覆盖采购人数据中心机房内各类型服务器</w:t>
                  </w:r>
                </w:p>
              </w:tc>
            </w:tr>
            <w:tr w14:paraId="45E3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Merge w:val="continue"/>
                  <w:vAlign w:val="center"/>
                </w:tcPr>
                <w:p w14:paraId="4039F39B">
                  <w:pPr>
                    <w:spacing w:line="320" w:lineRule="exact"/>
                    <w:jc w:val="center"/>
                    <w:rPr>
                      <w:rFonts w:ascii="宋体" w:hAnsi="宋体" w:cs="宋体"/>
                      <w:color w:val="000000" w:themeColor="text1"/>
                      <w:szCs w:val="21"/>
                      <w:highlight w:val="none"/>
                      <w14:textFill>
                        <w14:solidFill>
                          <w14:schemeClr w14:val="tx1"/>
                        </w14:solidFill>
                      </w14:textFill>
                    </w:rPr>
                  </w:pPr>
                </w:p>
              </w:tc>
              <w:tc>
                <w:tcPr>
                  <w:tcW w:w="939" w:type="dxa"/>
                  <w:vMerge w:val="continue"/>
                  <w:vAlign w:val="center"/>
                </w:tcPr>
                <w:p w14:paraId="7D6B9521">
                  <w:pPr>
                    <w:spacing w:line="320" w:lineRule="exact"/>
                    <w:jc w:val="center"/>
                    <w:rPr>
                      <w:rFonts w:ascii="宋体" w:hAnsi="宋体" w:cs="宋体"/>
                      <w:color w:val="000000" w:themeColor="text1"/>
                      <w:szCs w:val="21"/>
                      <w:highlight w:val="none"/>
                      <w14:textFill>
                        <w14:solidFill>
                          <w14:schemeClr w14:val="tx1"/>
                        </w14:solidFill>
                      </w14:textFill>
                    </w:rPr>
                  </w:pPr>
                </w:p>
              </w:tc>
              <w:tc>
                <w:tcPr>
                  <w:tcW w:w="5841" w:type="dxa"/>
                  <w:tcMar>
                    <w:top w:w="0" w:type="dxa"/>
                    <w:left w:w="105" w:type="dxa"/>
                    <w:bottom w:w="0" w:type="dxa"/>
                    <w:right w:w="105" w:type="dxa"/>
                  </w:tcMar>
                </w:tcPr>
                <w:p w14:paraId="4BD21E5B">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Office pro plus 2013、2016、2019、2021，可覆盖全校师生个人电脑及校内所有办公室、机房、课室、实验室等公共用途的PC机</w:t>
                  </w:r>
                </w:p>
              </w:tc>
            </w:tr>
            <w:tr w14:paraId="0D9F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0" w:type="dxa"/>
                  <w:vAlign w:val="center"/>
                </w:tcPr>
                <w:p w14:paraId="293A3D6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939" w:type="dxa"/>
                  <w:vAlign w:val="center"/>
                </w:tcPr>
                <w:p w14:paraId="7945518A">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金山正版软件授权服务</w:t>
                  </w:r>
                </w:p>
              </w:tc>
              <w:tc>
                <w:tcPr>
                  <w:tcW w:w="5841" w:type="dxa"/>
                  <w:tcMar>
                    <w:top w:w="0" w:type="dxa"/>
                    <w:left w:w="105" w:type="dxa"/>
                    <w:bottom w:w="0" w:type="dxa"/>
                    <w:right w:w="105" w:type="dxa"/>
                  </w:tcMar>
                </w:tcPr>
                <w:p w14:paraId="404E1C8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WPS2019、WPS2023，为教职工提供金山WPS 365教育高级版账号，首次提供不少于333个教职工的高级版账号，按实际激活使用的教职工数量开通，可覆盖校内所有办公室、机房、课室、实验室等公共用途的PC机。</w:t>
                  </w:r>
                </w:p>
              </w:tc>
            </w:tr>
          </w:tbl>
          <w:p w14:paraId="2B473E28">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2740DC2">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0C7E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93" w:type="dxa"/>
            <w:vAlign w:val="top"/>
          </w:tcPr>
          <w:p w14:paraId="4DF7AC5B">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69" w:type="dxa"/>
            <w:vAlign w:val="center"/>
          </w:tcPr>
          <w:p w14:paraId="2CDCC9C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7638" w:type="dxa"/>
            <w:vAlign w:val="top"/>
          </w:tcPr>
          <w:p w14:paraId="743A2B6C">
            <w:pP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（二）详细技术指标要求</w:t>
            </w:r>
          </w:p>
          <w:tbl>
            <w:tblPr>
              <w:tblStyle w:val="15"/>
              <w:tblW w:w="7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589"/>
              <w:gridCol w:w="595"/>
              <w:gridCol w:w="5589"/>
            </w:tblGrid>
            <w:tr w14:paraId="1FCB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jc w:val="center"/>
              </w:trPr>
              <w:tc>
                <w:tcPr>
                  <w:tcW w:w="715" w:type="dxa"/>
                  <w:tcMar>
                    <w:top w:w="0" w:type="dxa"/>
                    <w:left w:w="105" w:type="dxa"/>
                    <w:bottom w:w="0" w:type="dxa"/>
                    <w:right w:w="105" w:type="dxa"/>
                  </w:tcMar>
                  <w:vAlign w:val="center"/>
                </w:tcPr>
                <w:p w14:paraId="41918596">
                  <w:pPr>
                    <w:pStyle w:val="20"/>
                    <w:spacing w:line="320" w:lineRule="exact"/>
                    <w:jc w:val="center"/>
                    <w:rPr>
                      <w:rFonts w:hint="default" w:ascii="宋体" w:hAnsi="宋体" w:eastAsia="宋体" w:cs="宋体"/>
                      <w:b/>
                      <w:color w:val="000000" w:themeColor="text1"/>
                      <w:sz w:val="21"/>
                      <w:szCs w:val="21"/>
                      <w:highlight w:val="none"/>
                      <w14:textFill>
                        <w14:solidFill>
                          <w14:schemeClr w14:val="tx1"/>
                        </w14:solidFill>
                      </w14:textFill>
                    </w:rPr>
                  </w:pPr>
                  <w:r>
                    <w:rPr>
                      <w:rFonts w:ascii="宋体" w:hAnsi="宋体" w:eastAsia="宋体" w:cs="宋体"/>
                      <w:b/>
                      <w:color w:val="000000" w:themeColor="text1"/>
                      <w:sz w:val="21"/>
                      <w:szCs w:val="21"/>
                      <w:highlight w:val="none"/>
                      <w14:textFill>
                        <w14:solidFill>
                          <w14:schemeClr w14:val="tx1"/>
                        </w14:solidFill>
                      </w14:textFill>
                    </w:rPr>
                    <w:t>产品序号</w:t>
                  </w:r>
                </w:p>
              </w:tc>
              <w:tc>
                <w:tcPr>
                  <w:tcW w:w="703" w:type="dxa"/>
                  <w:tcMar>
                    <w:top w:w="0" w:type="dxa"/>
                    <w:left w:w="105" w:type="dxa"/>
                    <w:bottom w:w="0" w:type="dxa"/>
                    <w:right w:w="105" w:type="dxa"/>
                  </w:tcMar>
                  <w:vAlign w:val="center"/>
                </w:tcPr>
                <w:p w14:paraId="061AB9FA">
                  <w:pPr>
                    <w:pStyle w:val="20"/>
                    <w:spacing w:line="320" w:lineRule="exact"/>
                    <w:jc w:val="center"/>
                    <w:rPr>
                      <w:rFonts w:hint="default" w:ascii="宋体" w:hAnsi="宋体" w:eastAsia="宋体" w:cs="宋体"/>
                      <w:b/>
                      <w:color w:val="000000" w:themeColor="text1"/>
                      <w:sz w:val="21"/>
                      <w:szCs w:val="21"/>
                      <w:highlight w:val="none"/>
                      <w14:textFill>
                        <w14:solidFill>
                          <w14:schemeClr w14:val="tx1"/>
                        </w14:solidFill>
                      </w14:textFill>
                    </w:rPr>
                  </w:pPr>
                  <w:r>
                    <w:rPr>
                      <w:rFonts w:ascii="宋体" w:hAnsi="宋体" w:eastAsia="宋体" w:cs="宋体"/>
                      <w:b/>
                      <w:color w:val="000000" w:themeColor="text1"/>
                      <w:sz w:val="21"/>
                      <w:szCs w:val="21"/>
                      <w:highlight w:val="none"/>
                      <w14:textFill>
                        <w14:solidFill>
                          <w14:schemeClr w14:val="tx1"/>
                        </w14:solidFill>
                      </w14:textFill>
                    </w:rPr>
                    <w:t>服务内容</w:t>
                  </w:r>
                </w:p>
              </w:tc>
              <w:tc>
                <w:tcPr>
                  <w:tcW w:w="7946" w:type="dxa"/>
                  <w:gridSpan w:val="2"/>
                  <w:vAlign w:val="center"/>
                </w:tcPr>
                <w:p w14:paraId="63DDEAC0">
                  <w:pPr>
                    <w:pStyle w:val="20"/>
                    <w:spacing w:line="320" w:lineRule="exact"/>
                    <w:jc w:val="center"/>
                    <w:rPr>
                      <w:rFonts w:hint="default" w:ascii="宋体" w:hAnsi="宋体" w:eastAsia="宋体" w:cs="宋体"/>
                      <w:b/>
                      <w:color w:val="000000" w:themeColor="text1"/>
                      <w:sz w:val="21"/>
                      <w:szCs w:val="21"/>
                      <w:highlight w:val="none"/>
                      <w14:textFill>
                        <w14:solidFill>
                          <w14:schemeClr w14:val="tx1"/>
                        </w14:solidFill>
                      </w14:textFill>
                    </w:rPr>
                  </w:pPr>
                  <w:r>
                    <w:rPr>
                      <w:rFonts w:ascii="宋体" w:hAnsi="宋体" w:eastAsia="宋体" w:cs="宋体"/>
                      <w:b/>
                      <w:color w:val="000000" w:themeColor="text1"/>
                      <w:sz w:val="21"/>
                      <w:szCs w:val="21"/>
                      <w:highlight w:val="none"/>
                      <w14:textFill>
                        <w14:solidFill>
                          <w14:schemeClr w14:val="tx1"/>
                        </w14:solidFill>
                      </w14:textFill>
                    </w:rPr>
                    <w:t>服务要求</w:t>
                  </w:r>
                </w:p>
              </w:tc>
            </w:tr>
            <w:tr w14:paraId="48BD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715" w:type="dxa"/>
                  <w:vMerge w:val="restart"/>
                  <w:tcMar>
                    <w:top w:w="0" w:type="dxa"/>
                    <w:left w:w="105" w:type="dxa"/>
                    <w:bottom w:w="0" w:type="dxa"/>
                    <w:right w:w="105" w:type="dxa"/>
                  </w:tcMar>
                  <w:vAlign w:val="center"/>
                </w:tcPr>
                <w:p w14:paraId="4A4540D0">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p>
              </w:tc>
              <w:tc>
                <w:tcPr>
                  <w:tcW w:w="703" w:type="dxa"/>
                  <w:vMerge w:val="restart"/>
                  <w:tcMar>
                    <w:top w:w="0" w:type="dxa"/>
                    <w:left w:w="105" w:type="dxa"/>
                    <w:bottom w:w="0" w:type="dxa"/>
                    <w:right w:w="105" w:type="dxa"/>
                  </w:tcMar>
                  <w:vAlign w:val="center"/>
                </w:tcPr>
                <w:p w14:paraId="3A168B05">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正版软件管理平台服务</w:t>
                  </w:r>
                </w:p>
              </w:tc>
              <w:tc>
                <w:tcPr>
                  <w:tcW w:w="709" w:type="dxa"/>
                  <w:vAlign w:val="center"/>
                </w:tcPr>
                <w:p w14:paraId="379F96F2">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基本要求</w:t>
                  </w:r>
                </w:p>
              </w:tc>
              <w:tc>
                <w:tcPr>
                  <w:tcW w:w="7237" w:type="dxa"/>
                  <w:tcMar>
                    <w:top w:w="0" w:type="dxa"/>
                    <w:left w:w="105" w:type="dxa"/>
                    <w:bottom w:w="0" w:type="dxa"/>
                    <w:right w:w="105" w:type="dxa"/>
                  </w:tcMar>
                </w:tcPr>
                <w:p w14:paraId="3501E3AC">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1.部署地点和方式：正版软件管理平台应当支持部署在采购人校内，且支持私有云平台架构部署。</w:t>
                  </w:r>
                </w:p>
                <w:p w14:paraId="42FD1A3A">
                  <w:pPr>
                    <w:pStyle w:val="20"/>
                    <w:spacing w:line="320" w:lineRule="exac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2.网络协议支持：为确保采购人在IPv4或IPv6的环境下都能正常访问平台及下载软件，平台的网络协议必须同时支持IPv6和IPv4。</w:t>
                  </w:r>
                </w:p>
                <w:p w14:paraId="01C43BA1">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3.合约期限：2年。</w:t>
                  </w:r>
                </w:p>
                <w:p w14:paraId="2941F469">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4.▲合约有效期内，软件如有升级版本，授权对升级版本同样有效，且所提供的软件可自由升级或降级使用；提供软件更新和技术支持，包含电话支持和在线支持；</w:t>
                  </w:r>
                </w:p>
                <w:p w14:paraId="299FCC07">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5.正版软件管理平台需要支持不少于300人的并发访问和下载。</w:t>
                  </w:r>
                </w:p>
              </w:tc>
            </w:tr>
            <w:tr w14:paraId="3E6B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2" w:hRule="atLeast"/>
                <w:jc w:val="center"/>
              </w:trPr>
              <w:tc>
                <w:tcPr>
                  <w:tcW w:w="715" w:type="dxa"/>
                  <w:vMerge w:val="continue"/>
                  <w:tcMar>
                    <w:top w:w="0" w:type="dxa"/>
                    <w:left w:w="105" w:type="dxa"/>
                    <w:bottom w:w="0" w:type="dxa"/>
                    <w:right w:w="105" w:type="dxa"/>
                  </w:tcMar>
                  <w:vAlign w:val="center"/>
                </w:tcPr>
                <w:p w14:paraId="7D81FF56">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703" w:type="dxa"/>
                  <w:vMerge w:val="continue"/>
                  <w:tcMar>
                    <w:top w:w="0" w:type="dxa"/>
                    <w:left w:w="105" w:type="dxa"/>
                    <w:bottom w:w="0" w:type="dxa"/>
                    <w:right w:w="105" w:type="dxa"/>
                  </w:tcMar>
                  <w:vAlign w:val="center"/>
                </w:tcPr>
                <w:p w14:paraId="02045ABD">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709" w:type="dxa"/>
                  <w:vAlign w:val="center"/>
                </w:tcPr>
                <w:p w14:paraId="5F4F3F23">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平台功能要求</w:t>
                  </w:r>
                </w:p>
              </w:tc>
              <w:tc>
                <w:tcPr>
                  <w:tcW w:w="7237" w:type="dxa"/>
                  <w:tcMar>
                    <w:top w:w="0" w:type="dxa"/>
                    <w:left w:w="105" w:type="dxa"/>
                    <w:bottom w:w="0" w:type="dxa"/>
                    <w:right w:w="105" w:type="dxa"/>
                  </w:tcMar>
                </w:tcPr>
                <w:p w14:paraId="6861BF4A">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w:t>
                  </w:r>
                  <w:r>
                    <w:rPr>
                      <w:rFonts w:ascii="宋体" w:hAnsi="宋体" w:eastAsia="宋体" w:cs="宋体"/>
                      <w:color w:val="000000" w:themeColor="text1"/>
                      <w:sz w:val="21"/>
                      <w:szCs w:val="21"/>
                      <w:highlight w:val="none"/>
                      <w14:textFill>
                        <w14:solidFill>
                          <w14:schemeClr w14:val="tx1"/>
                        </w14:solidFill>
                      </w14:textFill>
                    </w:rPr>
                    <w:t>.正版软件管理平台应是基于B/S技术架构，为了降低维护成本和系统代码层的安全，编程语言应当使用C++、QT、PHP、NodeJs等主流编程语言。</w:t>
                  </w:r>
                </w:p>
                <w:p w14:paraId="079D3FE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w:t>
                  </w:r>
                  <w:r>
                    <w:rPr>
                      <w:rFonts w:ascii="宋体" w:hAnsi="宋体" w:eastAsia="宋体" w:cs="宋体"/>
                      <w:color w:val="000000" w:themeColor="text1"/>
                      <w:sz w:val="21"/>
                      <w:szCs w:val="21"/>
                      <w:highlight w:val="none"/>
                      <w14:textFill>
                        <w14:solidFill>
                          <w14:schemeClr w14:val="tx1"/>
                        </w14:solidFill>
                      </w14:textFill>
                    </w:rPr>
                    <w:t>.★正版软件管理平台需要采用统一的标准接口开发，需实现与采购人的统一身份认证系统进行对接，支持CAS、OAuth单点登录，支持中间表方式对用户信息进行对接，费用包含在本项目的预算中。</w:t>
                  </w:r>
                  <w:r>
                    <w:rPr>
                      <w:rFonts w:ascii="宋体" w:hAnsi="宋体" w:eastAsia="宋体" w:cs="宋体"/>
                      <w:b/>
                      <w:color w:val="000000" w:themeColor="text1"/>
                      <w:sz w:val="21"/>
                      <w:szCs w:val="21"/>
                      <w:highlight w:val="none"/>
                      <w14:textFill>
                        <w14:solidFill>
                          <w14:schemeClr w14:val="tx1"/>
                        </w14:solidFill>
                      </w14:textFill>
                    </w:rPr>
                    <w:t>（提供同类项目对接功能实现页面截图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796B6A7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3</w:t>
                  </w:r>
                  <w:r>
                    <w:rPr>
                      <w:rFonts w:ascii="宋体" w:hAnsi="宋体" w:eastAsia="宋体" w:cs="宋体"/>
                      <w:color w:val="000000" w:themeColor="text1"/>
                      <w:sz w:val="21"/>
                      <w:szCs w:val="21"/>
                      <w:highlight w:val="none"/>
                      <w14:textFill>
                        <w14:solidFill>
                          <w14:schemeClr w14:val="tx1"/>
                        </w14:solidFill>
                      </w14:textFill>
                    </w:rPr>
                    <w:t>.▲正版软件管理平台需要自带独立的用户管理系统，以便实现独立设置用户在平台中的使用权限。能支持在软件资源管理与服务平台内对用户信息进行编辑，用户系统支持与采购人统一身份平台对接同步。</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47ED944E">
                  <w:pPr>
                    <w:pStyle w:val="20"/>
                    <w:spacing w:line="320" w:lineRule="exact"/>
                    <w:rPr>
                      <w:rFonts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用户激活次数的分配，正版软件管理平台需要支持不同身份类型用户在注册的时候进行激活次数的自动分配；管理员可以通过后台对用户的激活次数手动进行分配；用户可以通过激活客户端方便的进行新的激活次数的申请，用户的激活次数申请，在后台管理员审核通过后正式下发。</w:t>
                  </w:r>
                </w:p>
                <w:p w14:paraId="06DE429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5</w:t>
                  </w:r>
                  <w:r>
                    <w:rPr>
                      <w:rFonts w:ascii="宋体" w:hAnsi="宋体" w:eastAsia="宋体" w:cs="宋体"/>
                      <w:color w:val="000000" w:themeColor="text1"/>
                      <w:sz w:val="21"/>
                      <w:szCs w:val="21"/>
                      <w:highlight w:val="none"/>
                      <w14:textFill>
                        <w14:solidFill>
                          <w14:schemeClr w14:val="tx1"/>
                        </w14:solidFill>
                      </w14:textFill>
                    </w:rPr>
                    <w:t>.授权模式：用户的激活次数授权模式也应当符合多级部门管理的模式，即本机部门的激活数量上线，是分配给下级部门及用户的激活次数上限。</w:t>
                  </w:r>
                </w:p>
                <w:p w14:paraId="4D481B93">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6</w:t>
                  </w:r>
                  <w:r>
                    <w:rPr>
                      <w:rFonts w:ascii="宋体" w:hAnsi="宋体" w:eastAsia="宋体" w:cs="宋体"/>
                      <w:color w:val="000000" w:themeColor="text1"/>
                      <w:sz w:val="21"/>
                      <w:szCs w:val="21"/>
                      <w:highlight w:val="none"/>
                      <w14:textFill>
                        <w14:solidFill>
                          <w14:schemeClr w14:val="tx1"/>
                        </w14:solidFill>
                      </w14:textFill>
                    </w:rPr>
                    <w:t>.▲激活模式：在用户使用统一身份认证系统账号密码登录后，直接通过点击即可完成整个激活操作，无需用户记忆任何其他激活码和代码。且一旦发生激活问题，激活客户端应当自动给出相应错误代码。</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2AC191AB">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7</w:t>
                  </w:r>
                  <w:r>
                    <w:rPr>
                      <w:rFonts w:ascii="宋体" w:hAnsi="宋体" w:eastAsia="宋体" w:cs="宋体"/>
                      <w:color w:val="000000" w:themeColor="text1"/>
                      <w:sz w:val="21"/>
                      <w:szCs w:val="21"/>
                      <w:highlight w:val="none"/>
                      <w14:textFill>
                        <w14:solidFill>
                          <w14:schemeClr w14:val="tx1"/>
                        </w14:solidFill>
                      </w14:textFill>
                    </w:rPr>
                    <w:t>.正版软件管理平台应当支持实验室、机房等大批量的计算机激活，激活过程中，机房的客户机需要能在无人干预的情况下自动完成激活操作。</w:t>
                  </w:r>
                </w:p>
                <w:p w14:paraId="507D4EDE">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8</w:t>
                  </w:r>
                  <w:r>
                    <w:rPr>
                      <w:rFonts w:ascii="宋体" w:hAnsi="宋体" w:eastAsia="宋体" w:cs="宋体"/>
                      <w:color w:val="000000" w:themeColor="text1"/>
                      <w:sz w:val="21"/>
                      <w:szCs w:val="21"/>
                      <w:highlight w:val="none"/>
                      <w14:textFill>
                        <w14:solidFill>
                          <w14:schemeClr w14:val="tx1"/>
                        </w14:solidFill>
                      </w14:textFill>
                    </w:rPr>
                    <w:t>.整个激活过程，应当保证不泄露（包括秘钥在内）任何的涉密信息。</w:t>
                  </w:r>
                </w:p>
                <w:p w14:paraId="35046016">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9</w:t>
                  </w:r>
                  <w:r>
                    <w:rPr>
                      <w:rFonts w:ascii="宋体" w:hAnsi="宋体" w:eastAsia="宋体" w:cs="宋体"/>
                      <w:color w:val="000000" w:themeColor="text1"/>
                      <w:sz w:val="21"/>
                      <w:szCs w:val="21"/>
                      <w:highlight w:val="none"/>
                      <w14:textFill>
                        <w14:solidFill>
                          <w14:schemeClr w14:val="tx1"/>
                        </w14:solidFill>
                      </w14:textFill>
                    </w:rPr>
                    <w:t>.激活客户端应当保证无法被反编译，以避免因为激活客户端被反编译而导致的关键数据或参数泄露。</w:t>
                  </w:r>
                </w:p>
                <w:p w14:paraId="195D00F9">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10</w:t>
                  </w:r>
                  <w:r>
                    <w:rPr>
                      <w:rFonts w:ascii="宋体" w:hAnsi="宋体" w:eastAsia="宋体" w:cs="宋体"/>
                      <w:color w:val="000000" w:themeColor="text1"/>
                      <w:sz w:val="21"/>
                      <w:szCs w:val="21"/>
                      <w:highlight w:val="none"/>
                      <w14:textFill>
                        <w14:solidFill>
                          <w14:schemeClr w14:val="tx1"/>
                        </w14:solidFill>
                      </w14:textFill>
                    </w:rPr>
                    <w:t>.▲提供的激活客户端应当是多功能的集成体，用户一次安装可拥有多种功能，激活客户端至少包括的功能有：自动判断操作系统极正版软件版本，一键激活功能，系统自动更新功能。</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40E13BE7">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11</w:t>
                  </w:r>
                  <w:r>
                    <w:rPr>
                      <w:rFonts w:ascii="宋体" w:hAnsi="宋体" w:eastAsia="宋体" w:cs="宋体"/>
                      <w:color w:val="000000" w:themeColor="text1"/>
                      <w:sz w:val="21"/>
                      <w:szCs w:val="21"/>
                      <w:highlight w:val="none"/>
                      <w14:textFill>
                        <w14:solidFill>
                          <w14:schemeClr w14:val="tx1"/>
                        </w14:solidFill>
                      </w14:textFill>
                    </w:rPr>
                    <w:t>.▲正版软件管理平台提供商一年应当提供不少于2次的更新服务，服务内容应当包括：软件、文档、视频资料更新，平台定制开发，身份认证对接，平台系统优化，等等。</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72301113">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12</w:t>
                  </w:r>
                  <w:r>
                    <w:rPr>
                      <w:rFonts w:ascii="宋体" w:hAnsi="宋体" w:eastAsia="宋体" w:cs="宋体"/>
                      <w:color w:val="000000" w:themeColor="text1"/>
                      <w:sz w:val="21"/>
                      <w:szCs w:val="21"/>
                      <w:highlight w:val="none"/>
                      <w14:textFill>
                        <w14:solidFill>
                          <w14:schemeClr w14:val="tx1"/>
                        </w14:solidFill>
                      </w14:textFill>
                    </w:rPr>
                    <w:t>.▲补丁升级，正版软件管理平台需要包含操作系统和办公软件的补丁升级服务和操作系统的病毒库更新服务。为了提高补丁服务的工作效率，平台提供商应当支持为采购人在校内部署一套补丁服务器。</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59CF6E56">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13</w:t>
                  </w:r>
                  <w:r>
                    <w:rPr>
                      <w:rFonts w:ascii="宋体" w:hAnsi="宋体" w:eastAsia="宋体" w:cs="宋体"/>
                      <w:color w:val="000000" w:themeColor="text1"/>
                      <w:sz w:val="21"/>
                      <w:szCs w:val="21"/>
                      <w:highlight w:val="none"/>
                      <w14:textFill>
                        <w14:solidFill>
                          <w14:schemeClr w14:val="tx1"/>
                        </w14:solidFill>
                      </w14:textFill>
                    </w:rPr>
                    <w:t>.文档内容，正版软件管理平台应当提供一套包括操作系统和办公软件在使用过程中的常见问题解决方案、激活常见问题处理方案的帮助文档，并且每年的更新次数不少于2次。</w:t>
                  </w:r>
                </w:p>
                <w:p w14:paraId="6BE5352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14</w:t>
                  </w:r>
                  <w:r>
                    <w:rPr>
                      <w:rFonts w:ascii="宋体" w:hAnsi="宋体" w:eastAsia="宋体" w:cs="宋体"/>
                      <w:color w:val="000000" w:themeColor="text1"/>
                      <w:sz w:val="21"/>
                      <w:szCs w:val="21"/>
                      <w:highlight w:val="none"/>
                      <w14:textFill>
                        <w14:solidFill>
                          <w14:schemeClr w14:val="tx1"/>
                        </w14:solidFill>
                      </w14:textFill>
                    </w:rPr>
                    <w:t>.学习资料，正版软件管理平台应当提供平台操作系统的和办公软件的使用技巧和方法的文档和视频资料。</w:t>
                  </w:r>
                </w:p>
                <w:p w14:paraId="45DE32F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15</w:t>
                  </w:r>
                  <w:r>
                    <w:rPr>
                      <w:rFonts w:ascii="宋体" w:hAnsi="宋体" w:eastAsia="宋体" w:cs="宋体"/>
                      <w:color w:val="000000" w:themeColor="text1"/>
                      <w:sz w:val="21"/>
                      <w:szCs w:val="21"/>
                      <w:highlight w:val="none"/>
                      <w14:textFill>
                        <w14:solidFill>
                          <w14:schemeClr w14:val="tx1"/>
                        </w14:solidFill>
                      </w14:textFill>
                    </w:rPr>
                    <w:t>.安装教程，正版软件管理平台应当提供一套操作系统和办公软件的安装视频和文档的详细教程。</w:t>
                  </w:r>
                </w:p>
                <w:p w14:paraId="065AE063">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16</w:t>
                  </w:r>
                  <w:r>
                    <w:rPr>
                      <w:rFonts w:ascii="宋体" w:hAnsi="宋体" w:eastAsia="宋体" w:cs="宋体"/>
                      <w:color w:val="000000" w:themeColor="text1"/>
                      <w:sz w:val="21"/>
                      <w:szCs w:val="21"/>
                      <w:highlight w:val="none"/>
                      <w14:textFill>
                        <w14:solidFill>
                          <w14:schemeClr w14:val="tx1"/>
                        </w14:solidFill>
                      </w14:textFill>
                    </w:rPr>
                    <w:t>.▲自主软件管理，采购人管理员能够通过正版软件管理平台的管理后台，自助管理采购人的其他软件资源，且用户可以直接在浏览器中进行下载。</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1E6E8653">
                  <w:pPr>
                    <w:pStyle w:val="20"/>
                    <w:spacing w:line="320" w:lineRule="exact"/>
                    <w:rPr>
                      <w:rFonts w:hint="default" w:ascii="宋体" w:hAnsi="宋体" w:eastAsia="宋体" w:cs="宋体"/>
                      <w:b/>
                      <w:bCs/>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17</w:t>
                  </w:r>
                  <w:r>
                    <w:rPr>
                      <w:rFonts w:ascii="宋体" w:hAnsi="宋体" w:eastAsia="宋体" w:cs="宋体"/>
                      <w:color w:val="000000" w:themeColor="text1"/>
                      <w:sz w:val="21"/>
                      <w:szCs w:val="21"/>
                      <w:highlight w:val="none"/>
                      <w14:textFill>
                        <w14:solidFill>
                          <w14:schemeClr w14:val="tx1"/>
                        </w14:solidFill>
                      </w14:textFill>
                    </w:rPr>
                    <w:t>.▲正版软件管理平台管理系统和软件的不同版本，管理员可以在后台对软件版本进行管理控制，用户可以选择下载不同版本软件。</w:t>
                  </w:r>
                  <w:r>
                    <w:rPr>
                      <w:rFonts w:ascii="宋体" w:hAnsi="宋体" w:eastAsia="宋体" w:cs="宋体"/>
                      <w:b/>
                      <w:bCs/>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bCs/>
                      <w:color w:val="000000" w:themeColor="text1"/>
                      <w:sz w:val="21"/>
                      <w:szCs w:val="21"/>
                      <w:highlight w:val="none"/>
                      <w14:textFill>
                        <w14:solidFill>
                          <w14:schemeClr w14:val="tx1"/>
                        </w14:solidFill>
                      </w14:textFill>
                    </w:rPr>
                    <w:t>）</w:t>
                  </w:r>
                </w:p>
                <w:p w14:paraId="4B2BB8C2">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18</w:t>
                  </w:r>
                  <w:r>
                    <w:rPr>
                      <w:rFonts w:ascii="宋体" w:hAnsi="宋体" w:eastAsia="宋体" w:cs="宋体"/>
                      <w:color w:val="000000" w:themeColor="text1"/>
                      <w:sz w:val="21"/>
                      <w:szCs w:val="21"/>
                      <w:highlight w:val="none"/>
                      <w14:textFill>
                        <w14:solidFill>
                          <w14:schemeClr w14:val="tx1"/>
                        </w14:solidFill>
                      </w14:textFill>
                    </w:rPr>
                    <w:t>.▲正版软件管理平台应当对用户的下载、激活、注册、激活次数分配等数据进行实时的记录，并且按照时间、软件及软件类型、用户身份类型及部门、激活状态等元素进行多维度的使用统计。</w:t>
                  </w:r>
                  <w:r>
                    <w:rPr>
                      <w:rFonts w:ascii="宋体" w:hAnsi="宋体" w:eastAsia="宋体" w:cs="宋体"/>
                      <w:b/>
                      <w:color w:val="000000" w:themeColor="text1"/>
                      <w:sz w:val="21"/>
                      <w:szCs w:val="21"/>
                      <w:highlight w:val="none"/>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14:textFill>
                        <w14:solidFill>
                          <w14:schemeClr w14:val="tx1"/>
                        </w14:solidFill>
                      </w14:textFill>
                    </w:rPr>
                    <w:t>）</w:t>
                  </w:r>
                </w:p>
                <w:p w14:paraId="2DF8B17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19</w:t>
                  </w:r>
                  <w:r>
                    <w:rPr>
                      <w:rFonts w:ascii="宋体" w:hAnsi="宋体" w:eastAsia="宋体" w:cs="宋体"/>
                      <w:color w:val="000000" w:themeColor="text1"/>
                      <w:sz w:val="21"/>
                      <w:szCs w:val="21"/>
                      <w:highlight w:val="none"/>
                      <w14:textFill>
                        <w14:solidFill>
                          <w14:schemeClr w14:val="tx1"/>
                        </w14:solidFill>
                      </w14:textFill>
                    </w:rPr>
                    <w:t>.正版软件管理平台后台支持将统计数据以时间维度进行筛选并通过Excel导出。</w:t>
                  </w:r>
                </w:p>
                <w:p w14:paraId="1E8AB9D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20</w:t>
                  </w:r>
                  <w:r>
                    <w:rPr>
                      <w:rFonts w:ascii="宋体" w:hAnsi="宋体" w:eastAsia="宋体" w:cs="宋体"/>
                      <w:color w:val="000000" w:themeColor="text1"/>
                      <w:sz w:val="21"/>
                      <w:szCs w:val="21"/>
                      <w:highlight w:val="none"/>
                      <w14:textFill>
                        <w14:solidFill>
                          <w14:schemeClr w14:val="tx1"/>
                        </w14:solidFill>
                      </w14:textFill>
                    </w:rPr>
                    <w:t>.▲正版软件管理平台的系统网站（包括管理后台），应当兼容不同的浏览器，并且可以根据采购人的需求进行定制。</w:t>
                  </w:r>
                  <w:r>
                    <w:rPr>
                      <w:rFonts w:ascii="宋体" w:hAnsi="宋体" w:eastAsia="宋体" w:cs="宋体"/>
                      <w:b/>
                      <w:color w:val="000000" w:themeColor="text1"/>
                      <w:sz w:val="21"/>
                      <w:szCs w:val="21"/>
                      <w:highlight w:val="none"/>
                      <w:lang w:val="zh-TW" w:eastAsia="zh-TW"/>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lang w:val="zh-TW" w:eastAsia="zh-TW"/>
                      <w14:textFill>
                        <w14:solidFill>
                          <w14:schemeClr w14:val="tx1"/>
                        </w14:solidFill>
                      </w14:textFill>
                    </w:rPr>
                    <w:t>）</w:t>
                  </w:r>
                </w:p>
                <w:p w14:paraId="6D590A3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21</w:t>
                  </w:r>
                  <w:r>
                    <w:rPr>
                      <w:rFonts w:ascii="宋体" w:hAnsi="宋体" w:eastAsia="宋体" w:cs="宋体"/>
                      <w:color w:val="000000" w:themeColor="text1"/>
                      <w:sz w:val="21"/>
                      <w:szCs w:val="21"/>
                      <w:highlight w:val="none"/>
                      <w14:textFill>
                        <w14:solidFill>
                          <w14:schemeClr w14:val="tx1"/>
                        </w14:solidFill>
                      </w14:textFill>
                    </w:rPr>
                    <w:t>.数据的存储和传输，正版软件管理平台的关键数据必须进行加密存储和传输，以避免数据在存储和传输的过程中可能产生的安全隐患。</w:t>
                  </w:r>
                </w:p>
                <w:p w14:paraId="1896F18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22</w:t>
                  </w:r>
                  <w:r>
                    <w:rPr>
                      <w:rFonts w:ascii="宋体" w:hAnsi="宋体" w:eastAsia="宋体" w:cs="宋体"/>
                      <w:color w:val="000000" w:themeColor="text1"/>
                      <w:sz w:val="21"/>
                      <w:szCs w:val="21"/>
                      <w:highlight w:val="none"/>
                      <w14:textFill>
                        <w14:solidFill>
                          <w14:schemeClr w14:val="tx1"/>
                        </w14:solidFill>
                      </w14:textFill>
                    </w:rPr>
                    <w:t>.▲日志管理，日志管理应当包括用户的登录日志（包括登录成功和失败以及登录失败的原因），管理员的登录日志（包括登录成功和失败以及登录失败的原因）、管理员操作日志等，登录日志应当包括登录的账号、时间、IP、登录结果；操作日志应当包括操作的账号、时间、IP、操作的功能模块、操作的内容。并提供相应的查询界面，可以按照时段、账号、IP等条件进行查询备份和归档，以便审计使用。</w:t>
                  </w:r>
                  <w:r>
                    <w:rPr>
                      <w:rFonts w:ascii="宋体" w:hAnsi="宋体" w:eastAsia="宋体" w:cs="宋体"/>
                      <w:b/>
                      <w:color w:val="000000" w:themeColor="text1"/>
                      <w:sz w:val="21"/>
                      <w:szCs w:val="21"/>
                      <w:highlight w:val="none"/>
                      <w:lang w:val="zh-TW" w:eastAsia="zh-TW"/>
                      <w14:textFill>
                        <w14:solidFill>
                          <w14:schemeClr w14:val="tx1"/>
                        </w14:solidFill>
                      </w14:textFill>
                    </w:rPr>
                    <w:t>（提供平台功能页面截图</w:t>
                  </w:r>
                  <w:r>
                    <w:rPr>
                      <w:rFonts w:ascii="宋体" w:hAnsi="宋体" w:eastAsia="宋体" w:cs="宋体"/>
                      <w:b/>
                      <w:bCs/>
                      <w:color w:val="000000" w:themeColor="text1"/>
                      <w:sz w:val="21"/>
                      <w:szCs w:val="21"/>
                      <w:highlight w:val="none"/>
                      <w:lang w:bidi="ar"/>
                      <w14:textFill>
                        <w14:solidFill>
                          <w14:schemeClr w14:val="tx1"/>
                        </w14:solidFill>
                      </w14:textFill>
                    </w:rPr>
                    <w:t>并加盖投标人公章</w:t>
                  </w:r>
                  <w:r>
                    <w:rPr>
                      <w:rFonts w:ascii="宋体" w:hAnsi="宋体" w:eastAsia="宋体" w:cs="宋体"/>
                      <w:b/>
                      <w:color w:val="000000" w:themeColor="text1"/>
                      <w:sz w:val="21"/>
                      <w:szCs w:val="21"/>
                      <w:highlight w:val="none"/>
                      <w:lang w:val="zh-TW" w:eastAsia="zh-TW"/>
                      <w14:textFill>
                        <w14:solidFill>
                          <w14:schemeClr w14:val="tx1"/>
                        </w14:solidFill>
                      </w14:textFill>
                    </w:rPr>
                    <w:t>）</w:t>
                  </w:r>
                </w:p>
                <w:p w14:paraId="0A41A98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23</w:t>
                  </w:r>
                  <w:r>
                    <w:rPr>
                      <w:rFonts w:ascii="宋体" w:hAnsi="宋体" w:eastAsia="宋体" w:cs="宋体"/>
                      <w:color w:val="000000" w:themeColor="text1"/>
                      <w:sz w:val="21"/>
                      <w:szCs w:val="21"/>
                      <w:highlight w:val="none"/>
                      <w14:textFill>
                        <w14:solidFill>
                          <w14:schemeClr w14:val="tx1"/>
                        </w14:solidFill>
                      </w14:textFill>
                    </w:rPr>
                    <w:t>.提供软件资产管理巡检服务。提供正版化台账梳理服务，通过服务形成学校专属的软件正版化台账方案、软件正版化迎检方案，每季度更新1次；</w:t>
                  </w:r>
                </w:p>
                <w:p w14:paraId="31CB6C22">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24</w:t>
                  </w:r>
                  <w:r>
                    <w:rPr>
                      <w:rFonts w:ascii="宋体" w:hAnsi="宋体" w:eastAsia="宋体" w:cs="宋体"/>
                      <w:color w:val="000000" w:themeColor="text1"/>
                      <w:sz w:val="21"/>
                      <w:szCs w:val="21"/>
                      <w:highlight w:val="none"/>
                      <w14:textFill>
                        <w14:solidFill>
                          <w14:schemeClr w14:val="tx1"/>
                        </w14:solidFill>
                      </w14:textFill>
                    </w:rPr>
                    <w:t>.知识产权要求，正版软件管理平台服务提供商，保证其提供的服务不得侵犯任何第三方的合法知识产权以及其他权益。必须引导采购人合规的使用第三方公司的软件商品，如果是由于知识产权以及第三方公司的软件合规导致的第三方追责，采购人概不负责，一切责任由平台服务提供商负责。</w:t>
                  </w:r>
                </w:p>
                <w:p w14:paraId="31DEACB3">
                  <w:pPr>
                    <w:pStyle w:val="20"/>
                    <w:spacing w:line="320" w:lineRule="exact"/>
                    <w:rPr>
                      <w:rFonts w:hint="default" w:ascii="宋体" w:hAnsi="宋体" w:eastAsia="宋体" w:cs="宋体"/>
                      <w:b/>
                      <w:bCs/>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25</w:t>
                  </w:r>
                  <w:r>
                    <w:rPr>
                      <w:rFonts w:ascii="宋体" w:hAnsi="宋体" w:eastAsia="宋体" w:cs="宋体"/>
                      <w:color w:val="000000" w:themeColor="text1"/>
                      <w:sz w:val="21"/>
                      <w:szCs w:val="21"/>
                      <w:highlight w:val="none"/>
                      <w14:textFill>
                        <w14:solidFill>
                          <w14:schemeClr w14:val="tx1"/>
                        </w14:solidFill>
                      </w14:textFill>
                    </w:rPr>
                    <w:t>.▲提供该平台的软件著作权认证证书、软件产品登记检测报告并加盖公章。</w:t>
                  </w:r>
                  <w:r>
                    <w:rPr>
                      <w:rFonts w:ascii="宋体" w:hAnsi="宋体" w:eastAsia="宋体" w:cs="宋体"/>
                      <w:b/>
                      <w:bCs/>
                      <w:color w:val="000000" w:themeColor="text1"/>
                      <w:sz w:val="21"/>
                      <w:szCs w:val="21"/>
                      <w:highlight w:val="none"/>
                      <w14:textFill>
                        <w14:solidFill>
                          <w14:schemeClr w14:val="tx1"/>
                        </w14:solidFill>
                      </w14:textFill>
                    </w:rPr>
                    <w:t>（自有、购买、租赁皆可，若投标时无法提供则提供《承诺函》承诺签订合同前提供，格式自拟）</w:t>
                  </w:r>
                </w:p>
                <w:p w14:paraId="03BC283E">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26</w:t>
                  </w:r>
                  <w:r>
                    <w:rPr>
                      <w:rFonts w:ascii="宋体" w:hAnsi="宋体" w:eastAsia="宋体" w:cs="宋体"/>
                      <w:color w:val="000000" w:themeColor="text1"/>
                      <w:sz w:val="21"/>
                      <w:szCs w:val="21"/>
                      <w:highlight w:val="none"/>
                      <w14:textFill>
                        <w14:solidFill>
                          <w14:schemeClr w14:val="tx1"/>
                        </w14:solidFill>
                      </w14:textFill>
                    </w:rPr>
                    <w:t>.依据国家版权局关于印发《正版软件管理工作指南》的通知标准规范，通过专用工具自动抓取/搜索/客户端等多种方式采集用户软硬件资产安装和使用情况等信息，为用户建立软件正版化与软件资产管理基础数据库。</w:t>
                  </w:r>
                </w:p>
                <w:p w14:paraId="5C4B7DFB">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hint="default" w:ascii="宋体" w:hAnsi="宋体" w:eastAsia="宋体" w:cs="宋体"/>
                      <w:color w:val="000000" w:themeColor="text1"/>
                      <w:sz w:val="21"/>
                      <w:szCs w:val="21"/>
                      <w:highlight w:val="none"/>
                      <w14:textFill>
                        <w14:solidFill>
                          <w14:schemeClr w14:val="tx1"/>
                        </w14:solidFill>
                      </w14:textFill>
                    </w:rPr>
                    <w:t>27</w:t>
                  </w:r>
                  <w:r>
                    <w:rPr>
                      <w:rFonts w:ascii="宋体" w:hAnsi="宋体" w:eastAsia="宋体" w:cs="宋体"/>
                      <w:color w:val="000000" w:themeColor="text1"/>
                      <w:sz w:val="21"/>
                      <w:szCs w:val="21"/>
                      <w:highlight w:val="none"/>
                      <w14:textFill>
                        <w14:solidFill>
                          <w14:schemeClr w14:val="tx1"/>
                        </w14:solidFill>
                      </w14:textFill>
                    </w:rPr>
                    <w:t>.▲与广东省版权局软件正版化检查工具的终端软件数据无缝对接。</w:t>
                  </w:r>
                  <w:r>
                    <w:rPr>
                      <w:rFonts w:ascii="宋体" w:hAnsi="宋体" w:eastAsia="宋体" w:cs="宋体"/>
                      <w:b/>
                      <w:bCs/>
                      <w:color w:val="000000" w:themeColor="text1"/>
                      <w:sz w:val="21"/>
                      <w:szCs w:val="21"/>
                      <w:highlight w:val="none"/>
                      <w14:textFill>
                        <w14:solidFill>
                          <w14:schemeClr w14:val="tx1"/>
                        </w14:solidFill>
                      </w14:textFill>
                    </w:rPr>
                    <w:t>（提供《承诺函》承诺，格式自拟）</w:t>
                  </w:r>
                </w:p>
              </w:tc>
            </w:tr>
            <w:tr w14:paraId="2981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Mar>
                    <w:top w:w="0" w:type="dxa"/>
                    <w:left w:w="105" w:type="dxa"/>
                    <w:bottom w:w="0" w:type="dxa"/>
                    <w:right w:w="105" w:type="dxa"/>
                  </w:tcMar>
                  <w:vAlign w:val="center"/>
                </w:tcPr>
                <w:p w14:paraId="354606F8">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w:t>
                  </w:r>
                </w:p>
              </w:tc>
              <w:tc>
                <w:tcPr>
                  <w:tcW w:w="703" w:type="dxa"/>
                  <w:tcMar>
                    <w:top w:w="0" w:type="dxa"/>
                    <w:left w:w="105" w:type="dxa"/>
                    <w:bottom w:w="0" w:type="dxa"/>
                    <w:right w:w="105" w:type="dxa"/>
                  </w:tcMar>
                  <w:vAlign w:val="center"/>
                </w:tcPr>
                <w:p w14:paraId="192FD81E">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微软软件正版授权服务</w:t>
                  </w:r>
                </w:p>
              </w:tc>
              <w:tc>
                <w:tcPr>
                  <w:tcW w:w="7946" w:type="dxa"/>
                  <w:gridSpan w:val="2"/>
                </w:tcPr>
                <w:p w14:paraId="2FA2EF0D">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合约有效期内，提供以下授权服务：</w:t>
                  </w:r>
                </w:p>
                <w:p w14:paraId="3CF95219">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1.Windows 11专业版或以上版本，版本可自由降级到</w:t>
                  </w:r>
                  <w:r>
                    <w:rPr>
                      <w:rFonts w:ascii="宋体" w:hAnsi="宋体" w:eastAsia="宋体" w:cs="宋体"/>
                      <w:color w:val="000000" w:themeColor="text1"/>
                      <w:sz w:val="21"/>
                      <w:szCs w:val="21"/>
                      <w:highlight w:val="none"/>
                      <w:lang w:val="zh-TW" w:eastAsia="zh-TW"/>
                      <w14:textFill>
                        <w14:solidFill>
                          <w14:schemeClr w14:val="tx1"/>
                        </w14:solidFill>
                      </w14:textFill>
                    </w:rPr>
                    <w:t>Windoows 7、</w:t>
                  </w:r>
                  <w:r>
                    <w:rPr>
                      <w:rFonts w:ascii="宋体" w:hAnsi="宋体" w:eastAsia="宋体" w:cs="宋体"/>
                      <w:color w:val="000000" w:themeColor="text1"/>
                      <w:sz w:val="21"/>
                      <w:szCs w:val="21"/>
                      <w:highlight w:val="none"/>
                      <w14:textFill>
                        <w14:solidFill>
                          <w14:schemeClr w14:val="tx1"/>
                        </w14:solidFill>
                      </w14:textFill>
                    </w:rPr>
                    <w:t>Windows 8.1 PRO、Windows 10 PRO 等授权许可，所提供产品需为原厂正版授权许可，产品包括当前版本、升级版本和降级版本，且适用于采购人办公室、教室、实验室和图书馆等场所的计算机包括教职工电脑和笔记本。</w:t>
                  </w:r>
                </w:p>
                <w:p w14:paraId="0080AE5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2.Office 2024 pro plus或以上版本，版本可降级到Office 2013 pro plus，Office 2016 pro plus，Office 2019 pro plus，Office 2021 pro plus授权许可，所提供产品需为原厂正版授权许可，产品包括当前版本、升级版本和降级版本，且适用于采购人办公室、教室、实验室和图书馆等场所的计算机包括教职工电脑和笔记本。</w:t>
                  </w:r>
                </w:p>
                <w:p w14:paraId="35615E1C">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3.提供Windows Server 2025或以上版本，可降级到Windows Server 2016、Windows Server 2019、Windows server 2022等授权许可，所提供产品需为原厂正版授权许可，产品包括当前版本、升级版本和降级版本，且适用于全校固定资产的服务器。</w:t>
                  </w:r>
                </w:p>
                <w:p w14:paraId="72FBB15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4.提供SQL Server 2025或以上版本，可降级到SQL Server 2014、SQL Server 2016、SQL Server 2019、SQL Server 2022等授权许可，所提供产品需为原厂正版授权许可，产品包括当前版本、升级版本和降级版本，且适用于全校固定资产的服务器。</w:t>
                  </w:r>
                </w:p>
                <w:p w14:paraId="34F3E62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5.提供第三方出具的产品检测报告(关于Windows、Office、Windows Server、Sql Server)。</w:t>
                  </w:r>
                </w:p>
                <w:p w14:paraId="029F5B3D">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6.在服务期内，针对学校所有计算机使用的Windows操作系统提供版本升级服务（使用的版本号由学校计算机用户自主决定）。</w:t>
                  </w:r>
                </w:p>
              </w:tc>
            </w:tr>
            <w:tr w14:paraId="456B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tcMar>
                    <w:top w:w="0" w:type="dxa"/>
                    <w:left w:w="105" w:type="dxa"/>
                    <w:bottom w:w="0" w:type="dxa"/>
                    <w:right w:w="105" w:type="dxa"/>
                  </w:tcMar>
                  <w:vAlign w:val="center"/>
                </w:tcPr>
                <w:p w14:paraId="364885E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w:t>
                  </w:r>
                </w:p>
              </w:tc>
              <w:tc>
                <w:tcPr>
                  <w:tcW w:w="703" w:type="dxa"/>
                  <w:tcMar>
                    <w:top w:w="0" w:type="dxa"/>
                    <w:left w:w="105" w:type="dxa"/>
                    <w:bottom w:w="0" w:type="dxa"/>
                    <w:right w:w="105" w:type="dxa"/>
                  </w:tcMar>
                  <w:vAlign w:val="center"/>
                </w:tcPr>
                <w:p w14:paraId="1EC9FF19">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金山软件正版授权服务</w:t>
                  </w:r>
                </w:p>
              </w:tc>
              <w:tc>
                <w:tcPr>
                  <w:tcW w:w="7946" w:type="dxa"/>
                  <w:gridSpan w:val="2"/>
                </w:tcPr>
                <w:p w14:paraId="1CB5DBC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1.为教职工提供金山WPS 365教育高级版账号，首次提供不少于333个教职工的高级版账号，按实际激活使用的教职工数量开通。</w:t>
                  </w:r>
                </w:p>
                <w:p w14:paraId="20ED4436">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2.金山WPS 365教育高级版账号提供PDF权益包、脑图流程图权益包、专项模板库权益包、独立功能权益包。</w:t>
                  </w:r>
                </w:p>
                <w:p w14:paraId="185516AE">
                  <w:pPr>
                    <w:pStyle w:val="20"/>
                    <w:spacing w:line="320" w:lineRule="exact"/>
                    <w:rPr>
                      <w:rFonts w:hint="default" w:ascii="宋体" w:hAnsi="宋体" w:eastAsia="宋体" w:cs="宋体"/>
                      <w:color w:val="000000" w:themeColor="text1"/>
                      <w:sz w:val="21"/>
                      <w:szCs w:val="21"/>
                      <w:highlight w:val="none"/>
                      <w:lang w:val="zh-TW"/>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w:t>
                  </w:r>
                  <w:r>
                    <w:rPr>
                      <w:rFonts w:ascii="宋体" w:hAnsi="宋体" w:eastAsia="宋体" w:cs="宋体"/>
                      <w:color w:val="000000" w:themeColor="text1"/>
                      <w:sz w:val="21"/>
                      <w:szCs w:val="21"/>
                      <w:highlight w:val="none"/>
                      <w:lang w:val="zh-TW"/>
                      <w14:textFill>
                        <w14:solidFill>
                          <w14:schemeClr w14:val="tx1"/>
                        </w14:solidFill>
                      </w14:textFill>
                    </w:rPr>
                    <w:t xml:space="preserve"> WPS 365教育高级版账号提供组织架构管理、使用数据概括、离职文档转让等能力，提供IM基础能力、组织管理、轻应用（日历、表单、审批等）。</w:t>
                  </w:r>
                </w:p>
                <w:p w14:paraId="352B0DED">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val="zh-TW"/>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根据学校适用于采购人办公室、教室、实验室和图书馆等场所的计算机实际，可降级到其它版本。</w:t>
                  </w:r>
                </w:p>
              </w:tc>
            </w:tr>
          </w:tbl>
          <w:p w14:paraId="59F72A30">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4549582">
            <w:pPr>
              <w:keepNext w:val="0"/>
              <w:keepLines w:val="0"/>
              <w:pageBreakBefore w:val="0"/>
              <w:widowControl/>
              <w:kinsoku/>
              <w:wordWrap/>
              <w:overflowPunct/>
              <w:topLinePunct w:val="0"/>
              <w:autoSpaceDE/>
              <w:autoSpaceDN/>
              <w:bidi w:val="0"/>
              <w:adjustRightInd/>
              <w:snapToGrid/>
              <w:spacing w:line="320" w:lineRule="exact"/>
              <w:ind w:firstLine="420" w:firstLineChars="200"/>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B021AC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D652F2F">
      <w:pPr>
        <w:rPr>
          <w:rFonts w:hint="eastAsia"/>
          <w:color w:val="000000" w:themeColor="text1"/>
          <w:highlight w:val="none"/>
          <w14:textFill>
            <w14:solidFill>
              <w14:schemeClr w14:val="tx1"/>
            </w14:solidFill>
          </w14:textFill>
        </w:rPr>
      </w:pPr>
    </w:p>
    <w:p w14:paraId="01CE89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采购包</w:t>
      </w:r>
      <w:r>
        <w:rPr>
          <w:rFonts w:hint="eastAsia" w:asciiTheme="minorEastAsia" w:hAnsiTheme="minorEastAsia" w:cstheme="minorEastAsia"/>
          <w:b/>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（阳江职业技术学院零信任设备采购）</w:t>
      </w:r>
    </w:p>
    <w:p w14:paraId="50505B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29"/>
        <w:gridCol w:w="7142"/>
      </w:tblGrid>
      <w:tr w14:paraId="04E99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52" w:type="dxa"/>
            <w:vAlign w:val="center"/>
          </w:tcPr>
          <w:p w14:paraId="19DB31AF">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标的提供的时间</w:t>
            </w:r>
          </w:p>
        </w:tc>
        <w:tc>
          <w:tcPr>
            <w:tcW w:w="7255" w:type="dxa"/>
            <w:vAlign w:val="top"/>
          </w:tcPr>
          <w:p w14:paraId="75AD60F6">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自合同签订之日起15天内完成。（超出该</w:t>
            </w:r>
            <w:r>
              <w:rPr>
                <w:rFonts w:hint="eastAsia" w:ascii="宋体" w:hAnsi="宋体" w:eastAsia="宋体" w:cs="宋体"/>
                <w:color w:val="000000" w:themeColor="text1"/>
                <w:sz w:val="21"/>
                <w:szCs w:val="21"/>
                <w:highlight w:val="none"/>
                <w:lang w:val="en-US" w:eastAsia="zh-CN"/>
                <w14:textFill>
                  <w14:solidFill>
                    <w14:schemeClr w14:val="tx1"/>
                  </w14:solidFill>
                </w14:textFill>
              </w:rPr>
              <w:t>服务</w:t>
            </w:r>
            <w:r>
              <w:rPr>
                <w:rFonts w:hint="eastAsia" w:ascii="宋体" w:hAnsi="宋体" w:eastAsia="宋体" w:cs="宋体"/>
                <w:color w:val="000000" w:themeColor="text1"/>
                <w:sz w:val="21"/>
                <w:szCs w:val="21"/>
                <w:highlight w:val="none"/>
                <w:lang w:eastAsia="zh-CN"/>
                <w14:textFill>
                  <w14:solidFill>
                    <w14:schemeClr w14:val="tx1"/>
                  </w14:solidFill>
                </w14:textFill>
              </w:rPr>
              <w:t>期作无效投标处理）</w:t>
            </w:r>
          </w:p>
        </w:tc>
      </w:tr>
      <w:tr w14:paraId="00CFC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52" w:type="dxa"/>
            <w:vAlign w:val="center"/>
          </w:tcPr>
          <w:p w14:paraId="5B3528F9">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标的提供的地点</w:t>
            </w:r>
          </w:p>
        </w:tc>
        <w:tc>
          <w:tcPr>
            <w:tcW w:w="7255" w:type="dxa"/>
            <w:vAlign w:val="top"/>
          </w:tcPr>
          <w:p w14:paraId="370CDF7A">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阳江职业技术学院</w:t>
            </w:r>
            <w:r>
              <w:rPr>
                <w:rFonts w:hint="eastAsia" w:ascii="宋体" w:hAnsi="宋体" w:eastAsia="宋体" w:cs="宋体"/>
                <w:color w:val="000000" w:themeColor="text1"/>
                <w:sz w:val="21"/>
                <w:szCs w:val="21"/>
                <w:highlight w:val="none"/>
                <w:lang w:eastAsia="zh-CN"/>
                <w14:textFill>
                  <w14:solidFill>
                    <w14:schemeClr w14:val="tx1"/>
                  </w14:solidFill>
                </w14:textFill>
              </w:rPr>
              <w:t>。</w:t>
            </w:r>
          </w:p>
        </w:tc>
      </w:tr>
      <w:tr w14:paraId="596D8A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52" w:type="dxa"/>
            <w:vAlign w:val="center"/>
          </w:tcPr>
          <w:p w14:paraId="4B21DFC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付款方式</w:t>
            </w:r>
          </w:p>
        </w:tc>
        <w:tc>
          <w:tcPr>
            <w:tcW w:w="7255" w:type="dxa"/>
            <w:vAlign w:val="top"/>
          </w:tcPr>
          <w:p w14:paraId="058FB564">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设备验收合格并收到中标供应商请款申请后15个工作日内支付合同总货款85%，设备正常使用三个月内付清15%余款。</w:t>
            </w:r>
          </w:p>
          <w:p w14:paraId="42728B73">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注：本项目支持资金是财政专项资金。付款时间为招标人按照财政资金安排向财政部门申请资金授权支付日起的时间。在规定时间内提交付款申请即视为甲方已履行。</w:t>
            </w:r>
          </w:p>
        </w:tc>
      </w:tr>
      <w:tr w14:paraId="154BE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52" w:type="dxa"/>
            <w:vAlign w:val="center"/>
          </w:tcPr>
          <w:p w14:paraId="047BBD4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履约保证金</w:t>
            </w:r>
          </w:p>
        </w:tc>
        <w:tc>
          <w:tcPr>
            <w:tcW w:w="7255" w:type="dxa"/>
            <w:vAlign w:val="top"/>
          </w:tcPr>
          <w:p w14:paraId="1E361119">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6AD06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52" w:type="dxa"/>
            <w:vAlign w:val="center"/>
          </w:tcPr>
          <w:p w14:paraId="1F05B41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投标报价包括</w:t>
            </w:r>
          </w:p>
        </w:tc>
        <w:tc>
          <w:tcPr>
            <w:tcW w:w="7255" w:type="dxa"/>
            <w:vAlign w:val="top"/>
          </w:tcPr>
          <w:p w14:paraId="782E1ABF">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1"/>
                <w:sz w:val="21"/>
                <w:szCs w:val="21"/>
                <w:highlight w:val="none"/>
                <w:lang w:val="en-US" w:eastAsia="zh-CN"/>
                <w14:textFill>
                  <w14:solidFill>
                    <w14:schemeClr w14:val="tx1"/>
                  </w14:solidFill>
                </w14:textFill>
              </w:rPr>
              <w:t>本次采购项目投标人的报价包括但不限于货物、包装运输、安装调试、人工劳务、保险、税费、培训、利润等其他所有费用，采购人不再支付除中标价外其他任何费用，如出现因投标报价估算错误等引起的损失由投标人自行承担。（单独提供承诺函，格式自拟）</w:t>
            </w:r>
          </w:p>
        </w:tc>
      </w:tr>
      <w:tr w14:paraId="4C65B8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52" w:type="dxa"/>
            <w:vAlign w:val="center"/>
          </w:tcPr>
          <w:p w14:paraId="129EF1C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合同签订要求</w:t>
            </w:r>
          </w:p>
        </w:tc>
        <w:tc>
          <w:tcPr>
            <w:tcW w:w="7255" w:type="dxa"/>
            <w:vAlign w:val="top"/>
          </w:tcPr>
          <w:p w14:paraId="5FA13657">
            <w:pPr>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采购合同由中标供应商凭《中标通知书》与采购人双方签订，签订时间为《中标通知书》发出之日起25个日历日内。</w:t>
            </w:r>
          </w:p>
        </w:tc>
      </w:tr>
      <w:tr w14:paraId="3F8663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52" w:type="dxa"/>
            <w:vAlign w:val="center"/>
          </w:tcPr>
          <w:p w14:paraId="26DC4ED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验收、交付标准和方法</w:t>
            </w:r>
          </w:p>
        </w:tc>
        <w:tc>
          <w:tcPr>
            <w:tcW w:w="7255" w:type="dxa"/>
            <w:vAlign w:val="center"/>
          </w:tcPr>
          <w:p w14:paraId="72937370">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1.设备安装、调试完毕后能正常投入使用；在设备正常投入使用一个月内采购人按相关流程组织验收；验收结果符合技术规格及合同要求。</w:t>
            </w:r>
          </w:p>
          <w:p w14:paraId="44B19514">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依据采购文件要求以及成交投标人投标响应文件中的规格（包括配置）、技术指标响应承诺及其它承诺逐项（条）验收，采购人及中标供应商双方如对质量要求和技术指标的约定标准有相互抵触或异议的事项，由采购人在采购文件、响应文件中按质量要求和技术指标比较优胜的原则确定该项的约定标准进行验收。如发现任何一项与响应文件承诺不符，采购人有权拒绝接受，给采购人带来损失的将按相关规定进行赔偿和承担虚假应标责任。</w:t>
            </w:r>
          </w:p>
        </w:tc>
      </w:tr>
      <w:tr w14:paraId="2966B0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52" w:type="dxa"/>
            <w:vAlign w:val="center"/>
          </w:tcPr>
          <w:p w14:paraId="658A935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质量保修范围和保修期</w:t>
            </w:r>
          </w:p>
        </w:tc>
        <w:tc>
          <w:tcPr>
            <w:tcW w:w="7255" w:type="dxa"/>
            <w:vAlign w:val="center"/>
          </w:tcPr>
          <w:p w14:paraId="58840A53">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1.质保期：自验收合格之日起3年。投标人所投产品属于国家规定“三包”范围的，其产品质保期不得低于“三包”规定；投标人的质量保证期承诺优于国家“三包”规定的，按投标人实际承诺执行。</w:t>
            </w:r>
          </w:p>
          <w:p w14:paraId="0F817C85">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2.质保期内提供硬件维修更换和软件维护升级，质保期外提供终身有偿维修（有偿维修收费标准仅限于维修成本）并提供负责售后服务的联系人姓名和联系方式。</w:t>
            </w:r>
          </w:p>
          <w:p w14:paraId="2F28E1F8">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3.提供安全培训讲座服务1次；</w:t>
            </w:r>
          </w:p>
          <w:p w14:paraId="1365B637">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4.每月进行巡检分析服务并提交分析报告。</w:t>
            </w:r>
          </w:p>
          <w:p w14:paraId="1225C1C2">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5.投标人在售后服务中，维修使用的备品备件及易损件应为原厂配件，未经采购人同意不得使用非原厂配件。</w:t>
            </w:r>
          </w:p>
        </w:tc>
      </w:tr>
      <w:tr w14:paraId="0D426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52" w:type="dxa"/>
            <w:vAlign w:val="center"/>
          </w:tcPr>
          <w:p w14:paraId="0E929401">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违约责任与解决争议的方法</w:t>
            </w:r>
          </w:p>
        </w:tc>
        <w:tc>
          <w:tcPr>
            <w:tcW w:w="7255" w:type="dxa"/>
            <w:vAlign w:val="center"/>
          </w:tcPr>
          <w:p w14:paraId="179B38A9">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1.双方必须遵守本项目合同并执行合同中的各项规定，保证本合同的正常履行。</w:t>
            </w:r>
          </w:p>
          <w:p w14:paraId="1524A837">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如因投标人在履行职务过程中的疏忽、失职、过错等故意或者过失原因给采购人或服务对象造成损失或侵害，包括但不限于采购人或服务对象本身的财产损失、由此而导致的采购人或服务对象对任何第三方的法律责任等，投标人对此均应承担全部的赔偿责任。</w:t>
            </w:r>
          </w:p>
          <w:p w14:paraId="66B16333">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投标人提供的服务不符合采购文件、响应文件或本合同规定的，每出现一次违约（合同涉及“日期”和“天数”的，每逾期一天或少一天，视为一次违约），出现违约3次以上或未按采购人要求整改的，采购人有权无条件解除本合同并要求投标人退还已收取的费用。</w:t>
            </w:r>
          </w:p>
          <w:p w14:paraId="3CFF1A0E">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4.解决争议方法：在执行本合同中发生的或与本合同有关的争端，双方应通过友好协商解决，经协商在60天内不能达成协议时，可以向有管辖权的人民法院提起诉讼。</w:t>
            </w:r>
          </w:p>
        </w:tc>
      </w:tr>
      <w:tr w14:paraId="6AD44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52" w:type="dxa"/>
            <w:vAlign w:val="center"/>
          </w:tcPr>
          <w:p w14:paraId="0E0F9B82">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lang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包装方式及运输</w:t>
            </w:r>
          </w:p>
        </w:tc>
        <w:tc>
          <w:tcPr>
            <w:tcW w:w="7255" w:type="dxa"/>
            <w:vAlign w:val="center"/>
          </w:tcPr>
          <w:p w14:paraId="16E88004">
            <w:pPr>
              <w:pStyle w:val="20"/>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涉及的商品包装和快递包装，均应符合《商品包装政府采购需求标准（试行）》《快递包装政府采购需求标准（试行）》的要求，包装应适应于远距离运输、防潮、防震、防锈和防野蛮装卸，以确保货物安全无损运抵指定地点。</w:t>
            </w:r>
          </w:p>
        </w:tc>
      </w:tr>
    </w:tbl>
    <w:p w14:paraId="408CD34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51C99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5"/>
        <w:tblW w:w="955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06"/>
        <w:gridCol w:w="659"/>
        <w:gridCol w:w="1182"/>
        <w:gridCol w:w="1295"/>
        <w:gridCol w:w="812"/>
        <w:gridCol w:w="794"/>
      </w:tblGrid>
      <w:tr w14:paraId="21562C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5103A71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2CC2B27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6359A8D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6457A29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06" w:type="dxa"/>
            <w:vAlign w:val="center"/>
          </w:tcPr>
          <w:p w14:paraId="19983F4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59" w:type="dxa"/>
            <w:vAlign w:val="center"/>
          </w:tcPr>
          <w:p w14:paraId="4C6E429F">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182" w:type="dxa"/>
            <w:vAlign w:val="center"/>
          </w:tcPr>
          <w:p w14:paraId="0D9A0925">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95" w:type="dxa"/>
            <w:vAlign w:val="center"/>
          </w:tcPr>
          <w:p w14:paraId="19BB79E3">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812" w:type="dxa"/>
            <w:vAlign w:val="center"/>
          </w:tcPr>
          <w:p w14:paraId="3E4A366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2DBC5478">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6424B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6665770C">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7F83E87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vAlign w:val="center"/>
          </w:tcPr>
          <w:p w14:paraId="13575C1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安全设备</w:t>
            </w:r>
          </w:p>
        </w:tc>
        <w:tc>
          <w:tcPr>
            <w:tcW w:w="1281" w:type="dxa"/>
            <w:vAlign w:val="center"/>
          </w:tcPr>
          <w:p w14:paraId="0233BEF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tc>
        <w:tc>
          <w:tcPr>
            <w:tcW w:w="706" w:type="dxa"/>
            <w:vAlign w:val="center"/>
          </w:tcPr>
          <w:p w14:paraId="25BCA03B">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套</w:t>
            </w:r>
          </w:p>
        </w:tc>
        <w:tc>
          <w:tcPr>
            <w:tcW w:w="659" w:type="dxa"/>
            <w:vAlign w:val="center"/>
          </w:tcPr>
          <w:p w14:paraId="2562A0AC">
            <w:pPr>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1.00</w:t>
            </w:r>
          </w:p>
        </w:tc>
        <w:tc>
          <w:tcPr>
            <w:tcW w:w="1182" w:type="dxa"/>
            <w:vAlign w:val="center"/>
          </w:tcPr>
          <w:p w14:paraId="5834156E">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238000.00</w:t>
            </w:r>
          </w:p>
        </w:tc>
        <w:tc>
          <w:tcPr>
            <w:tcW w:w="1295" w:type="dxa"/>
            <w:vAlign w:val="center"/>
          </w:tcPr>
          <w:p w14:paraId="6E6916C2">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238000.00</w:t>
            </w:r>
          </w:p>
        </w:tc>
        <w:tc>
          <w:tcPr>
            <w:tcW w:w="812" w:type="dxa"/>
            <w:shd w:val="clear" w:color="auto" w:fill="auto"/>
            <w:vAlign w:val="center"/>
          </w:tcPr>
          <w:p w14:paraId="7D70BAC7">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工业</w:t>
            </w:r>
          </w:p>
        </w:tc>
        <w:tc>
          <w:tcPr>
            <w:tcW w:w="794" w:type="dxa"/>
            <w:shd w:val="clear" w:color="auto" w:fill="auto"/>
            <w:vAlign w:val="center"/>
          </w:tcPr>
          <w:p w14:paraId="7103A09D">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一</w:t>
            </w:r>
          </w:p>
        </w:tc>
      </w:tr>
    </w:tbl>
    <w:p w14:paraId="4BBEF53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D28EF2">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401459B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：阳江职业技术学院零信任设备采购</w:t>
      </w:r>
    </w:p>
    <w:tbl>
      <w:tblPr>
        <w:tblStyle w:val="15"/>
        <w:tblW w:w="940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93"/>
        <w:gridCol w:w="669"/>
        <w:gridCol w:w="7638"/>
      </w:tblGrid>
      <w:tr w14:paraId="42D3DC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93" w:type="dxa"/>
            <w:vAlign w:val="top"/>
          </w:tcPr>
          <w:p w14:paraId="48408C46">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669" w:type="dxa"/>
            <w:vAlign w:val="top"/>
          </w:tcPr>
          <w:p w14:paraId="02B618BD">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7638" w:type="dxa"/>
            <w:vAlign w:val="top"/>
          </w:tcPr>
          <w:p w14:paraId="6B46ECFD">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236E5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84" w:hRule="atLeast"/>
          <w:jc w:val="center"/>
        </w:trPr>
        <w:tc>
          <w:tcPr>
            <w:tcW w:w="1093" w:type="dxa"/>
            <w:vAlign w:val="top"/>
          </w:tcPr>
          <w:p w14:paraId="2C2C2F0E">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69" w:type="dxa"/>
            <w:vAlign w:val="center"/>
          </w:tcPr>
          <w:p w14:paraId="123A847E">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7638" w:type="dxa"/>
            <w:vAlign w:val="top"/>
          </w:tcPr>
          <w:p w14:paraId="1AF045BC">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详细技术指标要求</w:t>
            </w:r>
          </w:p>
          <w:tbl>
            <w:tblPr>
              <w:tblStyle w:val="16"/>
              <w:tblW w:w="7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051"/>
              <w:gridCol w:w="5630"/>
            </w:tblGrid>
            <w:tr w14:paraId="18F3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17" w:type="dxa"/>
                </w:tcPr>
                <w:p w14:paraId="229F4423">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1276" w:type="dxa"/>
                </w:tcPr>
                <w:p w14:paraId="27D83E3E">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技术参数</w:t>
                  </w:r>
                </w:p>
              </w:tc>
              <w:tc>
                <w:tcPr>
                  <w:tcW w:w="7101" w:type="dxa"/>
                </w:tcPr>
                <w:p w14:paraId="5CE60A8B">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性能参数</w:t>
                  </w:r>
                </w:p>
              </w:tc>
            </w:tr>
            <w:tr w14:paraId="45A6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AA2FDEE">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76" w:type="dxa"/>
                  <w:vAlign w:val="center"/>
                </w:tcPr>
                <w:p w14:paraId="6DDA940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硬件要求</w:t>
                  </w:r>
                </w:p>
              </w:tc>
              <w:tc>
                <w:tcPr>
                  <w:tcW w:w="7101" w:type="dxa"/>
                </w:tcPr>
                <w:p w14:paraId="0C7EF49A">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支架式，规格≥1U，CPU主频≥2.2GHz，核心数≥4核；内存大小≥16G，硬盘容量≥128G SSD，电源≥冗余电源，接口≥8千兆电口+2千兆光口SFP+2万兆光口SFP+。</w:t>
                  </w:r>
                </w:p>
              </w:tc>
            </w:tr>
            <w:tr w14:paraId="0ECB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0" w:hRule="atLeast"/>
              </w:trPr>
              <w:tc>
                <w:tcPr>
                  <w:tcW w:w="817" w:type="dxa"/>
                  <w:vAlign w:val="center"/>
                </w:tcPr>
                <w:p w14:paraId="4874AF3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p w14:paraId="1C766914">
                  <w:pPr>
                    <w:spacing w:line="320" w:lineRule="exact"/>
                    <w:jc w:val="center"/>
                    <w:rPr>
                      <w:rFonts w:ascii="宋体" w:hAnsi="宋体" w:cs="宋体"/>
                      <w:color w:val="000000" w:themeColor="text1"/>
                      <w:szCs w:val="21"/>
                      <w:highlight w:val="none"/>
                      <w14:textFill>
                        <w14:solidFill>
                          <w14:schemeClr w14:val="tx1"/>
                        </w14:solidFill>
                      </w14:textFill>
                    </w:rPr>
                  </w:pPr>
                </w:p>
              </w:tc>
              <w:tc>
                <w:tcPr>
                  <w:tcW w:w="1276" w:type="dxa"/>
                  <w:vAlign w:val="center"/>
                </w:tcPr>
                <w:p w14:paraId="5B12D8E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性能要求</w:t>
                  </w:r>
                </w:p>
              </w:tc>
              <w:tc>
                <w:tcPr>
                  <w:tcW w:w="7101" w:type="dxa"/>
                </w:tcPr>
                <w:p w14:paraId="731BEB6F">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1.接入授权（授权买断）≥1200并发用户数，加密流量≥600Mbps， https并发连接数（个）≥60000， https新建连接数（个/秒）≥240；IPSEC性能参数：加密流量（Mbps）≥170，理论并发隧道数（Tunnel）≥600。要有扩容能力，能够根据招标人的后续业务发展需要实施付费扩容。</w:t>
                  </w:r>
                </w:p>
                <w:p w14:paraId="2FC150CB">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2.应支持IPV4/IPV6双栈网络IP配置，可自主选择配置LAN口或WAN口。为了保护设备的安全，可支持默认限制所有IP通过WAN口访问系统，支持通过配置IP白名单的方式来放通WAN口接入的特殊需求。</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3812477A">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3.支持配置聚合网口，并支持将聚合网口作为综合网关的网络部署IP。聚合网口支持通过哈希或802.3ad等标准对闲置网口进行网口绑定，支持通过ARP探测机制对聚合网口进行健康检查。</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6CA89F02">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4.为强化系统认证安全性，可配置在触发异常环境的条件时，用户需完成增强认证才可登录。可配置的异常环境包括但不限于：帐号首次登录、帐号在该终端首次登录、账号在该地点首次登录、账号在新地点登录、账号在非常用地点登录、闲置帐号登录、弱密码登录、异常时间登录等。</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4F677ECD">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支持管理员自定义用户密码组合方式是否需要包含字母、数字、特殊字符；支持管理员根据情况自行选择密码能否包含用户名、新密码不能与历史前N次密码重复、密码不能包含连续重复字符的次数、密码能否包含键盘连续排序字符等安全规则。</w:t>
                  </w:r>
                </w:p>
                <w:p w14:paraId="03E38638">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6.为了最大程度缩小网络、业务暴露面，零信任平台需提供单包授权能力（SPA），支持UDP+TCP组合的单包授权技术，未授权用户无法连接零信任设备，无法扫描到服务端口，不会出现敲门放大漏洞。</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3DA35748">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7.PC端和移动端均支持通过安全码激活客户端为授权客户端，从而可进行SPA敲门和连接，安全码支持共享码和一人一码两种模式，支持短信分发安全码，保障业务的安全性。</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16B9E279">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8.一人一码模式下，当实际登录用户跟分发SPA安全码绑定的用户不一致时，零信任系统可以阻止用户登录上线并产生安全告警，帮助管理员溯源，进一步提升系统安全性。</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09E5BD31">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9.针对Windows系统用户，支持配置虚拟专线功能，当用户登录零信任客户端之后，自动断开互联网连接，避免互联网威胁影响内网业务系统。</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31F81F32">
                  <w:pPr>
                    <w:spacing w:line="320" w:lineRule="exact"/>
                    <w:rPr>
                      <w:rFonts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支持用户安全日志提取，审计中心应将具有异常登录行为的用户日志自动打标签为用户安全日志，以便于管理员快速审计定位。用户安全日志包括但不限于：帐号安全（应包含帐号首次登录、异常时间登录、非常用地点登录、弱密码登录、爆破登录、闲置帐号登录、帐号在新终端登录等）、中间人攻击、SPA安全（应包含SPA端口扫描、SPA爆破攻击、SPA敲门伪造、SPA重放攻击、SPA安全码泄漏等）、cookie劫持等。</w:t>
                  </w:r>
                </w:p>
                <w:p w14:paraId="46E60323">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11.支持以虚拟IP方式，访问真实的业务系统，以配合其他对IP有要求的安全设备工作，以及便于流量分析类设备进行流量分析。支持共享虚拟IP池模式，为用户组分配一个IP地址段，用户组内的用户首次连接时分配一个IP端内的虚拟IP，可根据IP资源的充裕情况配置用户注销后立即释放虚拟IP或注销后指定时间再释放，若未释放时则代表用户与虚拟IP绑定，便于用户访问行为可追溯。</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5199E033">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12.支持配置点击工作台的业务应用即可直接拉起对应的CS程序进行访问，包括但不限于浏览器、远程桌面或其他指定程序，支持Windows、macOS、统信UOS、麒麟kylin、中科方德、Ubuntu等主流操作系统；针对Windows系统，还应支持拉起CS应用时携带启动参数，自动访问管理员设定的地址。</w:t>
                  </w:r>
                </w:p>
                <w:p w14:paraId="3A8E7BB3">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13.在业务应用兼容性良好的情况下，支持以隧道模式发布http/https协议的资源，以增加在隧道模式下发布的资源的URL级别审计能力，同时支持为隧道资源添加WEB水印以及单点登录功能。</w:t>
                  </w:r>
                </w:p>
                <w:p w14:paraId="6FBAEE2A">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14.对于一些主要在主站点中点击使用的子站点WEB业务系统，且子站点跟主站点业务系统权限一致的场景，为简化管理员配置，零信任系统应支持开启依赖站点功能。为方便业务快速上线，还应支持自动采集站点功能对依赖站点进行梳理。</w:t>
                  </w:r>
                </w:p>
                <w:p w14:paraId="1F46967F">
                  <w:pPr>
                    <w:spacing w:line="320" w:lineRule="exact"/>
                    <w:rPr>
                      <w:rFonts w:ascii="宋体" w:hAnsi="宋体" w:cs="宋体"/>
                      <w:b/>
                      <w:bCs/>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15.支持不同平台的终端同时在线，管理员可分别设置可同时在线的PC或移动终端个数，配置范围不小于0-1000，当超过终端个数时，可以注销最早登录的终端，且被注销的终端有对应的注销提醒；管理员可设置允许终端在线数为0，以禁止用户通过此类终端接入访问。</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0DDF172D">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16.为提升客户端使用体验，零信任移动客户端应支持大字模式，启用后，字体、图标、按钮都适当比例放大。</w:t>
                  </w:r>
                </w:p>
                <w:p w14:paraId="7E15B32D">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17.为提高使用体验，需进一步简化登录操作，需支持在满足条件的情况下，可配置成即使是关机重启，也能自动拉起客户端并自动登录一键上线（强制注销情况除外），可配置的条件包括但不限于：授信终端、Windows域环境、自定义网络环境等。</w:t>
                  </w:r>
                </w:p>
                <w:p w14:paraId="5E74B22B">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▲18.为了保障认证安全与便捷性的平衡，支持在满足条件的情况下为用户配置免除二次认证，可配置的条件包括但不限于：授信终端环境、Windows域环境、自定义网络环境等。</w:t>
                  </w:r>
                  <w:r>
                    <w:rPr>
                      <w:rFonts w:hint="eastAsia" w:ascii="宋体" w:hAnsi="宋体" w:cs="宋体"/>
                      <w:b/>
                      <w:bCs/>
                      <w:color w:val="000000" w:themeColor="text1"/>
                      <w:kern w:val="0"/>
                      <w:szCs w:val="21"/>
                      <w:highlight w:val="none"/>
                      <w:lang w:bidi="ar"/>
                      <w14:textFill>
                        <w14:solidFill>
                          <w14:schemeClr w14:val="tx1"/>
                        </w14:solidFill>
                      </w14:textFill>
                    </w:rPr>
                    <w:t>（需提供截图证明并加盖投标人公章）</w:t>
                  </w:r>
                </w:p>
                <w:p w14:paraId="475CB79C">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19.支持管理员自行配置单位的弱密码库，可配置不少于10W行的弱密码。</w:t>
                  </w:r>
                </w:p>
                <w:p w14:paraId="662005D0">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20为提升在弱网环境下访问体验，零信任隧道应具备抗丢包、抗抖动、平稳发送的能力，实现弱网环境下的访问加速。</w:t>
                  </w:r>
                </w:p>
                <w:p w14:paraId="2E8EE5CB">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21.为降低业务访问时延，提升访问体验，零信任在代理访问资源的时候具备时延优化能力，代理访问时时延不增加或极少增加访问时延，大幅降低业务访问的网络时延。</w:t>
                  </w:r>
                </w:p>
                <w:p w14:paraId="33BF05CF">
                  <w:pPr>
                    <w:spacing w:line="320" w:lineRule="exact"/>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 支持国家密码管理局颁布的SM2、SM3、SM4 商用密码算法及其协议。</w:t>
                  </w:r>
                </w:p>
                <w:p w14:paraId="64B8AD6E">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23产品需与门户系统、统一身份认证等系统做深度融合，保证用户访问门户中发布的应用及其它内容时不受时间地点限制，内外网使用体验感完全一致，支持配置url白名单实现门户内部分业务通过指定路径访问，并支持通过内外网判断策略调整用户内网通过原门户进行访问，外网通过零信任进行访问，IPv4和IPv6同样生效。</w:t>
                  </w:r>
                </w:p>
                <w:p w14:paraId="3569EB3A">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24.支持对终端进行管控，支持外设管控，包括USB存储设备和打印机；支持网络管控，包括违规外联管控和禁用WIFI连接，支持配置可连接的WIFI白名单。</w:t>
                  </w:r>
                </w:p>
                <w:p w14:paraId="0305074F">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25.提供接入的集中身份认证管理，支持内置账号、AD/LDAP、Radius等；支持微信、企业微信、钉钉、飞书扫码登录方式及其他三方扫码登录，支持Ukey数字证书认证、TOTP认证方式；支持基于CAS、OAUTH协议的单点登录。</w:t>
                  </w:r>
                </w:p>
                <w:p w14:paraId="0B667061">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26.能够与招标人现有的堡垒机（品牌：深信服）网络安全设备兼容配合工作。</w:t>
                  </w:r>
                </w:p>
              </w:tc>
            </w:tr>
            <w:tr w14:paraId="7FC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AB50404">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1276" w:type="dxa"/>
                  <w:vAlign w:val="center"/>
                </w:tcPr>
                <w:p w14:paraId="5BB121B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系统运维要求</w:t>
                  </w:r>
                </w:p>
              </w:tc>
              <w:tc>
                <w:tcPr>
                  <w:tcW w:w="7101" w:type="dxa"/>
                </w:tcPr>
                <w:p w14:paraId="15A8FFBE">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1.支持查看所有用户登录终端的详细信息，包括终端名称、类型、客户端版本、硬件特征码等，同时支持终端筛选、分类、标签配置等管理操作。</w:t>
                  </w:r>
                </w:p>
                <w:p w14:paraId="3FC62218">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2.支持设置多级管理员，不同级别的管理员只允许对管理权限范围内操作进行配置。</w:t>
                  </w:r>
                </w:p>
              </w:tc>
            </w:tr>
          </w:tbl>
          <w:p w14:paraId="3349693C">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1C28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93" w:type="dxa"/>
            <w:vAlign w:val="top"/>
          </w:tcPr>
          <w:p w14:paraId="64309AF1">
            <w:pPr>
              <w:keepNext w:val="0"/>
              <w:keepLines w:val="0"/>
              <w:pageBreakBefore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69" w:type="dxa"/>
            <w:vAlign w:val="center"/>
          </w:tcPr>
          <w:p w14:paraId="1E39D84B">
            <w:pPr>
              <w:pStyle w:val="20"/>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7638" w:type="dxa"/>
            <w:vAlign w:val="top"/>
          </w:tcPr>
          <w:p w14:paraId="0A02CC06">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服务要求</w:t>
            </w:r>
          </w:p>
          <w:tbl>
            <w:tblPr>
              <w:tblStyle w:val="15"/>
              <w:tblW w:w="737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05"/>
              <w:gridCol w:w="1244"/>
              <w:gridCol w:w="5421"/>
            </w:tblGrid>
            <w:tr w14:paraId="3ADF8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blHeader/>
                <w:jc w:val="center"/>
              </w:trPr>
              <w:tc>
                <w:tcPr>
                  <w:tcW w:w="705" w:type="dxa"/>
                  <w:vAlign w:val="center"/>
                </w:tcPr>
                <w:p w14:paraId="6F616500">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1244" w:type="dxa"/>
                  <w:vAlign w:val="center"/>
                </w:tcPr>
                <w:p w14:paraId="2B994D4F">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服务要求名称</w:t>
                  </w:r>
                </w:p>
              </w:tc>
              <w:tc>
                <w:tcPr>
                  <w:tcW w:w="5421" w:type="dxa"/>
                </w:tcPr>
                <w:p w14:paraId="79200214">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服务要求内容</w:t>
                  </w:r>
                </w:p>
              </w:tc>
            </w:tr>
            <w:tr w14:paraId="00F69A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10" w:hRule="atLeast"/>
                <w:jc w:val="center"/>
              </w:trPr>
              <w:tc>
                <w:tcPr>
                  <w:tcW w:w="705" w:type="dxa"/>
                  <w:tcBorders>
                    <w:bottom w:val="single" w:color="auto" w:sz="4" w:space="0"/>
                  </w:tcBorders>
                  <w:vAlign w:val="center"/>
                </w:tcPr>
                <w:p w14:paraId="0184DBF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244" w:type="dxa"/>
                  <w:tcBorders>
                    <w:bottom w:val="single" w:color="auto" w:sz="4" w:space="0"/>
                  </w:tcBorders>
                  <w:vAlign w:val="center"/>
                </w:tcPr>
                <w:p w14:paraId="7EE8F20A">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服务要求</w:t>
                  </w:r>
                </w:p>
              </w:tc>
              <w:tc>
                <w:tcPr>
                  <w:tcW w:w="5421" w:type="dxa"/>
                  <w:tcBorders>
                    <w:bottom w:val="single" w:color="auto" w:sz="4" w:space="0"/>
                  </w:tcBorders>
                </w:tcPr>
                <w:p w14:paraId="3CBFD1BF">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★1.供应商应提供统一认证，为门户、企业微信、钉钉提供对接服务。</w:t>
                  </w:r>
                </w:p>
                <w:p w14:paraId="205955B8">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★2.支持通过SDK包集成方式集成移动端APP，实现用户移动端无感知接入。</w:t>
                  </w:r>
                </w:p>
                <w:p w14:paraId="6E835766">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3.供应商针对本次项目系统中存在的bug、缺陷、信息安全漏洞，质保期内、外，中标人均应持续提供修正与消缺服务。</w:t>
                  </w:r>
                </w:p>
              </w:tc>
            </w:tr>
            <w:tr w14:paraId="012BA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71" w:hRule="atLeast"/>
                <w:jc w:val="center"/>
              </w:trPr>
              <w:tc>
                <w:tcPr>
                  <w:tcW w:w="705" w:type="dxa"/>
                  <w:tcBorders>
                    <w:top w:val="single" w:color="auto" w:sz="4" w:space="0"/>
                    <w:bottom w:val="single" w:color="auto" w:sz="4" w:space="0"/>
                  </w:tcBorders>
                  <w:vAlign w:val="center"/>
                </w:tcPr>
                <w:p w14:paraId="0960272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1244" w:type="dxa"/>
                  <w:tcBorders>
                    <w:top w:val="single" w:color="auto" w:sz="4" w:space="0"/>
                    <w:bottom w:val="single" w:color="auto" w:sz="4" w:space="0"/>
                  </w:tcBorders>
                  <w:vAlign w:val="center"/>
                </w:tcPr>
                <w:p w14:paraId="3500C56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技术支持</w:t>
                  </w:r>
                </w:p>
              </w:tc>
              <w:tc>
                <w:tcPr>
                  <w:tcW w:w="5421" w:type="dxa"/>
                  <w:tcBorders>
                    <w:top w:val="single" w:color="auto" w:sz="4" w:space="0"/>
                    <w:bottom w:val="single" w:color="auto" w:sz="4" w:space="0"/>
                  </w:tcBorders>
                </w:tcPr>
                <w:p w14:paraId="7B15D19A">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1.质保期间提供热线电话服务（7*24小时），在接到采购人故障报修后30分钟内响应（电话响应）和安排，12小时内做出故障诊断报告；如需现场服务的，具有解决故障能力的工程师在 24小时内到达故障现场，12小时内无法完成恢复系统正常使用的，提供备用设备，响应时间不超过4小时。</w:t>
                  </w:r>
                </w:p>
                <w:p w14:paraId="4BA43779">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2.质保期间因产品质量问题出现设备损坏，无法通过更换配件恢复的，提供同等配置设备进行更换，响应时间不超过48小时。</w:t>
                  </w:r>
                </w:p>
                <w:p w14:paraId="066A730D">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3.供应商提供培训服务：供应商支持委派原厂技术人员向采购人操作人员提供集中培训服务和培训教材，集中培训时间≥1天，直至采购人操作人员熟练操作为止。</w:t>
                  </w:r>
                </w:p>
              </w:tc>
            </w:tr>
            <w:tr w14:paraId="1125F8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1" w:hRule="atLeast"/>
                <w:jc w:val="center"/>
              </w:trPr>
              <w:tc>
                <w:tcPr>
                  <w:tcW w:w="705" w:type="dxa"/>
                  <w:tcBorders>
                    <w:top w:val="single" w:color="auto" w:sz="4" w:space="0"/>
                    <w:bottom w:val="single" w:color="auto" w:sz="4" w:space="0"/>
                  </w:tcBorders>
                  <w:vAlign w:val="center"/>
                </w:tcPr>
                <w:p w14:paraId="4A534CD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1244" w:type="dxa"/>
                  <w:tcBorders>
                    <w:top w:val="single" w:color="auto" w:sz="4" w:space="0"/>
                    <w:bottom w:val="single" w:color="auto" w:sz="4" w:space="0"/>
                  </w:tcBorders>
                  <w:vAlign w:val="center"/>
                </w:tcPr>
                <w:p w14:paraId="49DE392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实施安全要求</w:t>
                  </w:r>
                </w:p>
              </w:tc>
              <w:tc>
                <w:tcPr>
                  <w:tcW w:w="5421" w:type="dxa"/>
                  <w:tcBorders>
                    <w:top w:val="single" w:color="auto" w:sz="4" w:space="0"/>
                    <w:bottom w:val="single" w:color="auto" w:sz="4" w:space="0"/>
                  </w:tcBorders>
                </w:tcPr>
                <w:p w14:paraId="4088F378">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项目自签订合同之日起至项目完成之日止，设施设备应满足国家有关安全方面的要求，投标人将负责该项目实施过程中的人身安全、财产安全、数据安全等一切安全责任。在项目实施过程中造成的直接或间接损失，均由投标人自行承担。</w:t>
                  </w:r>
                  <w:r>
                    <w:rPr>
                      <w:rFonts w:hint="eastAsia" w:ascii="宋体" w:hAnsi="宋体" w:cs="宋体"/>
                      <w:b/>
                      <w:bCs/>
                      <w:strike w:val="0"/>
                      <w:dstrike w:val="0"/>
                      <w:color w:val="000000" w:themeColor="text1"/>
                      <w:szCs w:val="21"/>
                      <w:highlight w:val="none"/>
                      <w14:textFill>
                        <w14:solidFill>
                          <w14:schemeClr w14:val="tx1"/>
                        </w14:solidFill>
                      </w14:textFill>
                    </w:rPr>
                    <w:t>（单独提供《承诺函》，格式自拟）</w:t>
                  </w:r>
                </w:p>
                <w:p w14:paraId="18A8BBD5">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2.若投标人在项目实施期间与服务人员产生劳动纠纷，由投标人自行承担，相关责任与采购人无关，且投标人须保证本项目能正常进行。</w:t>
                  </w:r>
                </w:p>
              </w:tc>
            </w:tr>
            <w:tr w14:paraId="3ED4A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00" w:hRule="atLeast"/>
                <w:jc w:val="center"/>
              </w:trPr>
              <w:tc>
                <w:tcPr>
                  <w:tcW w:w="705" w:type="dxa"/>
                  <w:tcBorders>
                    <w:top w:val="single" w:color="auto" w:sz="4" w:space="0"/>
                    <w:bottom w:val="single" w:color="auto" w:sz="4" w:space="0"/>
                  </w:tcBorders>
                  <w:vAlign w:val="center"/>
                </w:tcPr>
                <w:p w14:paraId="44E5723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p>
              </w:tc>
              <w:tc>
                <w:tcPr>
                  <w:tcW w:w="1244" w:type="dxa"/>
                  <w:tcBorders>
                    <w:top w:val="single" w:color="auto" w:sz="4" w:space="0"/>
                    <w:bottom w:val="single" w:color="auto" w:sz="4" w:space="0"/>
                  </w:tcBorders>
                  <w:vAlign w:val="center"/>
                </w:tcPr>
                <w:p w14:paraId="549226F0">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产品要求</w:t>
                  </w:r>
                </w:p>
              </w:tc>
              <w:tc>
                <w:tcPr>
                  <w:tcW w:w="5421" w:type="dxa"/>
                  <w:tcBorders>
                    <w:top w:val="single" w:color="auto" w:sz="4" w:space="0"/>
                    <w:bottom w:val="single" w:color="auto" w:sz="4" w:space="0"/>
                  </w:tcBorders>
                </w:tcPr>
                <w:p w14:paraId="700295E4">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所投产品若涉及国家强制认证的（CCC）、进网许可证、网络关键设备和信息安全产品等前置许可、认证的，须符合国家强制认证（CCC）或前置许可、认证的相关规定，投标人应在供货时向采购人提供相关许可、认证材料。</w:t>
                  </w:r>
                  <w:r>
                    <w:rPr>
                      <w:rFonts w:hint="eastAsia" w:ascii="宋体" w:hAnsi="宋体" w:cs="宋体"/>
                      <w:b/>
                      <w:bCs/>
                      <w:strike w:val="0"/>
                      <w:dstrike w:val="0"/>
                      <w:color w:val="000000" w:themeColor="text1"/>
                      <w:szCs w:val="21"/>
                      <w:highlight w:val="none"/>
                      <w14:textFill>
                        <w14:solidFill>
                          <w14:schemeClr w14:val="tx1"/>
                        </w14:solidFill>
                      </w14:textFill>
                    </w:rPr>
                    <w:t>（单独提供《承诺函》，格式自拟）</w:t>
                  </w:r>
                </w:p>
                <w:p w14:paraId="71FEC109">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2.投标人供货时须提供全新的原厂正品货物（含装箱清单、零配件、随机工具、用户使用手册、原厂保修卡等），产品表面无划伤、无碰撞痕迹。</w:t>
                  </w:r>
                </w:p>
              </w:tc>
            </w:tr>
            <w:tr w14:paraId="0E371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69" w:hRule="atLeast"/>
                <w:jc w:val="center"/>
              </w:trPr>
              <w:tc>
                <w:tcPr>
                  <w:tcW w:w="705" w:type="dxa"/>
                  <w:tcBorders>
                    <w:top w:val="single" w:color="auto" w:sz="4" w:space="0"/>
                    <w:bottom w:val="single" w:color="auto" w:sz="4" w:space="0"/>
                  </w:tcBorders>
                  <w:vAlign w:val="center"/>
                </w:tcPr>
                <w:p w14:paraId="4F272F9E">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1244" w:type="dxa"/>
                  <w:tcBorders>
                    <w:top w:val="single" w:color="auto" w:sz="4" w:space="0"/>
                    <w:bottom w:val="single" w:color="auto" w:sz="4" w:space="0"/>
                  </w:tcBorders>
                  <w:vAlign w:val="center"/>
                </w:tcPr>
                <w:p w14:paraId="64F37822">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人员要求及实施要求</w:t>
                  </w:r>
                </w:p>
              </w:tc>
              <w:tc>
                <w:tcPr>
                  <w:tcW w:w="5421" w:type="dxa"/>
                  <w:tcBorders>
                    <w:top w:val="single" w:color="auto" w:sz="4" w:space="0"/>
                    <w:bottom w:val="single" w:color="auto" w:sz="4" w:space="0"/>
                  </w:tcBorders>
                </w:tcPr>
                <w:p w14:paraId="3109A631">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1.为规范和促进本项目的正常实施和推进，投标人须针对本项目成立独立的项目组，配备并组织足够的专业技术人员参加本项目工作，完成本项目实施要求的各项工作。</w:t>
                  </w:r>
                </w:p>
                <w:p w14:paraId="37ED4899">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2.应具备完整的应急处理体系并提供后续服务技术支持，安排专人处理应急事宜，并就本项目提出技术方案、实施方案、售后服务方案。</w:t>
                  </w:r>
                </w:p>
              </w:tc>
            </w:tr>
          </w:tbl>
          <w:p w14:paraId="23F4130C">
            <w:pPr>
              <w:keepNext w:val="0"/>
              <w:keepLines w:val="0"/>
              <w:pageBreakBefore w:val="0"/>
              <w:widowControl/>
              <w:kinsoku/>
              <w:wordWrap/>
              <w:overflowPunct/>
              <w:topLinePunct w:val="0"/>
              <w:autoSpaceDE/>
              <w:autoSpaceDN/>
              <w:bidi w:val="0"/>
              <w:adjustRightInd/>
              <w:snapToGrid/>
              <w:spacing w:line="320" w:lineRule="exact"/>
              <w:textAlignment w:val="baseline"/>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782DC7D">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A367F16">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bookmarkStart w:id="2" w:name="_Toc2956"/>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2"/>
    </w:p>
    <w:p w14:paraId="1A1716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3" w:name="_Toc2008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3"/>
    </w:p>
    <w:p w14:paraId="32277E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rPr>
          <w:rFonts w:hint="eastAsia"/>
          <w:color w:val="000000" w:themeColor="text1"/>
          <w:highlight w:val="none"/>
          <w14:textFill>
            <w14:solidFill>
              <w14:schemeClr w14:val="tx1"/>
            </w14:solidFill>
          </w14:textFill>
        </w:rPr>
      </w:pPr>
    </w:p>
    <w:p w14:paraId="0298AE41">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4" w:name="_Toc2048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4"/>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p w14:paraId="0B2EE45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115724E7">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总价</w:t>
            </w:r>
          </w:p>
          <w:p w14:paraId="3DB2A4E6">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0"/>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28A62201">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20"/>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（内含“开标一览表”、“法定代表人（负责人）证明书”和“法定代表人（负责人）授权书”）</w:t>
            </w:r>
          </w:p>
          <w:p w14:paraId="591705EC">
            <w:pPr>
              <w:pStyle w:val="20"/>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20"/>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20"/>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5C204845">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6C7375EB">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采购包2：3家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3A17825B">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p w14:paraId="0725DD07">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03F215A0">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采购包2：3家</w:t>
            </w:r>
          </w:p>
          <w:p w14:paraId="23A4B970">
            <w:pPr>
              <w:pStyle w:val="20"/>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本项目兼投兼中。</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w:t>
            </w:r>
            <w:r>
              <w:rPr>
                <w:rFonts w:ascii="宋体" w:hAnsi="宋体" w:eastAsia="宋体" w:cs="宋体"/>
                <w:color w:val="000000" w:themeColor="text1"/>
                <w:highlight w:val="none"/>
                <w14:textFill>
                  <w14:solidFill>
                    <w14:schemeClr w14:val="tx1"/>
                  </w14:solidFill>
                </w14:textFill>
              </w:rPr>
              <w:t>参考发改价格[2011]534号文的规定，招标代理服务费按差额定率累进法计算。</w:t>
            </w:r>
            <w:r>
              <w:rPr>
                <w:rFonts w:hint="eastAsia" w:ascii="宋体" w:hAnsi="宋体" w:eastAsia="宋体" w:cs="宋体"/>
                <w:color w:val="000000" w:themeColor="text1"/>
                <w:highlight w:val="none"/>
                <w:lang w:val="en-US" w:eastAsia="zh-CN"/>
                <w14:textFill>
                  <w14:solidFill>
                    <w14:schemeClr w14:val="tx1"/>
                  </w14:solidFill>
                </w14:textFill>
              </w:rPr>
              <w:t>采购包1：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招标代理服务费不足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90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90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采购包2：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招标代理服务费不足</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00元按定额</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40</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00元收取。</w:t>
            </w:r>
            <w:r>
              <w:rPr>
                <w:rFonts w:ascii="宋体" w:hAnsi="宋体" w:eastAsia="宋体" w:cs="宋体"/>
                <w:color w:val="000000" w:themeColor="text1"/>
                <w:highlight w:val="none"/>
                <w14:textFill>
                  <w14:solidFill>
                    <w14:schemeClr w14:val="tx1"/>
                  </w14:solidFill>
                </w14:textFill>
              </w:rPr>
              <w:t>中标服务费由</w:t>
            </w:r>
            <w:r>
              <w:rPr>
                <w:rFonts w:hint="eastAsia" w:ascii="宋体" w:hAnsi="宋体" w:eastAsia="宋体" w:cs="宋体"/>
                <w:color w:val="000000" w:themeColor="text1"/>
                <w:highlight w:val="none"/>
                <w:lang w:val="en-US" w:eastAsia="zh-CN"/>
                <w14:textFill>
                  <w14:solidFill>
                    <w14:schemeClr w14:val="tx1"/>
                  </w14:solidFill>
                </w14:textFill>
              </w:rPr>
              <w:t>各</w:t>
            </w:r>
            <w:r>
              <w:rPr>
                <w:rFonts w:ascii="宋体" w:hAnsi="宋体" w:eastAsia="宋体" w:cs="宋体"/>
                <w:color w:val="000000" w:themeColor="text1"/>
                <w:highlight w:val="none"/>
                <w14:textFill>
                  <w14:solidFill>
                    <w14:schemeClr w14:val="tx1"/>
                  </w14:solidFill>
                </w14:textFill>
              </w:rPr>
              <w:t>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20"/>
              <w:keepNext w:val="0"/>
              <w:keepLines w:val="0"/>
              <w:pageBreakBefore w:val="0"/>
              <w:kinsoku/>
              <w:wordWrap/>
              <w:overflowPunct/>
              <w:topLinePunct w:val="0"/>
              <w:autoSpaceDE/>
              <w:autoSpaceDN/>
              <w:bidi w:val="0"/>
              <w:adjustRightInd/>
              <w:snapToGrid/>
              <w:spacing w:line="360" w:lineRule="auto"/>
              <w:jc w:val="left"/>
              <w:textAlignment w:val="auto"/>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color w:val="000000" w:themeColor="text1"/>
                <w:highlight w:val="none"/>
                <w14:textFill>
                  <w14:solidFill>
                    <w14:schemeClr w14:val="tx1"/>
                  </w14:solidFill>
                </w14:textFill>
              </w:rPr>
              <w:t>非专门面向中小企业</w:t>
            </w:r>
          </w:p>
          <w:p w14:paraId="0BC90794">
            <w:pPr>
              <w:pStyle w:val="20"/>
              <w:keepNext w:val="0"/>
              <w:keepLines w:val="0"/>
              <w:pageBreakBefore w:val="0"/>
              <w:kinsoku/>
              <w:wordWrap/>
              <w:overflowPunct/>
              <w:topLinePunct w:val="0"/>
              <w:autoSpaceDE/>
              <w:autoSpaceDN/>
              <w:bidi w:val="0"/>
              <w:adjustRightInd/>
              <w:snapToGrid/>
              <w:spacing w:line="360" w:lineRule="auto"/>
              <w:jc w:val="left"/>
              <w:textAlignment w:val="auto"/>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color w:val="000000" w:themeColor="text1"/>
                <w:highlight w:val="none"/>
                <w14:textFill>
                  <w14:solidFill>
                    <w14:schemeClr w14:val="tx1"/>
                  </w14:solidFill>
                </w14:textFill>
              </w:rPr>
              <w:t>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0"/>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5865E7D3">
      <w:pPr>
        <w:rPr>
          <w:rFonts w:hint="eastAsia"/>
          <w:color w:val="000000" w:themeColor="text1"/>
          <w:highlight w:val="none"/>
          <w14:textFill>
            <w14:solidFill>
              <w14:schemeClr w14:val="tx1"/>
            </w14:solidFill>
          </w14:textFill>
        </w:rPr>
      </w:pPr>
    </w:p>
    <w:p w14:paraId="327CE6C0">
      <w:pPr>
        <w:rPr>
          <w:rFonts w:hint="eastAsia"/>
          <w:color w:val="000000" w:themeColor="text1"/>
          <w:highlight w:val="none"/>
          <w14:textFill>
            <w14:solidFill>
              <w14:schemeClr w14:val="tx1"/>
            </w14:solidFill>
          </w14:textFill>
        </w:rPr>
      </w:pPr>
    </w:p>
    <w:p w14:paraId="5C028B5A">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5" w:name="_Toc605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5"/>
    </w:p>
    <w:p w14:paraId="7CD3695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D0AB78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1FA82BE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254F70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40846CC4">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580F8BD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51046142">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5D6E2F33">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6" w:name="_Toc677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6"/>
    </w:p>
    <w:p w14:paraId="752CA93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3F12935">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78090B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 w:name="_Toc243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7"/>
    </w:p>
    <w:p w14:paraId="3B575A9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4642B8FD">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08311077">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7A94B98">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1A58754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057A9BA3">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7A9CB76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42691D12">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7C54169">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7EC1D7F">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55DFD3CF">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8" w:name="_Toc340672860"/>
      <w:bookmarkStart w:id="9" w:name="_Toc339441078"/>
      <w:bookmarkStart w:id="10" w:name="_Toc374454591"/>
      <w:bookmarkStart w:id="11" w:name="_Toc345513858"/>
      <w:bookmarkStart w:id="12" w:name="_Toc337632349"/>
      <w:bookmarkStart w:id="13" w:name="_Toc350438740"/>
      <w:bookmarkStart w:id="14" w:name="_Toc330459976"/>
      <w:bookmarkStart w:id="15" w:name="_Toc497224218"/>
      <w:bookmarkStart w:id="16" w:name="_Toc366072519"/>
      <w:bookmarkStart w:id="17" w:name="_Toc333237779"/>
      <w:bookmarkStart w:id="18" w:name="_Toc339019880"/>
      <w:bookmarkStart w:id="19" w:name="_Toc336681926"/>
      <w:bookmarkStart w:id="20" w:name="_Toc332270337"/>
      <w:bookmarkStart w:id="21" w:name="_Toc339020224"/>
      <w:bookmarkStart w:id="22" w:name="_Toc339020086"/>
      <w:bookmarkStart w:id="23" w:name="_Toc341348329"/>
      <w:bookmarkStart w:id="24" w:name="_Toc342296751"/>
      <w:bookmarkStart w:id="25" w:name="_Toc349143580"/>
      <w:bookmarkStart w:id="26" w:name="_Toc336681571"/>
      <w:bookmarkStart w:id="27" w:name="_Toc339020006"/>
      <w:bookmarkStart w:id="28" w:name="_Toc333238624"/>
      <w:bookmarkStart w:id="29" w:name="_Toc350756441"/>
      <w:bookmarkStart w:id="30" w:name="_Toc339362291"/>
      <w:bookmarkStart w:id="31" w:name="_Toc331512889"/>
      <w:bookmarkStart w:id="32" w:name="_Toc340507433"/>
      <w:bookmarkStart w:id="33" w:name="_Toc332206699"/>
      <w:bookmarkStart w:id="34" w:name="_Toc333935337"/>
      <w:bookmarkStart w:id="35" w:name="_Toc365967064"/>
      <w:bookmarkStart w:id="36" w:name="_Toc503785420"/>
      <w:bookmarkStart w:id="37" w:name="_Toc365985170"/>
      <w:bookmarkStart w:id="38" w:name="_Toc340677061"/>
      <w:bookmarkStart w:id="39" w:name="_Toc342060365"/>
      <w:bookmarkStart w:id="40" w:name="_Toc333935678"/>
      <w:bookmarkStart w:id="41" w:name="_Toc349127617"/>
      <w:bookmarkStart w:id="42" w:name="_Toc331684029"/>
      <w:bookmarkStart w:id="43" w:name="_Toc333237668"/>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44" w:name="_Toc345513861"/>
      <w:bookmarkStart w:id="45" w:name="_Toc331684032"/>
      <w:bookmarkStart w:id="46" w:name="_Toc336681574"/>
      <w:bookmarkStart w:id="47" w:name="_Toc350756444"/>
      <w:bookmarkStart w:id="48" w:name="_Toc342060368"/>
      <w:bookmarkStart w:id="49" w:name="_Toc330459979"/>
      <w:bookmarkStart w:id="50" w:name="_Toc374454594"/>
      <w:bookmarkStart w:id="51" w:name="_Toc340677064"/>
      <w:bookmarkStart w:id="52" w:name="_Toc339020089"/>
      <w:bookmarkStart w:id="53" w:name="_Toc339441081"/>
      <w:bookmarkStart w:id="54" w:name="_Toc339019883"/>
      <w:bookmarkStart w:id="55" w:name="_Toc333237782"/>
      <w:bookmarkStart w:id="56" w:name="_Toc333935681"/>
      <w:bookmarkStart w:id="57" w:name="_Toc365967067"/>
      <w:bookmarkStart w:id="58" w:name="_Toc349143583"/>
      <w:bookmarkStart w:id="59" w:name="_Toc339020227"/>
      <w:bookmarkStart w:id="60" w:name="_Toc339362294"/>
      <w:bookmarkStart w:id="61" w:name="_Toc340507436"/>
      <w:bookmarkStart w:id="62" w:name="_Toc340672863"/>
      <w:bookmarkStart w:id="63" w:name="_Toc332270340"/>
      <w:bookmarkStart w:id="64" w:name="_Toc331512892"/>
      <w:bookmarkStart w:id="65" w:name="_Toc349127620"/>
      <w:bookmarkStart w:id="66" w:name="_Toc503785423"/>
      <w:bookmarkStart w:id="67" w:name="_Toc332206702"/>
      <w:bookmarkStart w:id="68" w:name="_Toc366072522"/>
      <w:bookmarkStart w:id="69" w:name="_Toc333238627"/>
      <w:bookmarkStart w:id="70" w:name="_Toc341348332"/>
      <w:bookmarkStart w:id="71" w:name="_Toc497224221"/>
      <w:bookmarkStart w:id="72" w:name="_Toc17227"/>
      <w:bookmarkStart w:id="73" w:name="_Toc333935340"/>
      <w:bookmarkStart w:id="74" w:name="_Toc333237671"/>
      <w:bookmarkStart w:id="75" w:name="_Toc365985173"/>
      <w:bookmarkStart w:id="76" w:name="_Toc350438743"/>
      <w:bookmarkStart w:id="77" w:name="_Toc342296754"/>
      <w:bookmarkStart w:id="78" w:name="_Toc339020009"/>
      <w:bookmarkStart w:id="79" w:name="_Toc337632352"/>
      <w:bookmarkStart w:id="80" w:name="_Toc336681929"/>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6.1投标保证金的缴纳</w:t>
      </w:r>
    </w:p>
    <w:p w14:paraId="209C07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电子保函与纸质保函具有同样效力。</w:t>
      </w:r>
    </w:p>
    <w:p w14:paraId="1B0489D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6.2投标保证金的退还：</w:t>
      </w:r>
    </w:p>
    <w:p w14:paraId="082C26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1" w:name="_Toc198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81"/>
    </w:p>
    <w:p w14:paraId="161C8DFB">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2" w:name="_Toc2177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82"/>
    </w:p>
    <w:p w14:paraId="6586F6C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3" w:name="_Toc221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83"/>
    </w:p>
    <w:p w14:paraId="78BC0CC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75D8F79C">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1.1采购人应当自《中标通知书》发出之日起三十日内，按照招标文件和中标供应商投标文件的约定，与中标供应商签订合同。所签订的合同不得对招标文件和中标供应商投标文件作实质性修改。</w:t>
      </w:r>
    </w:p>
    <w:p w14:paraId="07CB76B1">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3066B9D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2.1政府采购合同订立后，合同各方不得擅自变更、中止或者终止合同。</w:t>
      </w:r>
    </w:p>
    <w:p w14:paraId="580C0856">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4" w:name="_Toc4442"/>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84"/>
    </w:p>
    <w:p w14:paraId="4D6611C0">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5" w:name="_Toc2860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85"/>
    </w:p>
    <w:p w14:paraId="301AE48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综合评分法,是指投标文件满足招标文件全部实质性要求，且按照评审因素的量化指标评审得分最高的投标人为中标候选人的评标方法。（最低报价不是中标的唯一依据。）</w:t>
      </w:r>
    </w:p>
    <w:p w14:paraId="5F03300B">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(阳江职业技术学院零信任设备采购)：综合评分法,是指投标文件满足招标文件全部实质性要求，且按照评审因素的量化指标评审得分最高的投标人为中标候选人的评标方法。（最低报价不是中标的唯一依据。）</w:t>
      </w:r>
    </w:p>
    <w:p w14:paraId="6CCD39B4">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说明：在评标过程中发现投标人有上述情形的，评标委员会应当认定其投标无效。同时，项目评审时被认定为串通投标的投标人不得参加该合同项下的采购活动。</w:t>
      </w:r>
    </w:p>
    <w:p w14:paraId="5280A8B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6" w:name="_Toc46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86"/>
    </w:p>
    <w:p w14:paraId="7690B82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w:t>
      </w:r>
    </w:p>
    <w:tbl>
      <w:tblPr>
        <w:tblStyle w:val="15"/>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43730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689" w:hRule="atLeast"/>
          <w:jc w:val="center"/>
        </w:trPr>
        <w:tc>
          <w:tcPr>
            <w:tcW w:w="720" w:type="dxa"/>
            <w:vAlign w:val="center"/>
          </w:tcPr>
          <w:p w14:paraId="7B31CB2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4F3C482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120C9FF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0B3F22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59E5265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23435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04AAF07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53B4FEC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058CB88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center"/>
          </w:tcPr>
          <w:p w14:paraId="53E0D43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78278C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3D10F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091E704A">
            <w:pPr>
              <w:pStyle w:val="20"/>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4A30B27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4CFB3889">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D7CB30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5339E74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31D9B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13BCDFB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2889964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F705A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tbl>
      <w:tblPr>
        <w:tblStyle w:val="15"/>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2F79A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7D2FC5D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63AC153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4A3C738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7B1C12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6CA8609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04AEC6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3F145EF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top"/>
          </w:tcPr>
          <w:p w14:paraId="131321A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top"/>
          </w:tcPr>
          <w:p w14:paraId="31C0988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w:t>
            </w:r>
          </w:p>
        </w:tc>
        <w:tc>
          <w:tcPr>
            <w:tcW w:w="859" w:type="dxa"/>
            <w:vAlign w:val="center"/>
          </w:tcPr>
          <w:p w14:paraId="081D353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top"/>
          </w:tcPr>
          <w:p w14:paraId="263A378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5CC49C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5222ACE7">
            <w:pPr>
              <w:pStyle w:val="20"/>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7AD57F3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447B243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38C5E5C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649374F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49AE2C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74B3DEC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138BC61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A117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7" w:name="_Toc3079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评审程序</w:t>
      </w:r>
      <w:bookmarkEnd w:id="87"/>
    </w:p>
    <w:p w14:paraId="0877031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288A0FE5">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w:t>
            </w:r>
          </w:p>
          <w:p w14:paraId="32E55402">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3A321888">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70ACC952">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14176511">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1413FCA8">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r w14:paraId="2189E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E4E082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4644F90B">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本项目不接受联合体投标</w:t>
            </w:r>
          </w:p>
        </w:tc>
        <w:tc>
          <w:tcPr>
            <w:tcW w:w="5772" w:type="dxa"/>
            <w:vAlign w:val="top"/>
          </w:tcPr>
          <w:p w14:paraId="7203A06F">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本项目不接受联合体投标</w:t>
            </w:r>
          </w:p>
        </w:tc>
      </w:tr>
    </w:tbl>
    <w:p w14:paraId="15B116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27D72B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5B096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77182934">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573D405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322838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2314B1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0F7DECF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3A262BD6">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w:t>
            </w:r>
          </w:p>
          <w:p w14:paraId="594468E8">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标（响应）时提交有效的营业执照（或事业法人登记证或身份证等相关证明） 副本复印件。分支机构投标的，须提供总公司和分公司营业执照副本复印件，总公司出具给分支机构的授权书。</w:t>
            </w:r>
          </w:p>
        </w:tc>
      </w:tr>
      <w:tr w14:paraId="3752E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5EF8500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047D29F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4772AD5B">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63B82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5DA9ED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3DEC7A6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5D4B931C">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200B6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1968B4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14D247B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top"/>
          </w:tcPr>
          <w:p w14:paraId="4FCADE5A">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设备及专业技术能力情况或出具《承诺函》。</w:t>
            </w:r>
          </w:p>
        </w:tc>
      </w:tr>
      <w:tr w14:paraId="730E7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281127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36D1CE8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1C01334E">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66A19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3A707F2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00FCEBE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D5D6477">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2E886B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3AFA4C6">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2E0928A9">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FC739F9">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单位负责人为同一人或者存在直接控股、 管理关系的不同供应商，不得同时参加本采购项目（或采购包） 投标（响应）。 为本项目提供整体设计、规范编制或者项目管理、 监理、 检测等服务的供应商，不得再参与本项目投标（响应）。 投标函相关承诺要求内容。</w:t>
            </w:r>
          </w:p>
        </w:tc>
      </w:tr>
      <w:tr w14:paraId="70222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CB3C925">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p>
        </w:tc>
        <w:tc>
          <w:tcPr>
            <w:tcW w:w="2327" w:type="dxa"/>
            <w:vAlign w:val="center"/>
          </w:tcPr>
          <w:p w14:paraId="24002218">
            <w:pPr>
              <w:pStyle w:val="20"/>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本项目不接受联合体投标</w:t>
            </w:r>
          </w:p>
        </w:tc>
        <w:tc>
          <w:tcPr>
            <w:tcW w:w="5772" w:type="dxa"/>
            <w:vAlign w:val="top"/>
          </w:tcPr>
          <w:p w14:paraId="68ED34EE">
            <w:pPr>
              <w:pStyle w:val="20"/>
              <w:keepNext w:val="0"/>
              <w:keepLines w:val="0"/>
              <w:pageBreakBefore w:val="0"/>
              <w:kinsoku/>
              <w:wordWrap/>
              <w:overflowPunct/>
              <w:topLinePunct w:val="0"/>
              <w:autoSpaceDE/>
              <w:autoSpaceDN/>
              <w:bidi w:val="0"/>
              <w:adjustRightInd/>
              <w:snapToGrid/>
              <w:spacing w:line="320" w:lineRule="exact"/>
              <w:textAlignment w:val="auto"/>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14:textFill>
                  <w14:solidFill>
                    <w14:schemeClr w14:val="tx1"/>
                  </w14:solidFill>
                </w14:textFill>
              </w:rPr>
              <w:t>本项目不接受联合体投标</w:t>
            </w:r>
          </w:p>
        </w:tc>
      </w:tr>
    </w:tbl>
    <w:p w14:paraId="7A56CF6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E1099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BB47D41">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0C08A8B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51898E1C">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5AED4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5B7C572D">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top"/>
          </w:tcPr>
          <w:p w14:paraId="34933A1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须满足带“★”号要求</w:t>
            </w:r>
          </w:p>
        </w:tc>
        <w:tc>
          <w:tcPr>
            <w:tcW w:w="5757" w:type="dxa"/>
            <w:shd w:val="clear" w:color="auto" w:fill="auto"/>
            <w:vAlign w:val="top"/>
          </w:tcPr>
          <w:p w14:paraId="2B9B122A">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按文件要求提供证明材料。</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38475FD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1C769C7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7E753EAF">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合同签订后15个工作日内完成实施项目的供货与实施。（超出该服务期作无效投标处理）</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4C712CB0">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798F4D64">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0525E0E4">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人民币600000.00元（超出该上限的投标报价将作为无效投标处理）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7F2EB74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DB4DDB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2342A39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872C61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c>
          <w:tcPr>
            <w:tcW w:w="2342" w:type="dxa"/>
            <w:shd w:val="clear" w:color="auto" w:fill="auto"/>
            <w:vAlign w:val="center"/>
          </w:tcPr>
          <w:p w14:paraId="50FF4EA4">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1D98FD6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388FF5D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B4F4D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658BA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EF70EA0">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序号</w:t>
            </w:r>
          </w:p>
        </w:tc>
        <w:tc>
          <w:tcPr>
            <w:tcW w:w="2342" w:type="dxa"/>
            <w:vAlign w:val="top"/>
          </w:tcPr>
          <w:p w14:paraId="2CCE856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top"/>
          </w:tcPr>
          <w:p w14:paraId="0978F59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78EE2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146EC7B2">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top"/>
          </w:tcPr>
          <w:p w14:paraId="795E3CFE">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须满足带“★”号要求</w:t>
            </w:r>
          </w:p>
        </w:tc>
        <w:tc>
          <w:tcPr>
            <w:tcW w:w="5757" w:type="dxa"/>
            <w:shd w:val="clear" w:color="auto" w:fill="auto"/>
            <w:vAlign w:val="top"/>
          </w:tcPr>
          <w:p w14:paraId="21A522F5">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按文件要求提供证明材料。</w:t>
            </w:r>
          </w:p>
        </w:tc>
      </w:tr>
      <w:tr w14:paraId="5B9F3A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72E4300E">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833D9B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top"/>
          </w:tcPr>
          <w:p w14:paraId="6C749C12">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自合同签订之日起15天内完成。</w:t>
            </w:r>
            <w:r>
              <w:rPr>
                <w:rFonts w:hint="eastAsia" w:ascii="宋体" w:hAnsi="宋体" w:eastAsia="宋体" w:cs="宋体"/>
                <w:color w:val="000000" w:themeColor="text1"/>
                <w:highlight w:val="none"/>
                <w:lang w:val="en-US" w:eastAsia="zh-CN"/>
                <w14:textFill>
                  <w14:solidFill>
                    <w14:schemeClr w14:val="tx1"/>
                  </w14:solidFill>
                </w14:textFill>
              </w:rPr>
              <w:t>（超出该服务期作无效投标处理）</w:t>
            </w:r>
          </w:p>
        </w:tc>
      </w:tr>
      <w:tr w14:paraId="2AF8D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00B7E2BB">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2512DC2A">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top"/>
          </w:tcPr>
          <w:p w14:paraId="287F0337">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highlight w:val="none"/>
                <w14:textFill>
                  <w14:solidFill>
                    <w14:schemeClr w14:val="tx1"/>
                  </w14:solidFill>
                </w14:textFill>
              </w:rPr>
              <w:t>人民币</w:t>
            </w:r>
            <w:r>
              <w:rPr>
                <w:rFonts w:hint="eastAsia" w:ascii="宋体" w:hAnsi="宋体" w:eastAsia="宋体" w:cs="宋体"/>
                <w:color w:val="000000" w:themeColor="text1"/>
                <w:highlight w:val="none"/>
                <w:lang w:val="en-US" w:eastAsia="zh-CN"/>
                <w14:textFill>
                  <w14:solidFill>
                    <w14:schemeClr w14:val="tx1"/>
                  </w14:solidFill>
                </w14:textFill>
              </w:rPr>
              <w:t>238000</w:t>
            </w:r>
            <w:r>
              <w:rPr>
                <w:rFonts w:ascii="宋体" w:hAnsi="宋体" w:eastAsia="宋体" w:cs="宋体"/>
                <w:color w:val="000000" w:themeColor="text1"/>
                <w:highlight w:val="none"/>
                <w14:textFill>
                  <w14:solidFill>
                    <w14:schemeClr w14:val="tx1"/>
                  </w14:solidFill>
                </w14:textFill>
              </w:rPr>
              <w:t>.00元（超出该上限的投标报价将作为无效投标处理）</w:t>
            </w:r>
          </w:p>
        </w:tc>
      </w:tr>
      <w:tr w14:paraId="41FCB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10F9182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1D1A1711">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top"/>
          </w:tcPr>
          <w:p w14:paraId="15488A72">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54EF40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shd w:val="clear" w:color="auto" w:fill="auto"/>
            <w:vAlign w:val="center"/>
          </w:tcPr>
          <w:p w14:paraId="49A4DC1F">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c>
          <w:tcPr>
            <w:tcW w:w="2342" w:type="dxa"/>
            <w:shd w:val="clear" w:color="auto" w:fill="auto"/>
            <w:vAlign w:val="center"/>
          </w:tcPr>
          <w:p w14:paraId="51EAC883">
            <w:pPr>
              <w:pStyle w:val="20"/>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top"/>
          </w:tcPr>
          <w:p w14:paraId="5305FA3F">
            <w:pPr>
              <w:pStyle w:val="20"/>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6F9B50B0">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55F13C">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A0B365">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采购包1(阳江职业技术学院软件正版化服务采购):</w:t>
      </w:r>
    </w:p>
    <w:tbl>
      <w:tblPr>
        <w:tblStyle w:val="15"/>
        <w:tblW w:w="938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130"/>
        <w:gridCol w:w="6334"/>
      </w:tblGrid>
      <w:tr w14:paraId="3E35E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11A7E28C">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评审因素</w:t>
            </w:r>
          </w:p>
        </w:tc>
        <w:tc>
          <w:tcPr>
            <w:tcW w:w="8464" w:type="dxa"/>
            <w:gridSpan w:val="2"/>
          </w:tcPr>
          <w:p w14:paraId="7ED6F230">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评审标准</w:t>
            </w:r>
          </w:p>
        </w:tc>
      </w:tr>
      <w:tr w14:paraId="6F745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6D7E003B">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分值构成</w:t>
            </w:r>
          </w:p>
        </w:tc>
        <w:tc>
          <w:tcPr>
            <w:tcW w:w="8464" w:type="dxa"/>
            <w:gridSpan w:val="2"/>
          </w:tcPr>
          <w:p w14:paraId="5DA72FAA">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商务部分35.0分</w:t>
            </w:r>
          </w:p>
          <w:p w14:paraId="2AA64D2F">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技术部分50.0分</w:t>
            </w:r>
          </w:p>
          <w:p w14:paraId="0EC1A6F1">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报价得分15.0分</w:t>
            </w:r>
          </w:p>
        </w:tc>
      </w:tr>
      <w:tr w14:paraId="20D412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7A2682CB">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w:t>
            </w:r>
          </w:p>
        </w:tc>
        <w:tc>
          <w:tcPr>
            <w:tcW w:w="2130" w:type="dxa"/>
            <w:shd w:val="clear" w:color="auto" w:fill="auto"/>
          </w:tcPr>
          <w:p w14:paraId="7041BD5D">
            <w:pPr>
              <w:pStyle w:val="20"/>
              <w:spacing w:line="320" w:lineRule="exact"/>
              <w:jc w:val="both"/>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重要技术参数要求 (26.0分)</w:t>
            </w:r>
          </w:p>
        </w:tc>
        <w:tc>
          <w:tcPr>
            <w:tcW w:w="6334" w:type="dxa"/>
            <w:shd w:val="clear" w:color="auto" w:fill="auto"/>
          </w:tcPr>
          <w:p w14:paraId="69AD65AC">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本项目技术要求中带“▲”的为重要技术参数要求（共13项，满分26分），未响应或不满足的每一项扣2分。</w:t>
            </w:r>
          </w:p>
          <w:p w14:paraId="775EB3ED">
            <w:pPr>
              <w:pStyle w:val="20"/>
              <w:spacing w:line="320" w:lineRule="exact"/>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注：如技术要求中有明确了提供的证明资料，则以技术要求中要求的为准，如技术要求中无明确要求证明材料的，按《技术条款偏离一览表》响应情况为准，不提供不得分。</w:t>
            </w:r>
          </w:p>
        </w:tc>
      </w:tr>
      <w:tr w14:paraId="16F944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A351F1A">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tcPr>
          <w:p w14:paraId="2965575C">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一般技术参数要求(14.0分)</w:t>
            </w:r>
          </w:p>
        </w:tc>
        <w:tc>
          <w:tcPr>
            <w:tcW w:w="6334" w:type="dxa"/>
            <w:shd w:val="clear" w:color="auto" w:fill="auto"/>
          </w:tcPr>
          <w:p w14:paraId="05F2DBFF">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本项目技术要求中非“▲”的为一般技术参数要求（共28项，满分14分），未响应或不满足的每一项扣0.5分。</w:t>
            </w:r>
          </w:p>
          <w:p w14:paraId="05A020F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注：如技术要求中有明确了提供的证明资料，则以技术要求中要求的为准，如技术要求中无明确要求证明材料的，按《技术条款偏离一览表》响应情况为准，不提供不得分。</w:t>
            </w:r>
          </w:p>
        </w:tc>
      </w:tr>
      <w:tr w14:paraId="63DBB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2BF97C26">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tcPr>
          <w:p w14:paraId="20960D36">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val="zh-TW"/>
                <w14:textFill>
                  <w14:solidFill>
                    <w14:schemeClr w14:val="tx1"/>
                  </w14:solidFill>
                </w14:textFill>
              </w:rPr>
              <w:t>服务</w:t>
            </w:r>
            <w:r>
              <w:rPr>
                <w:rFonts w:ascii="宋体" w:hAnsi="宋体" w:eastAsia="宋体" w:cs="宋体"/>
                <w:color w:val="000000" w:themeColor="text1"/>
                <w:sz w:val="21"/>
                <w:szCs w:val="21"/>
                <w:highlight w:val="none"/>
                <w:lang w:val="zh-TW" w:eastAsia="zh-TW"/>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1（4.0分）</w:t>
            </w:r>
          </w:p>
        </w:tc>
        <w:tc>
          <w:tcPr>
            <w:tcW w:w="6334" w:type="dxa"/>
            <w:shd w:val="clear" w:color="auto" w:fill="auto"/>
          </w:tcPr>
          <w:p w14:paraId="6F375E8B">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val="zh-TW" w:eastAsia="zh-TW"/>
                <w14:textFill>
                  <w14:solidFill>
                    <w14:schemeClr w14:val="tx1"/>
                  </w14:solidFill>
                </w14:textFill>
              </w:rPr>
              <w:t>根据投标人针对本项目编制的</w:t>
            </w:r>
            <w:r>
              <w:rPr>
                <w:rFonts w:ascii="宋体" w:hAnsi="宋体" w:eastAsia="宋体" w:cs="宋体"/>
                <w:color w:val="000000" w:themeColor="text1"/>
                <w:sz w:val="21"/>
                <w:szCs w:val="21"/>
                <w:highlight w:val="none"/>
                <w14:textFill>
                  <w14:solidFill>
                    <w14:schemeClr w14:val="tx1"/>
                  </w14:solidFill>
                </w14:textFill>
              </w:rPr>
              <w:t>服务</w:t>
            </w:r>
            <w:r>
              <w:rPr>
                <w:rFonts w:ascii="宋体" w:hAnsi="宋体" w:eastAsia="宋体" w:cs="宋体"/>
                <w:color w:val="000000" w:themeColor="text1"/>
                <w:sz w:val="21"/>
                <w:szCs w:val="21"/>
                <w:highlight w:val="none"/>
                <w:lang w:val="zh-TW" w:eastAsia="zh-TW"/>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，包括但不限于：①</w:t>
            </w:r>
            <w:r>
              <w:rPr>
                <w:rFonts w:ascii="宋体" w:hAnsi="宋体" w:eastAsia="宋体" w:cs="宋体"/>
                <w:color w:val="000000" w:themeColor="text1"/>
                <w:sz w:val="21"/>
                <w:szCs w:val="21"/>
                <w:highlight w:val="none"/>
                <w:lang w:val="zh-TW" w:eastAsia="zh-TW"/>
                <w14:textFill>
                  <w14:solidFill>
                    <w14:schemeClr w14:val="tx1"/>
                  </w14:solidFill>
                </w14:textFill>
              </w:rPr>
              <w:t>项目实施计划</w:t>
            </w:r>
            <w:r>
              <w:rPr>
                <w:rFonts w:ascii="宋体" w:hAnsi="宋体" w:eastAsia="宋体" w:cs="宋体"/>
                <w:color w:val="000000" w:themeColor="text1"/>
                <w:sz w:val="21"/>
                <w:szCs w:val="21"/>
                <w:highlight w:val="none"/>
                <w14:textFill>
                  <w14:solidFill>
                    <w14:schemeClr w14:val="tx1"/>
                  </w14:solidFill>
                </w14:textFill>
              </w:rPr>
              <w:t>；②</w:t>
            </w:r>
            <w:r>
              <w:rPr>
                <w:rFonts w:ascii="宋体" w:hAnsi="宋体" w:eastAsia="宋体" w:cs="宋体"/>
                <w:color w:val="000000" w:themeColor="text1"/>
                <w:sz w:val="21"/>
                <w:szCs w:val="21"/>
                <w:highlight w:val="none"/>
                <w:lang w:val="zh-TW" w:eastAsia="zh-TW"/>
                <w14:textFill>
                  <w14:solidFill>
                    <w14:schemeClr w14:val="tx1"/>
                  </w14:solidFill>
                </w14:textFill>
              </w:rPr>
              <w:t>项目质量控制方案</w:t>
            </w:r>
            <w:r>
              <w:rPr>
                <w:rFonts w:ascii="宋体" w:hAnsi="宋体" w:eastAsia="宋体" w:cs="宋体"/>
                <w:color w:val="000000" w:themeColor="text1"/>
                <w:sz w:val="21"/>
                <w:szCs w:val="21"/>
                <w:highlight w:val="none"/>
                <w14:textFill>
                  <w14:solidFill>
                    <w14:schemeClr w14:val="tx1"/>
                  </w14:solidFill>
                </w14:textFill>
              </w:rPr>
              <w:t>；③</w:t>
            </w:r>
            <w:r>
              <w:rPr>
                <w:rFonts w:ascii="宋体" w:hAnsi="宋体" w:eastAsia="宋体" w:cs="宋体"/>
                <w:color w:val="000000" w:themeColor="text1"/>
                <w:sz w:val="21"/>
                <w:szCs w:val="21"/>
                <w:highlight w:val="none"/>
                <w:lang w:val="zh-TW" w:eastAsia="zh-TW"/>
                <w14:textFill>
                  <w14:solidFill>
                    <w14:schemeClr w14:val="tx1"/>
                  </w14:solidFill>
                </w14:textFill>
              </w:rPr>
              <w:t>信息安全管理方案</w:t>
            </w:r>
            <w:r>
              <w:rPr>
                <w:rFonts w:ascii="宋体" w:hAnsi="宋体" w:eastAsia="宋体" w:cs="宋体"/>
                <w:color w:val="000000" w:themeColor="text1"/>
                <w:sz w:val="21"/>
                <w:szCs w:val="21"/>
                <w:highlight w:val="none"/>
                <w14:textFill>
                  <w14:solidFill>
                    <w14:schemeClr w14:val="tx1"/>
                  </w14:solidFill>
                </w14:textFill>
              </w:rPr>
              <w:t>；④</w:t>
            </w:r>
            <w:r>
              <w:rPr>
                <w:rFonts w:ascii="宋体" w:hAnsi="宋体" w:eastAsia="宋体" w:cs="宋体"/>
                <w:color w:val="000000" w:themeColor="text1"/>
                <w:sz w:val="21"/>
                <w:szCs w:val="21"/>
                <w:highlight w:val="none"/>
                <w:lang w:val="zh-TW"/>
                <w14:textFill>
                  <w14:solidFill>
                    <w14:schemeClr w14:val="tx1"/>
                  </w14:solidFill>
                </w14:textFill>
              </w:rPr>
              <w:t>培训方案</w:t>
            </w:r>
            <w:r>
              <w:rPr>
                <w:rFonts w:ascii="宋体" w:hAnsi="宋体" w:eastAsia="宋体" w:cs="宋体"/>
                <w:color w:val="000000" w:themeColor="text1"/>
                <w:sz w:val="21"/>
                <w:szCs w:val="21"/>
                <w:highlight w:val="none"/>
                <w14:textFill>
                  <w14:solidFill>
                    <w14:schemeClr w14:val="tx1"/>
                  </w14:solidFill>
                </w14:textFill>
              </w:rPr>
              <w:t>。每提供一项得1分，最高得4分，不提供不得分。</w:t>
            </w:r>
          </w:p>
        </w:tc>
      </w:tr>
      <w:tr w14:paraId="294A4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58" w:hRule="atLeast"/>
        </w:trPr>
        <w:tc>
          <w:tcPr>
            <w:tcW w:w="922" w:type="dxa"/>
            <w:vMerge w:val="continue"/>
          </w:tcPr>
          <w:p w14:paraId="34FAC643">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130" w:type="dxa"/>
            <w:shd w:val="clear" w:color="auto" w:fill="auto"/>
          </w:tcPr>
          <w:p w14:paraId="0E5CB749">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val="zh-TW"/>
                <w14:textFill>
                  <w14:solidFill>
                    <w14:schemeClr w14:val="tx1"/>
                  </w14:solidFill>
                </w14:textFill>
              </w:rPr>
              <w:t>服务</w:t>
            </w:r>
            <w:r>
              <w:rPr>
                <w:rFonts w:ascii="宋体" w:hAnsi="宋体" w:eastAsia="宋体" w:cs="宋体"/>
                <w:color w:val="000000" w:themeColor="text1"/>
                <w:sz w:val="21"/>
                <w:szCs w:val="21"/>
                <w:highlight w:val="none"/>
                <w:lang w:val="zh-TW" w:eastAsia="zh-TW"/>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2（6.0分）</w:t>
            </w:r>
          </w:p>
        </w:tc>
        <w:tc>
          <w:tcPr>
            <w:tcW w:w="6334" w:type="dxa"/>
            <w:shd w:val="clear" w:color="auto" w:fill="auto"/>
          </w:tcPr>
          <w:p w14:paraId="1B2F7D7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val="zh-TW" w:eastAsia="zh-TW"/>
                <w14:textFill>
                  <w14:solidFill>
                    <w14:schemeClr w14:val="tx1"/>
                  </w14:solidFill>
                </w14:textFill>
              </w:rPr>
              <w:t>根据投标人针对本项目编制的</w:t>
            </w:r>
            <w:r>
              <w:rPr>
                <w:rFonts w:ascii="宋体" w:hAnsi="宋体" w:eastAsia="宋体" w:cs="宋体"/>
                <w:color w:val="000000" w:themeColor="text1"/>
                <w:sz w:val="21"/>
                <w:szCs w:val="21"/>
                <w:highlight w:val="none"/>
                <w14:textFill>
                  <w14:solidFill>
                    <w14:schemeClr w14:val="tx1"/>
                  </w14:solidFill>
                </w14:textFill>
              </w:rPr>
              <w:t>服务</w:t>
            </w:r>
            <w:r>
              <w:rPr>
                <w:rFonts w:ascii="宋体" w:hAnsi="宋体" w:eastAsia="宋体" w:cs="宋体"/>
                <w:color w:val="000000" w:themeColor="text1"/>
                <w:sz w:val="21"/>
                <w:szCs w:val="21"/>
                <w:highlight w:val="none"/>
                <w:lang w:val="zh-TW" w:eastAsia="zh-TW"/>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，包括但不限于：①</w:t>
            </w:r>
            <w:r>
              <w:rPr>
                <w:rFonts w:ascii="宋体" w:hAnsi="宋体" w:eastAsia="宋体" w:cs="宋体"/>
                <w:color w:val="000000" w:themeColor="text1"/>
                <w:sz w:val="21"/>
                <w:szCs w:val="21"/>
                <w:highlight w:val="none"/>
                <w:lang w:val="zh-TW" w:eastAsia="zh-TW"/>
                <w14:textFill>
                  <w14:solidFill>
                    <w14:schemeClr w14:val="tx1"/>
                  </w14:solidFill>
                </w14:textFill>
              </w:rPr>
              <w:t>项目实施计划</w:t>
            </w:r>
            <w:r>
              <w:rPr>
                <w:rFonts w:ascii="宋体" w:hAnsi="宋体" w:eastAsia="宋体" w:cs="宋体"/>
                <w:color w:val="000000" w:themeColor="text1"/>
                <w:sz w:val="21"/>
                <w:szCs w:val="21"/>
                <w:highlight w:val="none"/>
                <w14:textFill>
                  <w14:solidFill>
                    <w14:schemeClr w14:val="tx1"/>
                  </w14:solidFill>
                </w14:textFill>
              </w:rPr>
              <w:t>；②</w:t>
            </w:r>
            <w:r>
              <w:rPr>
                <w:rFonts w:ascii="宋体" w:hAnsi="宋体" w:eastAsia="宋体" w:cs="宋体"/>
                <w:color w:val="000000" w:themeColor="text1"/>
                <w:sz w:val="21"/>
                <w:szCs w:val="21"/>
                <w:highlight w:val="none"/>
                <w:lang w:val="zh-TW" w:eastAsia="zh-TW"/>
                <w14:textFill>
                  <w14:solidFill>
                    <w14:schemeClr w14:val="tx1"/>
                  </w14:solidFill>
                </w14:textFill>
              </w:rPr>
              <w:t>项目质量控制方案</w:t>
            </w:r>
            <w:r>
              <w:rPr>
                <w:rFonts w:ascii="宋体" w:hAnsi="宋体" w:eastAsia="宋体" w:cs="宋体"/>
                <w:color w:val="000000" w:themeColor="text1"/>
                <w:sz w:val="21"/>
                <w:szCs w:val="21"/>
                <w:highlight w:val="none"/>
                <w14:textFill>
                  <w14:solidFill>
                    <w14:schemeClr w14:val="tx1"/>
                  </w14:solidFill>
                </w14:textFill>
              </w:rPr>
              <w:t>；③</w:t>
            </w:r>
            <w:r>
              <w:rPr>
                <w:rFonts w:ascii="宋体" w:hAnsi="宋体" w:eastAsia="宋体" w:cs="宋体"/>
                <w:color w:val="000000" w:themeColor="text1"/>
                <w:sz w:val="21"/>
                <w:szCs w:val="21"/>
                <w:highlight w:val="none"/>
                <w:lang w:val="zh-TW" w:eastAsia="zh-TW"/>
                <w14:textFill>
                  <w14:solidFill>
                    <w14:schemeClr w14:val="tx1"/>
                  </w14:solidFill>
                </w14:textFill>
              </w:rPr>
              <w:t>信息安全管理方案</w:t>
            </w:r>
            <w:r>
              <w:rPr>
                <w:rFonts w:ascii="宋体" w:hAnsi="宋体" w:eastAsia="宋体" w:cs="宋体"/>
                <w:color w:val="000000" w:themeColor="text1"/>
                <w:sz w:val="21"/>
                <w:szCs w:val="21"/>
                <w:highlight w:val="none"/>
                <w14:textFill>
                  <w14:solidFill>
                    <w14:schemeClr w14:val="tx1"/>
                  </w14:solidFill>
                </w14:textFill>
              </w:rPr>
              <w:t>；④</w:t>
            </w:r>
            <w:r>
              <w:rPr>
                <w:rFonts w:ascii="宋体" w:hAnsi="宋体" w:eastAsia="宋体" w:cs="宋体"/>
                <w:color w:val="000000" w:themeColor="text1"/>
                <w:sz w:val="21"/>
                <w:szCs w:val="21"/>
                <w:highlight w:val="none"/>
                <w:lang w:val="zh-TW"/>
                <w14:textFill>
                  <w14:solidFill>
                    <w14:schemeClr w14:val="tx1"/>
                  </w14:solidFill>
                </w14:textFill>
              </w:rPr>
              <w:t>培训方案</w:t>
            </w:r>
            <w:r>
              <w:rPr>
                <w:rFonts w:ascii="宋体" w:hAnsi="宋体" w:eastAsia="宋体" w:cs="宋体"/>
                <w:color w:val="000000" w:themeColor="text1"/>
                <w:sz w:val="21"/>
                <w:szCs w:val="21"/>
                <w:highlight w:val="none"/>
                <w14:textFill>
                  <w14:solidFill>
                    <w14:schemeClr w14:val="tx1"/>
                  </w14:solidFill>
                </w14:textFill>
              </w:rPr>
              <w:t>等内容进行评审：</w:t>
            </w:r>
          </w:p>
          <w:p w14:paraId="2851F497">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1.方案内容完整、详细、表述清晰、科学合理、切实可行，优于或满足采购需求的，得6分；</w:t>
            </w:r>
          </w:p>
          <w:p w14:paraId="5799DBAF">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2.方案内容比较完整、详细、表述比较清晰、合理、可行，基本满足采购需求的，得4分；</w:t>
            </w:r>
          </w:p>
          <w:p w14:paraId="4A69118E">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3.方案内容基本完整、表述基本清晰、基本合理可行，部分满足采购需求的，得2分；</w:t>
            </w:r>
          </w:p>
          <w:p w14:paraId="3F59687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4.方案欠缺合理性，具备可操作性但复杂繁琐，未能满足采购需求的，得1分；</w:t>
            </w:r>
          </w:p>
          <w:p w14:paraId="19D0A5D9">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5.不提供不得分。</w:t>
            </w:r>
          </w:p>
        </w:tc>
      </w:tr>
      <w:tr w14:paraId="565D7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64BF1C19">
            <w:pPr>
              <w:pStyle w:val="20"/>
              <w:spacing w:line="320" w:lineRule="exact"/>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p>
        </w:tc>
        <w:tc>
          <w:tcPr>
            <w:tcW w:w="2130" w:type="dxa"/>
            <w:shd w:val="clear" w:color="auto" w:fill="auto"/>
          </w:tcPr>
          <w:p w14:paraId="082A5CF7">
            <w:pPr>
              <w:pStyle w:val="20"/>
              <w:spacing w:line="320" w:lineRule="exact"/>
              <w:jc w:val="both"/>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同类项目业绩(8.0分)</w:t>
            </w:r>
          </w:p>
        </w:tc>
        <w:tc>
          <w:tcPr>
            <w:tcW w:w="6334" w:type="dxa"/>
            <w:shd w:val="clear" w:color="auto" w:fill="auto"/>
          </w:tcPr>
          <w:p w14:paraId="17CB2D8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根据各投标人所提供的2023年1月1日至今（以合同签订时间为准）同类项目业绩进行打分，每提供一个同类项目业绩得1分，最高得8分。</w:t>
            </w:r>
          </w:p>
          <w:p w14:paraId="5E2EC45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lang w:eastAsia="zh-Hans"/>
                <w14:textFill>
                  <w14:solidFill>
                    <w14:schemeClr w14:val="tx1"/>
                  </w14:solidFill>
                </w14:textFill>
              </w:rPr>
              <w:t>注：需提供合同复印件关键页（包括但不限于采购人、</w:t>
            </w:r>
            <w:r>
              <w:rPr>
                <w:rFonts w:ascii="宋体" w:hAnsi="宋体" w:eastAsia="宋体" w:cs="宋体"/>
                <w:color w:val="000000" w:themeColor="text1"/>
                <w:sz w:val="21"/>
                <w:szCs w:val="21"/>
                <w:highlight w:val="none"/>
                <w14:textFill>
                  <w14:solidFill>
                    <w14:schemeClr w14:val="tx1"/>
                  </w14:solidFill>
                </w14:textFill>
              </w:rPr>
              <w:t>投标人</w:t>
            </w:r>
            <w:r>
              <w:rPr>
                <w:rFonts w:ascii="宋体" w:hAnsi="宋体" w:eastAsia="宋体" w:cs="宋体"/>
                <w:color w:val="000000" w:themeColor="text1"/>
                <w:sz w:val="21"/>
                <w:szCs w:val="21"/>
                <w:highlight w:val="none"/>
                <w:lang w:eastAsia="zh-Hans"/>
                <w14:textFill>
                  <w14:solidFill>
                    <w14:schemeClr w14:val="tx1"/>
                  </w14:solidFill>
                </w14:textFill>
              </w:rPr>
              <w:t>双方名称，落款盖章页及合同内容）</w:t>
            </w:r>
            <w:r>
              <w:rPr>
                <w:rFonts w:ascii="宋体" w:hAnsi="宋体" w:eastAsia="宋体" w:cs="宋体"/>
                <w:color w:val="000000" w:themeColor="text1"/>
                <w:sz w:val="21"/>
                <w:szCs w:val="21"/>
                <w:highlight w:val="none"/>
                <w14:textFill>
                  <w14:solidFill>
                    <w14:schemeClr w14:val="tx1"/>
                  </w14:solidFill>
                </w14:textFill>
              </w:rPr>
              <w:t>加盖投标人公章，不提供不得分。</w:t>
            </w:r>
          </w:p>
        </w:tc>
      </w:tr>
      <w:tr w14:paraId="25BFB3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6A728D5">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tcPr>
          <w:p w14:paraId="3A7C23EE">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项目经理（4.0分）</w:t>
            </w:r>
          </w:p>
        </w:tc>
        <w:tc>
          <w:tcPr>
            <w:tcW w:w="6334" w:type="dxa"/>
            <w:shd w:val="clear" w:color="auto" w:fill="auto"/>
            <w:vAlign w:val="center"/>
          </w:tcPr>
          <w:p w14:paraId="5941EB2D">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项目经理（1人）具备有效期内的以下证书：</w:t>
            </w:r>
          </w:p>
          <w:p w14:paraId="76BE27FD">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1</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具有“计算机技术与软件专业技术资格（水平）考试”的信息系统项目管理师证书，得2分；</w:t>
            </w:r>
          </w:p>
          <w:p w14:paraId="1FC0B25B">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具有“计算机技术与软件专业技术资格（水平）考试”的网络工程师证书，得2分。</w:t>
            </w:r>
          </w:p>
          <w:p w14:paraId="5A1E802F">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注：提供人员的证书复印件及投标截止日前6个月任意1个月的社保证明材料</w:t>
            </w:r>
            <w:r>
              <w:rPr>
                <w:rFonts w:hint="eastAsia" w:ascii="宋体" w:hAnsi="宋体" w:cs="宋体"/>
                <w:color w:val="000000" w:themeColor="text1"/>
                <w:szCs w:val="21"/>
                <w:highlight w:val="none"/>
                <w14:textFill>
                  <w14:solidFill>
                    <w14:schemeClr w14:val="tx1"/>
                  </w14:solidFill>
                </w14:textFill>
              </w:rPr>
              <w:t>加盖投标人公章，不提供不得分。</w:t>
            </w:r>
          </w:p>
        </w:tc>
      </w:tr>
      <w:tr w14:paraId="02A164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DC5A174">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tcPr>
          <w:p w14:paraId="7D8F45AE">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项目投入人员情况</w:t>
            </w:r>
            <w:r>
              <w:rPr>
                <w:rFonts w:hint="eastAsia" w:ascii="宋体" w:hAnsi="宋体" w:cs="宋体"/>
                <w:color w:val="000000" w:themeColor="text1"/>
                <w:szCs w:val="21"/>
                <w:highlight w:val="none"/>
                <w14:textFill>
                  <w14:solidFill>
                    <w14:schemeClr w14:val="tx1"/>
                  </w14:solidFill>
                </w14:textFill>
              </w:rPr>
              <w:t>（项目经理除外）（6.0分）</w:t>
            </w:r>
          </w:p>
        </w:tc>
        <w:tc>
          <w:tcPr>
            <w:tcW w:w="6334" w:type="dxa"/>
            <w:shd w:val="clear" w:color="auto" w:fill="auto"/>
            <w:vAlign w:val="center"/>
          </w:tcPr>
          <w:p w14:paraId="14CCC4D1">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技术成员（不含项目经理）具备有效期内的以下证书：</w:t>
            </w:r>
          </w:p>
          <w:p w14:paraId="40553D53">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1</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具有“计算机技术与软件专业技术资格（水平）考试”的系统分析师证书，每提供一份证书得2分，最高得2分；</w:t>
            </w:r>
          </w:p>
          <w:p w14:paraId="58F820A1">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2</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具有“计算机技术与软件专业技术资格（水平）考试”的网络工程师证书，每提供一份证书得2分，最高得</w:t>
            </w:r>
            <w:r>
              <w:rPr>
                <w:rFonts w:hint="eastAsia" w:ascii="宋体" w:hAnsi="宋体" w:cs="宋体"/>
                <w:color w:val="000000" w:themeColor="text1"/>
                <w:szCs w:val="21"/>
                <w:highlight w:val="none"/>
                <w:lang w:val="zh-TW"/>
                <w14:textFill>
                  <w14:solidFill>
                    <w14:schemeClr w14:val="tx1"/>
                  </w14:solidFill>
                </w14:textFill>
              </w:rPr>
              <w:t>2</w:t>
            </w:r>
            <w:r>
              <w:rPr>
                <w:rFonts w:hint="eastAsia" w:ascii="宋体" w:hAnsi="宋体" w:cs="宋体"/>
                <w:color w:val="000000" w:themeColor="text1"/>
                <w:szCs w:val="21"/>
                <w:highlight w:val="none"/>
                <w:lang w:val="zh-TW" w:eastAsia="zh-TW"/>
                <w14:textFill>
                  <w14:solidFill>
                    <w14:schemeClr w14:val="tx1"/>
                  </w14:solidFill>
                </w14:textFill>
              </w:rPr>
              <w:t>分；</w:t>
            </w:r>
          </w:p>
          <w:p w14:paraId="63E95C70">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3</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具有“计算机技术与软件专业技术资格（水平）考试”的系统架构设计师证书，每提供一份证书得2分，最高得2分；</w:t>
            </w:r>
          </w:p>
          <w:p w14:paraId="76852BDA">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注：提供人员的证书复印件及投标截止日前6个月任意1个月的社保证明材料</w:t>
            </w:r>
            <w:r>
              <w:rPr>
                <w:rFonts w:hint="eastAsia" w:ascii="宋体" w:hAnsi="宋体" w:cs="宋体"/>
                <w:color w:val="000000" w:themeColor="text1"/>
                <w:szCs w:val="21"/>
                <w:highlight w:val="none"/>
                <w14:textFill>
                  <w14:solidFill>
                    <w14:schemeClr w14:val="tx1"/>
                  </w14:solidFill>
                </w14:textFill>
              </w:rPr>
              <w:t>加盖投标人公章，不提供不得分。同一人员提供多项证书按一项得分计算，</w:t>
            </w:r>
            <w:r>
              <w:rPr>
                <w:rFonts w:hint="eastAsia" w:ascii="宋体" w:hAnsi="宋体" w:cs="宋体"/>
                <w:color w:val="000000" w:themeColor="text1"/>
                <w:szCs w:val="21"/>
                <w:highlight w:val="none"/>
                <w:lang w:val="zh-TW" w:eastAsia="zh-TW"/>
                <w14:textFill>
                  <w14:solidFill>
                    <w14:schemeClr w14:val="tx1"/>
                  </w14:solidFill>
                </w14:textFill>
              </w:rPr>
              <w:t>不重复得分。</w:t>
            </w:r>
          </w:p>
        </w:tc>
      </w:tr>
      <w:tr w14:paraId="28706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1BC36633">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tcPr>
          <w:p w14:paraId="04BFC1F6">
            <w:pPr>
              <w:snapToGrid w:val="0"/>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体系认证证书</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6.0分</w:t>
            </w:r>
            <w:r>
              <w:rPr>
                <w:rFonts w:hint="eastAsia" w:ascii="宋体" w:hAnsi="宋体" w:cs="宋体"/>
                <w:color w:val="000000" w:themeColor="text1"/>
                <w:szCs w:val="21"/>
                <w:highlight w:val="none"/>
                <w:lang w:val="zh-TW"/>
                <w14:textFill>
                  <w14:solidFill>
                    <w14:schemeClr w14:val="tx1"/>
                  </w14:solidFill>
                </w14:textFill>
              </w:rPr>
              <w:t>）</w:t>
            </w:r>
          </w:p>
        </w:tc>
        <w:tc>
          <w:tcPr>
            <w:tcW w:w="6334" w:type="dxa"/>
            <w:shd w:val="clear" w:color="auto" w:fill="auto"/>
            <w:vAlign w:val="center"/>
          </w:tcPr>
          <w:p w14:paraId="13375052">
            <w:pPr>
              <w:spacing w:line="320" w:lineRule="exact"/>
              <w:rPr>
                <w:rFonts w:ascii="宋体" w:hAnsi="宋体" w:cs="宋体"/>
                <w:color w:val="000000" w:themeColor="text1"/>
                <w:szCs w:val="21"/>
                <w:highlight w:val="none"/>
                <w:lang w:val="zh-TW" w:eastAsia="zh-TW"/>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投标人</w:t>
            </w:r>
            <w:r>
              <w:rPr>
                <w:rFonts w:hint="eastAsia" w:ascii="宋体" w:hAnsi="宋体" w:cs="宋体"/>
                <w:color w:val="000000" w:themeColor="text1"/>
                <w:szCs w:val="21"/>
                <w:highlight w:val="none"/>
                <w:lang w:val="zh-TW" w:eastAsia="zh-TW"/>
                <w14:textFill>
                  <w14:solidFill>
                    <w14:schemeClr w14:val="tx1"/>
                  </w14:solidFill>
                </w14:textFill>
              </w:rPr>
              <w:t>具有以下有效期内的资质证书：</w:t>
            </w:r>
          </w:p>
          <w:p w14:paraId="763930D0">
            <w:pPr>
              <w:spacing w:line="320" w:lineRule="exact"/>
              <w:rPr>
                <w:rFonts w:ascii="宋体" w:hAnsi="宋体" w:cs="宋体"/>
                <w:color w:val="000000" w:themeColor="text1"/>
                <w:szCs w:val="21"/>
                <w:highlight w:val="none"/>
                <w:lang w:val="zh-TW" w:eastAsia="zh-TW"/>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zh-TW" w:eastAsia="zh-TW"/>
                <w14:textFill>
                  <w14:solidFill>
                    <w14:schemeClr w14:val="tx1"/>
                  </w14:solidFill>
                </w14:textFill>
              </w:rPr>
              <w:t>质量管理体系认证证书，得</w:t>
            </w: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TW" w:eastAsia="zh-TW"/>
                <w14:textFill>
                  <w14:solidFill>
                    <w14:schemeClr w14:val="tx1"/>
                  </w14:solidFill>
                </w14:textFill>
              </w:rPr>
              <w:t>分。</w:t>
            </w:r>
          </w:p>
          <w:p w14:paraId="46C4F6E6">
            <w:pPr>
              <w:spacing w:line="320" w:lineRule="exact"/>
              <w:rPr>
                <w:rFonts w:ascii="宋体" w:hAnsi="宋体" w:cs="宋体"/>
                <w:color w:val="000000" w:themeColor="text1"/>
                <w:szCs w:val="21"/>
                <w:highlight w:val="none"/>
                <w:lang w:val="zh-TW" w:eastAsia="zh-TW"/>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TW" w:eastAsia="zh-TW"/>
                <w14:textFill>
                  <w14:solidFill>
                    <w14:schemeClr w14:val="tx1"/>
                  </w14:solidFill>
                </w14:textFill>
              </w:rPr>
              <w:t>环境管理体系认证证书，得</w:t>
            </w: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TW" w:eastAsia="zh-TW"/>
                <w14:textFill>
                  <w14:solidFill>
                    <w14:schemeClr w14:val="tx1"/>
                  </w14:solidFill>
                </w14:textFill>
              </w:rPr>
              <w:t>分。</w:t>
            </w:r>
          </w:p>
          <w:p w14:paraId="26F37B22">
            <w:pPr>
              <w:spacing w:line="320" w:lineRule="exact"/>
              <w:rPr>
                <w:rFonts w:ascii="宋体" w:hAnsi="宋体" w:cs="宋体"/>
                <w:color w:val="000000" w:themeColor="text1"/>
                <w:szCs w:val="21"/>
                <w:highlight w:val="none"/>
                <w:lang w:val="zh-TW" w:eastAsia="zh-TW"/>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zh-TW" w:eastAsia="zh-TW"/>
                <w14:textFill>
                  <w14:solidFill>
                    <w14:schemeClr w14:val="tx1"/>
                  </w14:solidFill>
                </w14:textFill>
              </w:rPr>
              <w:t>职业健康管理体系认证证书，得</w:t>
            </w: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TW" w:eastAsia="zh-TW"/>
                <w14:textFill>
                  <w14:solidFill>
                    <w14:schemeClr w14:val="tx1"/>
                  </w14:solidFill>
                </w14:textFill>
              </w:rPr>
              <w:t>分。</w:t>
            </w:r>
          </w:p>
          <w:p w14:paraId="79D390EF">
            <w:pPr>
              <w:spacing w:line="320" w:lineRule="exac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r>
              <w:rPr>
                <w:rFonts w:hint="eastAsia" w:ascii="宋体" w:hAnsi="宋体" w:cs="宋体"/>
                <w:color w:val="000000" w:themeColor="text1"/>
                <w:szCs w:val="21"/>
                <w:highlight w:val="none"/>
                <w:lang w:val="zh-TW" w:eastAsia="zh-TW"/>
                <w14:textFill>
                  <w14:solidFill>
                    <w14:schemeClr w14:val="tx1"/>
                  </w14:solidFill>
                </w14:textFill>
              </w:rPr>
              <w:t>以上证书需提供证书</w:t>
            </w:r>
            <w:r>
              <w:rPr>
                <w:rFonts w:hint="eastAsia" w:ascii="宋体" w:hAnsi="宋体" w:cs="宋体"/>
                <w:color w:val="000000" w:themeColor="text1"/>
                <w:szCs w:val="21"/>
                <w:highlight w:val="none"/>
                <w14:textFill>
                  <w14:solidFill>
                    <w14:schemeClr w14:val="tx1"/>
                  </w14:solidFill>
                </w14:textFill>
              </w:rPr>
              <w:t>复印件和</w:t>
            </w:r>
            <w:r>
              <w:rPr>
                <w:rFonts w:hint="eastAsia" w:ascii="宋体" w:hAnsi="宋体" w:cs="宋体"/>
                <w:color w:val="000000" w:themeColor="text1"/>
                <w:szCs w:val="21"/>
                <w:highlight w:val="none"/>
                <w:lang w:val="zh-TW" w:eastAsia="zh-TW"/>
                <w14:textFill>
                  <w14:solidFill>
                    <w14:schemeClr w14:val="tx1"/>
                  </w14:solidFill>
                </w14:textFill>
              </w:rPr>
              <w:t>网页查询截图（显示查询网址），否则不得分。上述证书如因</w:t>
            </w:r>
            <w:r>
              <w:rPr>
                <w:rFonts w:hint="eastAsia" w:ascii="宋体" w:hAnsi="宋体" w:cs="宋体"/>
                <w:color w:val="000000" w:themeColor="text1"/>
                <w:szCs w:val="21"/>
                <w:highlight w:val="none"/>
                <w14:textFill>
                  <w14:solidFill>
                    <w14:schemeClr w14:val="tx1"/>
                  </w14:solidFill>
                </w14:textFill>
              </w:rPr>
              <w:t>企业</w:t>
            </w:r>
            <w:r>
              <w:rPr>
                <w:rFonts w:hint="eastAsia" w:ascii="宋体" w:hAnsi="宋体" w:cs="宋体"/>
                <w:color w:val="000000" w:themeColor="text1"/>
                <w:szCs w:val="21"/>
                <w:highlight w:val="none"/>
                <w:lang w:val="zh-TW" w:eastAsia="zh-TW"/>
                <w14:textFill>
                  <w14:solidFill>
                    <w14:schemeClr w14:val="tx1"/>
                  </w14:solidFill>
                </w14:textFill>
              </w:rPr>
              <w:t>成立时间不足三个月原因未能获得的，可对应得分。</w:t>
            </w:r>
          </w:p>
        </w:tc>
      </w:tr>
      <w:tr w14:paraId="505D6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3BF520E">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tcPr>
          <w:p w14:paraId="699220F2">
            <w:pPr>
              <w:snapToGrid w:val="0"/>
              <w:spacing w:line="320" w:lineRule="exact"/>
              <w:rPr>
                <w:rFonts w:ascii="宋体" w:hAnsi="宋体" w:cs="宋体"/>
                <w:color w:val="000000" w:themeColor="text1"/>
                <w:szCs w:val="21"/>
                <w:highlight w:val="none"/>
                <w:lang w:val="zh-TW" w:eastAsia="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售后服务方案</w:t>
            </w:r>
            <w:r>
              <w:rPr>
                <w:rFonts w:hint="eastAsia" w:ascii="宋体" w:hAnsi="宋体" w:cs="宋体"/>
                <w:color w:val="000000" w:themeColor="text1"/>
                <w:szCs w:val="21"/>
                <w:highlight w:val="none"/>
                <w14:textFill>
                  <w14:solidFill>
                    <w14:schemeClr w14:val="tx1"/>
                  </w14:solidFill>
                </w14:textFill>
              </w:rPr>
              <w:t>1（4.0分）</w:t>
            </w:r>
          </w:p>
        </w:tc>
        <w:tc>
          <w:tcPr>
            <w:tcW w:w="6334" w:type="dxa"/>
            <w:shd w:val="clear" w:color="auto" w:fill="auto"/>
            <w:vAlign w:val="center"/>
          </w:tcPr>
          <w:p w14:paraId="1D4C96D2">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各投标人所提供的售后服务方案，包括但不限于：①是否具备7×24小时统一服务热线；②服务质量保证；③软件保修期；④服务响应时间以及售后服务点的技术力量。每提供一项得1分，最高得4分，不提供不得分。</w:t>
            </w:r>
          </w:p>
        </w:tc>
      </w:tr>
      <w:tr w14:paraId="6C0CC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CCB24CC">
            <w:pPr>
              <w:spacing w:line="320" w:lineRule="exact"/>
              <w:rPr>
                <w:rFonts w:ascii="宋体" w:hAnsi="宋体" w:cs="宋体"/>
                <w:color w:val="000000" w:themeColor="text1"/>
                <w:szCs w:val="21"/>
                <w:highlight w:val="none"/>
                <w14:textFill>
                  <w14:solidFill>
                    <w14:schemeClr w14:val="tx1"/>
                  </w14:solidFill>
                </w14:textFill>
              </w:rPr>
            </w:pPr>
          </w:p>
        </w:tc>
        <w:tc>
          <w:tcPr>
            <w:tcW w:w="2130" w:type="dxa"/>
            <w:shd w:val="clear" w:color="auto" w:fill="auto"/>
          </w:tcPr>
          <w:p w14:paraId="43BAF598">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售后服务方案</w:t>
            </w:r>
            <w:r>
              <w:rPr>
                <w:rFonts w:hint="eastAsia" w:ascii="宋体" w:hAnsi="宋体" w:cs="宋体"/>
                <w:color w:val="000000" w:themeColor="text1"/>
                <w:szCs w:val="21"/>
                <w:highlight w:val="none"/>
                <w14:textFill>
                  <w14:solidFill>
                    <w14:schemeClr w14:val="tx1"/>
                  </w14:solidFill>
                </w14:textFill>
              </w:rPr>
              <w:t>2（7.0分）</w:t>
            </w:r>
          </w:p>
        </w:tc>
        <w:tc>
          <w:tcPr>
            <w:tcW w:w="6334" w:type="dxa"/>
            <w:shd w:val="clear" w:color="auto" w:fill="auto"/>
            <w:vAlign w:val="center"/>
          </w:tcPr>
          <w:p w14:paraId="5F85E358">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根据各投标人所提供的售后服务方案，包括但不限于：①是否具备7×24小时统一服务热线；②服务质量保证；③软件保修期；④服务响应时间以及售后服务点的技术力量等内容进行综合评审：</w:t>
            </w:r>
          </w:p>
          <w:p w14:paraId="3D126BAD">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1.投标人所提供的售后服务方案内容详细，有完整合理的部署规划，有安排专人负责响应采购人的维修要求及、具有相关资质的售后服务人员，完全满足或优于采购需求，得7分；</w:t>
            </w:r>
          </w:p>
          <w:p w14:paraId="42856311">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2.投标人所提供的售后服务方案内容较完整，有基本的部署规划，有安排专人负责响应采购人的维修要求、具有相关资质的售后服务人员，基本满足采购需求的，得5分；</w:t>
            </w:r>
          </w:p>
          <w:p w14:paraId="7C118B10">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3.投标人所提供的售后服务方案内容基本完整，维修服务安排基本满足项目要求，对需维修的软件提供操作的维修处理方法，部分满足采购需求的，得3分；</w:t>
            </w:r>
          </w:p>
          <w:p w14:paraId="147127EF">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4.投标人所提供的售后服务方案内容不完整，维修服务安排无法满足项目要求，对需维修的软件没有提供操作的维修处理方法，不完全满足采购需求的，得1分；</w:t>
            </w:r>
          </w:p>
          <w:p w14:paraId="59BD51C6">
            <w:pPr>
              <w:pStyle w:val="25"/>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5.不提供不得分。</w:t>
            </w:r>
          </w:p>
        </w:tc>
      </w:tr>
      <w:tr w14:paraId="785E5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Align w:val="center"/>
          </w:tcPr>
          <w:p w14:paraId="4EC793B7">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w:t>
            </w:r>
          </w:p>
        </w:tc>
        <w:tc>
          <w:tcPr>
            <w:tcW w:w="2130" w:type="dxa"/>
            <w:vAlign w:val="center"/>
          </w:tcPr>
          <w:p w14:paraId="3AE5DDB7">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 (15.0分)</w:t>
            </w:r>
          </w:p>
        </w:tc>
        <w:tc>
          <w:tcPr>
            <w:tcW w:w="6334" w:type="dxa"/>
            <w:vAlign w:val="center"/>
          </w:tcPr>
          <w:p w14:paraId="5BE4B621">
            <w:pPr>
              <w:pStyle w:val="20"/>
              <w:spacing w:line="320" w:lineRule="exact"/>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6370602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(阳江职业技术学院零信任设备采购):</w:t>
      </w:r>
    </w:p>
    <w:tbl>
      <w:tblPr>
        <w:tblStyle w:val="15"/>
        <w:tblW w:w="938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2307"/>
        <w:gridCol w:w="6157"/>
      </w:tblGrid>
      <w:tr w14:paraId="32CFBE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67AB83AE">
            <w:pPr>
              <w:pStyle w:val="20"/>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评审因素</w:t>
            </w:r>
          </w:p>
        </w:tc>
        <w:tc>
          <w:tcPr>
            <w:tcW w:w="8464" w:type="dxa"/>
            <w:gridSpan w:val="2"/>
          </w:tcPr>
          <w:p w14:paraId="5781947A">
            <w:pPr>
              <w:pStyle w:val="20"/>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评审标准</w:t>
            </w:r>
          </w:p>
        </w:tc>
      </w:tr>
      <w:tr w14:paraId="15E2C3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14:paraId="398FE74F">
            <w:pPr>
              <w:pStyle w:val="20"/>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分值构成</w:t>
            </w:r>
          </w:p>
        </w:tc>
        <w:tc>
          <w:tcPr>
            <w:tcW w:w="8464" w:type="dxa"/>
            <w:gridSpan w:val="2"/>
          </w:tcPr>
          <w:p w14:paraId="72297DDA">
            <w:pPr>
              <w:pStyle w:val="20"/>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商务部分30.0分</w:t>
            </w:r>
          </w:p>
          <w:p w14:paraId="300A66F7">
            <w:pPr>
              <w:pStyle w:val="20"/>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技术部分55.0分</w:t>
            </w:r>
          </w:p>
          <w:p w14:paraId="0B60B0C7">
            <w:pPr>
              <w:pStyle w:val="20"/>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报价得分15.0分</w:t>
            </w:r>
          </w:p>
        </w:tc>
      </w:tr>
      <w:tr w14:paraId="1C9759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5E06410D">
            <w:pPr>
              <w:pStyle w:val="20"/>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技术部分</w:t>
            </w:r>
          </w:p>
        </w:tc>
        <w:tc>
          <w:tcPr>
            <w:tcW w:w="2307" w:type="dxa"/>
            <w:shd w:val="clear" w:color="auto" w:fill="auto"/>
          </w:tcPr>
          <w:p w14:paraId="5A32B2BF">
            <w:pPr>
              <w:pStyle w:val="20"/>
              <w:spacing w:line="320" w:lineRule="exact"/>
              <w:jc w:val="both"/>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重要技术参数要求 (22.0分)</w:t>
            </w:r>
          </w:p>
        </w:tc>
        <w:tc>
          <w:tcPr>
            <w:tcW w:w="6157" w:type="dxa"/>
            <w:shd w:val="clear" w:color="auto" w:fill="auto"/>
          </w:tcPr>
          <w:p w14:paraId="2159438C">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本项目技术要求中带“▲”的为重要技术参数要求（共11项，满分22分），未响应或不满足的每一项扣2分。</w:t>
            </w:r>
          </w:p>
          <w:p w14:paraId="2DC1D377">
            <w:pPr>
              <w:pStyle w:val="20"/>
              <w:spacing w:line="320" w:lineRule="exact"/>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注：如技术要求中有明确了提供的证明资料，则以技术要求中要求的为准，如技术要求中无明确要求证明材料的，按《技术条款偏离一览表》响应情况为准，不提供不得分。</w:t>
            </w:r>
          </w:p>
        </w:tc>
      </w:tr>
      <w:tr w14:paraId="6F687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46375FF">
            <w:pPr>
              <w:pStyle w:val="20"/>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307" w:type="dxa"/>
            <w:shd w:val="clear" w:color="auto" w:fill="auto"/>
          </w:tcPr>
          <w:p w14:paraId="2A013B41">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一般技术参数要求(14.0分)</w:t>
            </w:r>
          </w:p>
        </w:tc>
        <w:tc>
          <w:tcPr>
            <w:tcW w:w="6157" w:type="dxa"/>
            <w:shd w:val="clear" w:color="auto" w:fill="auto"/>
          </w:tcPr>
          <w:p w14:paraId="19F17997">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本项目技术要求中非“▲”的为一般技术参数要求（共28项，满分14分），未响应或不满足的每一项扣0.5分。</w:t>
            </w:r>
          </w:p>
          <w:p w14:paraId="73794202">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注：如技术要求中有明确了提供的证明资料，则以技术要求中要求的为准，如技术要求中无明确要求证明材料的，按《技术条款偏离一览表》响应情况为准，不提供不得分。</w:t>
            </w:r>
          </w:p>
        </w:tc>
      </w:tr>
      <w:tr w14:paraId="3C3E0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D57BBEE">
            <w:pPr>
              <w:pStyle w:val="20"/>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307" w:type="dxa"/>
            <w:shd w:val="clear" w:color="auto" w:fill="auto"/>
          </w:tcPr>
          <w:p w14:paraId="62485BD0">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color w:val="000000" w:themeColor="text1"/>
                <w:sz w:val="21"/>
                <w:szCs w:val="21"/>
                <w:highlight w:val="none"/>
                <w:lang w:val="zh-TW"/>
                <w14:textFill>
                  <w14:solidFill>
                    <w14:schemeClr w14:val="tx1"/>
                  </w14:solidFill>
                </w14:textFill>
              </w:rPr>
              <w:t>技术</w:t>
            </w:r>
            <w:r>
              <w:rPr>
                <w:color w:val="000000" w:themeColor="text1"/>
                <w:sz w:val="21"/>
                <w:szCs w:val="21"/>
                <w:highlight w:val="none"/>
                <w:lang w:val="zh-TW" w:eastAsia="zh-TW"/>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1（3.0分）</w:t>
            </w:r>
          </w:p>
        </w:tc>
        <w:tc>
          <w:tcPr>
            <w:tcW w:w="6157" w:type="dxa"/>
            <w:shd w:val="clear" w:color="auto" w:fill="auto"/>
          </w:tcPr>
          <w:p w14:paraId="2ABE0B7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color w:val="000000" w:themeColor="text1"/>
                <w:sz w:val="21"/>
                <w:szCs w:val="21"/>
                <w:highlight w:val="none"/>
                <w:lang w:val="zh-TW" w:eastAsia="zh-TW"/>
                <w14:textFill>
                  <w14:solidFill>
                    <w14:schemeClr w14:val="tx1"/>
                  </w14:solidFill>
                </w14:textFill>
              </w:rPr>
              <w:t>根据投标人针对本项目编制的技术方案</w:t>
            </w:r>
            <w:r>
              <w:rPr>
                <w:rFonts w:ascii="宋体" w:hAnsi="宋体" w:eastAsia="宋体" w:cs="宋体"/>
                <w:color w:val="000000" w:themeColor="text1"/>
                <w:sz w:val="21"/>
                <w:szCs w:val="21"/>
                <w:highlight w:val="none"/>
                <w14:textFill>
                  <w14:solidFill>
                    <w14:schemeClr w14:val="tx1"/>
                  </w14:solidFill>
                </w14:textFill>
              </w:rPr>
              <w:t>，包括但不限于：①</w:t>
            </w:r>
            <w:r>
              <w:rPr>
                <w:color w:val="000000" w:themeColor="text1"/>
                <w:sz w:val="21"/>
                <w:szCs w:val="21"/>
                <w:highlight w:val="none"/>
                <w:lang w:val="zh-TW" w:eastAsia="zh-TW"/>
                <w14:textFill>
                  <w14:solidFill>
                    <w14:schemeClr w14:val="tx1"/>
                  </w14:solidFill>
                </w14:textFill>
              </w:rPr>
              <w:t>采购需求的调研</w:t>
            </w:r>
            <w:r>
              <w:rPr>
                <w:rFonts w:ascii="宋体" w:hAnsi="宋体" w:eastAsia="宋体" w:cs="宋体"/>
                <w:color w:val="000000" w:themeColor="text1"/>
                <w:sz w:val="21"/>
                <w:szCs w:val="21"/>
                <w:highlight w:val="none"/>
                <w14:textFill>
                  <w14:solidFill>
                    <w14:schemeClr w14:val="tx1"/>
                  </w14:solidFill>
                </w14:textFill>
              </w:rPr>
              <w:t>；②</w:t>
            </w:r>
            <w:r>
              <w:rPr>
                <w:color w:val="000000" w:themeColor="text1"/>
                <w:sz w:val="21"/>
                <w:szCs w:val="21"/>
                <w:highlight w:val="none"/>
                <w:lang w:val="zh-TW" w:eastAsia="zh-TW"/>
                <w14:textFill>
                  <w14:solidFill>
                    <w14:schemeClr w14:val="tx1"/>
                  </w14:solidFill>
                </w14:textFill>
              </w:rPr>
              <w:t>产品能力</w:t>
            </w:r>
            <w:r>
              <w:rPr>
                <w:rFonts w:ascii="宋体" w:hAnsi="宋体" w:eastAsia="宋体" w:cs="宋体"/>
                <w:color w:val="000000" w:themeColor="text1"/>
                <w:sz w:val="21"/>
                <w:szCs w:val="21"/>
                <w:highlight w:val="none"/>
                <w14:textFill>
                  <w14:solidFill>
                    <w14:schemeClr w14:val="tx1"/>
                  </w14:solidFill>
                </w14:textFill>
              </w:rPr>
              <w:t>；③</w:t>
            </w:r>
            <w:r>
              <w:rPr>
                <w:color w:val="000000" w:themeColor="text1"/>
                <w:sz w:val="21"/>
                <w:szCs w:val="21"/>
                <w:highlight w:val="none"/>
                <w:lang w:val="zh-TW" w:eastAsia="zh-TW"/>
                <w14:textFill>
                  <w14:solidFill>
                    <w14:schemeClr w14:val="tx1"/>
                  </w14:solidFill>
                </w14:textFill>
              </w:rPr>
              <w:t>产品后续升级的可替代性、升级周期</w:t>
            </w:r>
            <w:r>
              <w:rPr>
                <w:rFonts w:ascii="宋体" w:hAnsi="宋体" w:eastAsia="宋体" w:cs="宋体"/>
                <w:color w:val="000000" w:themeColor="text1"/>
                <w:sz w:val="21"/>
                <w:szCs w:val="21"/>
                <w:highlight w:val="none"/>
                <w14:textFill>
                  <w14:solidFill>
                    <w14:schemeClr w14:val="tx1"/>
                  </w14:solidFill>
                </w14:textFill>
              </w:rPr>
              <w:t>。每提供一项得1分，最高得3分，不提供不得分。</w:t>
            </w:r>
          </w:p>
        </w:tc>
      </w:tr>
      <w:tr w14:paraId="246C1F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3839558">
            <w:pPr>
              <w:pStyle w:val="20"/>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307" w:type="dxa"/>
            <w:shd w:val="clear" w:color="auto" w:fill="auto"/>
          </w:tcPr>
          <w:p w14:paraId="6F1CF7E7">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color w:val="000000" w:themeColor="text1"/>
                <w:sz w:val="21"/>
                <w:szCs w:val="21"/>
                <w:highlight w:val="none"/>
                <w:lang w:val="zh-TW"/>
                <w14:textFill>
                  <w14:solidFill>
                    <w14:schemeClr w14:val="tx1"/>
                  </w14:solidFill>
                </w14:textFill>
              </w:rPr>
              <w:t>技术</w:t>
            </w:r>
            <w:r>
              <w:rPr>
                <w:color w:val="000000" w:themeColor="text1"/>
                <w:sz w:val="21"/>
                <w:szCs w:val="21"/>
                <w:highlight w:val="none"/>
                <w:lang w:val="zh-TW" w:eastAsia="zh-TW"/>
                <w14:textFill>
                  <w14:solidFill>
                    <w14:schemeClr w14:val="tx1"/>
                  </w14:solidFill>
                </w14:textFill>
              </w:rPr>
              <w:t>方案</w:t>
            </w:r>
            <w:r>
              <w:rPr>
                <w:rFonts w:ascii="宋体" w:hAnsi="宋体" w:eastAsia="宋体" w:cs="宋体"/>
                <w:color w:val="000000" w:themeColor="text1"/>
                <w:sz w:val="21"/>
                <w:szCs w:val="21"/>
                <w:highlight w:val="none"/>
                <w14:textFill>
                  <w14:solidFill>
                    <w14:schemeClr w14:val="tx1"/>
                  </w14:solidFill>
                </w14:textFill>
              </w:rPr>
              <w:t>2（6.0分）</w:t>
            </w:r>
          </w:p>
        </w:tc>
        <w:tc>
          <w:tcPr>
            <w:tcW w:w="6157" w:type="dxa"/>
            <w:shd w:val="clear" w:color="auto" w:fill="auto"/>
          </w:tcPr>
          <w:p w14:paraId="39DBE33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color w:val="000000" w:themeColor="text1"/>
                <w:sz w:val="21"/>
                <w:szCs w:val="21"/>
                <w:highlight w:val="none"/>
                <w:lang w:val="zh-TW" w:eastAsia="zh-TW"/>
                <w14:textFill>
                  <w14:solidFill>
                    <w14:schemeClr w14:val="tx1"/>
                  </w14:solidFill>
                </w14:textFill>
              </w:rPr>
              <w:t>根据投标人针对本项目编制的技术方案</w:t>
            </w:r>
            <w:r>
              <w:rPr>
                <w:rFonts w:ascii="宋体" w:hAnsi="宋体" w:eastAsia="宋体" w:cs="宋体"/>
                <w:color w:val="000000" w:themeColor="text1"/>
                <w:sz w:val="21"/>
                <w:szCs w:val="21"/>
                <w:highlight w:val="none"/>
                <w14:textFill>
                  <w14:solidFill>
                    <w14:schemeClr w14:val="tx1"/>
                  </w14:solidFill>
                </w14:textFill>
              </w:rPr>
              <w:t>，包括但不限于：①</w:t>
            </w:r>
            <w:r>
              <w:rPr>
                <w:color w:val="000000" w:themeColor="text1"/>
                <w:sz w:val="21"/>
                <w:szCs w:val="21"/>
                <w:highlight w:val="none"/>
                <w:lang w:val="zh-TW" w:eastAsia="zh-TW"/>
                <w14:textFill>
                  <w14:solidFill>
                    <w14:schemeClr w14:val="tx1"/>
                  </w14:solidFill>
                </w14:textFill>
              </w:rPr>
              <w:t>采购需求的调研</w:t>
            </w:r>
            <w:r>
              <w:rPr>
                <w:rFonts w:ascii="宋体" w:hAnsi="宋体" w:eastAsia="宋体" w:cs="宋体"/>
                <w:color w:val="000000" w:themeColor="text1"/>
                <w:sz w:val="21"/>
                <w:szCs w:val="21"/>
                <w:highlight w:val="none"/>
                <w14:textFill>
                  <w14:solidFill>
                    <w14:schemeClr w14:val="tx1"/>
                  </w14:solidFill>
                </w14:textFill>
              </w:rPr>
              <w:t>；②</w:t>
            </w:r>
            <w:r>
              <w:rPr>
                <w:color w:val="000000" w:themeColor="text1"/>
                <w:sz w:val="21"/>
                <w:szCs w:val="21"/>
                <w:highlight w:val="none"/>
                <w:lang w:val="zh-TW" w:eastAsia="zh-TW"/>
                <w14:textFill>
                  <w14:solidFill>
                    <w14:schemeClr w14:val="tx1"/>
                  </w14:solidFill>
                </w14:textFill>
              </w:rPr>
              <w:t>产品能力</w:t>
            </w:r>
            <w:r>
              <w:rPr>
                <w:rFonts w:ascii="宋体" w:hAnsi="宋体" w:eastAsia="宋体" w:cs="宋体"/>
                <w:color w:val="000000" w:themeColor="text1"/>
                <w:sz w:val="21"/>
                <w:szCs w:val="21"/>
                <w:highlight w:val="none"/>
                <w14:textFill>
                  <w14:solidFill>
                    <w14:schemeClr w14:val="tx1"/>
                  </w14:solidFill>
                </w14:textFill>
              </w:rPr>
              <w:t>；③</w:t>
            </w:r>
            <w:r>
              <w:rPr>
                <w:color w:val="000000" w:themeColor="text1"/>
                <w:sz w:val="21"/>
                <w:szCs w:val="21"/>
                <w:highlight w:val="none"/>
                <w:lang w:val="zh-TW" w:eastAsia="zh-TW"/>
                <w14:textFill>
                  <w14:solidFill>
                    <w14:schemeClr w14:val="tx1"/>
                  </w14:solidFill>
                </w14:textFill>
              </w:rPr>
              <w:t>产品后续升级的可替代性、升级周期</w:t>
            </w:r>
            <w:r>
              <w:rPr>
                <w:rFonts w:ascii="宋体" w:hAnsi="宋体" w:eastAsia="宋体" w:cs="宋体"/>
                <w:color w:val="000000" w:themeColor="text1"/>
                <w:sz w:val="21"/>
                <w:szCs w:val="21"/>
                <w:highlight w:val="none"/>
                <w14:textFill>
                  <w14:solidFill>
                    <w14:schemeClr w14:val="tx1"/>
                  </w14:solidFill>
                </w14:textFill>
              </w:rPr>
              <w:t>等内容进行评审：</w:t>
            </w:r>
          </w:p>
          <w:p w14:paraId="7135BFE0">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1.方案内容完整、详细、表述清晰、科学合理、切实可行，对项目需求理解全面、准确、深入，完全符合用户业务要求，优于或满足采购需求的，得6分；</w:t>
            </w:r>
          </w:p>
          <w:p w14:paraId="2A538588">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2.方案内容比较完整、详细、表述比较清晰、合理、可行，对项目需求理解基本全面、基本准确、基本深入，比较符合用户业务要求，基本满足采购需求的，得4分；</w:t>
            </w:r>
          </w:p>
          <w:p w14:paraId="3F8E182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3.方案内容基本完整、表述基本清晰、基本合理可行，对项目需求理解不全面、不准确、不深入，方案基本满足用户业务要求，部分满足采购需求的，得2分；</w:t>
            </w:r>
          </w:p>
          <w:p w14:paraId="179E7BE5">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4.方案欠缺合理性，具备可操作性但复杂繁琐，且对用户业务要求考虑不足的，未能满足采购需求的，得1分；</w:t>
            </w:r>
          </w:p>
          <w:p w14:paraId="6749AFB6">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5.不提供不得分。</w:t>
            </w:r>
          </w:p>
        </w:tc>
      </w:tr>
      <w:tr w14:paraId="43DDCF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50712DD3">
            <w:pPr>
              <w:pStyle w:val="20"/>
              <w:jc w:val="center"/>
              <w:rPr>
                <w:rFonts w:hint="default" w:ascii="宋体" w:hAnsi="宋体" w:eastAsia="宋体" w:cs="宋体"/>
                <w:color w:val="000000" w:themeColor="text1"/>
                <w:sz w:val="21"/>
                <w:szCs w:val="21"/>
                <w:highlight w:val="none"/>
                <w14:textFill>
                  <w14:solidFill>
                    <w14:schemeClr w14:val="tx1"/>
                  </w14:solidFill>
                </w14:textFill>
              </w:rPr>
            </w:pPr>
          </w:p>
        </w:tc>
        <w:tc>
          <w:tcPr>
            <w:tcW w:w="2307" w:type="dxa"/>
            <w:shd w:val="clear" w:color="auto" w:fill="auto"/>
          </w:tcPr>
          <w:p w14:paraId="51B3DF31">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color w:val="000000" w:themeColor="text1"/>
                <w:sz w:val="21"/>
                <w:szCs w:val="21"/>
                <w:highlight w:val="none"/>
                <w:lang w:val="zh-TW"/>
                <w14:textFill>
                  <w14:solidFill>
                    <w14:schemeClr w14:val="tx1"/>
                  </w14:solidFill>
                </w14:textFill>
              </w:rPr>
              <w:t>服务方案</w:t>
            </w:r>
            <w:r>
              <w:rPr>
                <w:rFonts w:ascii="宋体" w:hAnsi="宋体" w:eastAsia="宋体" w:cs="宋体"/>
                <w:color w:val="000000" w:themeColor="text1"/>
                <w:sz w:val="21"/>
                <w:szCs w:val="21"/>
                <w:highlight w:val="none"/>
                <w14:textFill>
                  <w14:solidFill>
                    <w14:schemeClr w14:val="tx1"/>
                  </w14:solidFill>
                </w14:textFill>
              </w:rPr>
              <w:t>1（4.0分）</w:t>
            </w:r>
          </w:p>
        </w:tc>
        <w:tc>
          <w:tcPr>
            <w:tcW w:w="6157" w:type="dxa"/>
            <w:shd w:val="clear" w:color="auto" w:fill="auto"/>
          </w:tcPr>
          <w:p w14:paraId="1CDF199E">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根据投标人提供的</w:t>
            </w:r>
            <w:r>
              <w:rPr>
                <w:color w:val="000000" w:themeColor="text1"/>
                <w:sz w:val="21"/>
                <w:szCs w:val="21"/>
                <w:highlight w:val="none"/>
                <w:lang w:val="zh-TW"/>
                <w14:textFill>
                  <w14:solidFill>
                    <w14:schemeClr w14:val="tx1"/>
                  </w14:solidFill>
                </w14:textFill>
              </w:rPr>
              <w:t>服务方案</w:t>
            </w:r>
            <w:r>
              <w:rPr>
                <w:rFonts w:ascii="宋体" w:hAnsi="宋体" w:eastAsia="宋体" w:cs="宋体"/>
                <w:color w:val="000000" w:themeColor="text1"/>
                <w:sz w:val="21"/>
                <w:szCs w:val="21"/>
                <w:highlight w:val="none"/>
                <w14:textFill>
                  <w14:solidFill>
                    <w14:schemeClr w14:val="tx1"/>
                  </w14:solidFill>
                </w14:textFill>
              </w:rPr>
              <w:t>，包括但不限于：①</w:t>
            </w:r>
            <w:r>
              <w:rPr>
                <w:color w:val="000000" w:themeColor="text1"/>
                <w:sz w:val="21"/>
                <w:szCs w:val="21"/>
                <w:highlight w:val="none"/>
                <w:lang w:val="zh-TW" w:eastAsia="zh-TW"/>
                <w14:textFill>
                  <w14:solidFill>
                    <w14:schemeClr w14:val="tx1"/>
                  </w14:solidFill>
                </w14:textFill>
              </w:rPr>
              <w:t>产品供货进度及调配保证措施</w:t>
            </w:r>
            <w:r>
              <w:rPr>
                <w:rFonts w:ascii="宋体" w:hAnsi="宋体" w:eastAsia="宋体" w:cs="宋体"/>
                <w:color w:val="000000" w:themeColor="text1"/>
                <w:sz w:val="21"/>
                <w:szCs w:val="21"/>
                <w:highlight w:val="none"/>
                <w14:textFill>
                  <w14:solidFill>
                    <w14:schemeClr w14:val="tx1"/>
                  </w14:solidFill>
                </w14:textFill>
              </w:rPr>
              <w:t>；②</w:t>
            </w:r>
            <w:r>
              <w:rPr>
                <w:color w:val="000000" w:themeColor="text1"/>
                <w:sz w:val="21"/>
                <w:szCs w:val="21"/>
                <w:highlight w:val="none"/>
                <w:lang w:val="zh-TW" w:eastAsia="zh-TW"/>
                <w14:textFill>
                  <w14:solidFill>
                    <w14:schemeClr w14:val="tx1"/>
                  </w14:solidFill>
                </w14:textFill>
              </w:rPr>
              <w:t>紧急情况应对措施</w:t>
            </w:r>
            <w:r>
              <w:rPr>
                <w:rFonts w:ascii="宋体" w:hAnsi="宋体" w:eastAsia="宋体" w:cs="宋体"/>
                <w:color w:val="000000" w:themeColor="text1"/>
                <w:sz w:val="21"/>
                <w:szCs w:val="21"/>
                <w:highlight w:val="none"/>
                <w14:textFill>
                  <w14:solidFill>
                    <w14:schemeClr w14:val="tx1"/>
                  </w14:solidFill>
                </w14:textFill>
              </w:rPr>
              <w:t>；③</w:t>
            </w:r>
            <w:r>
              <w:rPr>
                <w:color w:val="000000" w:themeColor="text1"/>
                <w:sz w:val="21"/>
                <w:szCs w:val="21"/>
                <w:highlight w:val="none"/>
                <w:lang w:val="zh-TW" w:eastAsia="zh-TW"/>
                <w14:textFill>
                  <w14:solidFill>
                    <w14:schemeClr w14:val="tx1"/>
                  </w14:solidFill>
                </w14:textFill>
              </w:rPr>
              <w:t>产品安装和调试的主要技术保证措施</w:t>
            </w:r>
            <w:r>
              <w:rPr>
                <w:color w:val="000000" w:themeColor="text1"/>
                <w:sz w:val="21"/>
                <w:szCs w:val="21"/>
                <w:highlight w:val="none"/>
                <w:lang w:val="zh-TW"/>
                <w14:textFill>
                  <w14:solidFill>
                    <w14:schemeClr w14:val="tx1"/>
                  </w14:solidFill>
                </w14:textFill>
              </w:rPr>
              <w:t>；</w:t>
            </w:r>
            <w:r>
              <w:rPr>
                <w:color w:val="000000" w:themeColor="text1"/>
                <w:sz w:val="21"/>
                <w:szCs w:val="21"/>
                <w:highlight w:val="none"/>
                <w14:textFill>
                  <w14:solidFill>
                    <w14:schemeClr w14:val="tx1"/>
                  </w14:solidFill>
                </w14:textFill>
              </w:rPr>
              <w:t xml:space="preserve"> ④</w:t>
            </w:r>
            <w:r>
              <w:rPr>
                <w:color w:val="000000" w:themeColor="text1"/>
                <w:sz w:val="21"/>
                <w:szCs w:val="21"/>
                <w:highlight w:val="none"/>
                <w:lang w:val="zh-TW" w:eastAsia="zh-TW"/>
                <w14:textFill>
                  <w14:solidFill>
                    <w14:schemeClr w14:val="tx1"/>
                  </w14:solidFill>
                </w14:textFill>
              </w:rPr>
              <w:t>质量保障措施</w:t>
            </w:r>
            <w:r>
              <w:rPr>
                <w:rFonts w:ascii="宋体" w:hAnsi="宋体" w:eastAsia="宋体" w:cs="宋体"/>
                <w:color w:val="000000" w:themeColor="text1"/>
                <w:sz w:val="21"/>
                <w:szCs w:val="21"/>
                <w:highlight w:val="none"/>
                <w14:textFill>
                  <w14:solidFill>
                    <w14:schemeClr w14:val="tx1"/>
                  </w14:solidFill>
                </w14:textFill>
              </w:rPr>
              <w:t>等内容。每提供一项得1分，最高得4分，不提供不得分。</w:t>
            </w:r>
          </w:p>
        </w:tc>
      </w:tr>
      <w:tr w14:paraId="60F659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0D1ED43">
            <w:pPr>
              <w:rPr>
                <w:rFonts w:ascii="宋体" w:hAnsi="宋体" w:cs="宋体"/>
                <w:color w:val="000000" w:themeColor="text1"/>
                <w:szCs w:val="21"/>
                <w:highlight w:val="none"/>
                <w14:textFill>
                  <w14:solidFill>
                    <w14:schemeClr w14:val="tx1"/>
                  </w14:solidFill>
                </w14:textFill>
              </w:rPr>
            </w:pPr>
          </w:p>
        </w:tc>
        <w:tc>
          <w:tcPr>
            <w:tcW w:w="2307" w:type="dxa"/>
            <w:shd w:val="clear" w:color="auto" w:fill="auto"/>
          </w:tcPr>
          <w:p w14:paraId="60C464FA">
            <w:pPr>
              <w:pStyle w:val="20"/>
              <w:spacing w:line="320" w:lineRule="exact"/>
              <w:jc w:val="both"/>
              <w:rPr>
                <w:rFonts w:hint="default" w:ascii="宋体" w:hAnsi="宋体" w:eastAsia="宋体" w:cs="宋体"/>
                <w:color w:val="000000" w:themeColor="text1"/>
                <w:sz w:val="21"/>
                <w:szCs w:val="21"/>
                <w:highlight w:val="none"/>
                <w14:textFill>
                  <w14:solidFill>
                    <w14:schemeClr w14:val="tx1"/>
                  </w14:solidFill>
                </w14:textFill>
              </w:rPr>
            </w:pPr>
            <w:r>
              <w:rPr>
                <w:color w:val="000000" w:themeColor="text1"/>
                <w:sz w:val="21"/>
                <w:szCs w:val="21"/>
                <w:highlight w:val="none"/>
                <w:lang w:val="zh-TW"/>
                <w14:textFill>
                  <w14:solidFill>
                    <w14:schemeClr w14:val="tx1"/>
                  </w14:solidFill>
                </w14:textFill>
              </w:rPr>
              <w:t>服务方案</w:t>
            </w:r>
            <w:r>
              <w:rPr>
                <w:rFonts w:ascii="宋体" w:hAnsi="宋体" w:eastAsia="宋体" w:cs="宋体"/>
                <w:color w:val="000000" w:themeColor="text1"/>
                <w:sz w:val="21"/>
                <w:szCs w:val="21"/>
                <w:highlight w:val="none"/>
                <w14:textFill>
                  <w14:solidFill>
                    <w14:schemeClr w14:val="tx1"/>
                  </w14:solidFill>
                </w14:textFill>
              </w:rPr>
              <w:t>2（6.0分）</w:t>
            </w:r>
          </w:p>
        </w:tc>
        <w:tc>
          <w:tcPr>
            <w:tcW w:w="6157" w:type="dxa"/>
            <w:shd w:val="clear" w:color="auto" w:fill="auto"/>
            <w:vAlign w:val="center"/>
          </w:tcPr>
          <w:p w14:paraId="24FAAECB">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根据投标人提供的本项目</w:t>
            </w:r>
            <w:r>
              <w:rPr>
                <w:rFonts w:hint="eastAsia" w:eastAsiaTheme="minorEastAsia"/>
                <w:color w:val="000000" w:themeColor="text1"/>
                <w:szCs w:val="21"/>
                <w:highlight w:val="none"/>
                <w:lang w:val="zh-TW"/>
                <w14:textFill>
                  <w14:solidFill>
                    <w14:schemeClr w14:val="tx1"/>
                  </w14:solidFill>
                </w14:textFill>
              </w:rPr>
              <w:t>服务方案</w:t>
            </w:r>
            <w:r>
              <w:rPr>
                <w:rFonts w:hint="eastAsia" w:ascii="宋体" w:hAnsi="宋体" w:cs="宋体"/>
                <w:color w:val="000000" w:themeColor="text1"/>
                <w:szCs w:val="21"/>
                <w:highlight w:val="none"/>
                <w14:textFill>
                  <w14:solidFill>
                    <w14:schemeClr w14:val="tx1"/>
                  </w14:solidFill>
                </w14:textFill>
              </w:rPr>
              <w:t>，包括但不限于：</w:t>
            </w:r>
            <w:r>
              <w:rPr>
                <w:rFonts w:ascii="宋体" w:hAnsi="宋体" w:cs="宋体"/>
                <w:color w:val="000000" w:themeColor="text1"/>
                <w:szCs w:val="21"/>
                <w:highlight w:val="none"/>
                <w14:textFill>
                  <w14:solidFill>
                    <w14:schemeClr w14:val="tx1"/>
                  </w14:solidFill>
                </w14:textFill>
              </w:rPr>
              <w:t>①</w:t>
            </w:r>
            <w:r>
              <w:rPr>
                <w:rFonts w:hint="eastAsia" w:eastAsiaTheme="minorEastAsia"/>
                <w:color w:val="000000" w:themeColor="text1"/>
                <w:szCs w:val="21"/>
                <w:highlight w:val="none"/>
                <w:lang w:val="zh-TW" w:eastAsia="zh-TW"/>
                <w14:textFill>
                  <w14:solidFill>
                    <w14:schemeClr w14:val="tx1"/>
                  </w14:solidFill>
                </w14:textFill>
              </w:rPr>
              <w:t>产品供货进度及调配保证措施</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②</w:t>
            </w:r>
            <w:r>
              <w:rPr>
                <w:rFonts w:hint="eastAsia" w:eastAsiaTheme="minorEastAsia"/>
                <w:color w:val="000000" w:themeColor="text1"/>
                <w:szCs w:val="21"/>
                <w:highlight w:val="none"/>
                <w:lang w:val="zh-TW" w:eastAsia="zh-TW"/>
                <w14:textFill>
                  <w14:solidFill>
                    <w14:schemeClr w14:val="tx1"/>
                  </w14:solidFill>
                </w14:textFill>
              </w:rPr>
              <w:t>紧急情况应对措施</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③</w:t>
            </w:r>
            <w:r>
              <w:rPr>
                <w:rFonts w:hint="eastAsia" w:eastAsiaTheme="minorEastAsia"/>
                <w:color w:val="000000" w:themeColor="text1"/>
                <w:szCs w:val="21"/>
                <w:highlight w:val="none"/>
                <w:lang w:val="zh-TW" w:eastAsia="zh-TW"/>
                <w14:textFill>
                  <w14:solidFill>
                    <w14:schemeClr w14:val="tx1"/>
                  </w14:solidFill>
                </w14:textFill>
              </w:rPr>
              <w:t>产品安装和调试的主要技术保证措施</w:t>
            </w:r>
            <w:r>
              <w:rPr>
                <w:rFonts w:hint="eastAsia" w:eastAsiaTheme="minorEastAsia"/>
                <w:color w:val="000000" w:themeColor="text1"/>
                <w:szCs w:val="21"/>
                <w:highlight w:val="none"/>
                <w:lang w:val="zh-TW"/>
                <w14:textFill>
                  <w14:solidFill>
                    <w14:schemeClr w14:val="tx1"/>
                  </w14:solidFill>
                </w14:textFill>
              </w:rPr>
              <w:t>；</w:t>
            </w:r>
            <w:r>
              <w:rPr>
                <w:rFonts w:hint="eastAsia" w:eastAsiaTheme="minorEastAsia"/>
                <w:color w:val="000000" w:themeColor="text1"/>
                <w:szCs w:val="21"/>
                <w:highlight w:val="none"/>
                <w14:textFill>
                  <w14:solidFill>
                    <w14:schemeClr w14:val="tx1"/>
                  </w14:solidFill>
                </w14:textFill>
              </w:rPr>
              <w:t xml:space="preserve"> ④</w:t>
            </w:r>
            <w:r>
              <w:rPr>
                <w:rFonts w:hint="eastAsia" w:eastAsiaTheme="minorEastAsia"/>
                <w:color w:val="000000" w:themeColor="text1"/>
                <w:szCs w:val="21"/>
                <w:highlight w:val="none"/>
                <w:lang w:val="zh-TW" w:eastAsia="zh-TW"/>
                <w14:textFill>
                  <w14:solidFill>
                    <w14:schemeClr w14:val="tx1"/>
                  </w14:solidFill>
                </w14:textFill>
              </w:rPr>
              <w:t>质量保障措施</w:t>
            </w:r>
            <w:r>
              <w:rPr>
                <w:rFonts w:hint="eastAsia" w:ascii="宋体" w:hAnsi="宋体" w:cs="宋体"/>
                <w:color w:val="000000" w:themeColor="text1"/>
                <w:szCs w:val="21"/>
                <w:highlight w:val="none"/>
                <w14:textFill>
                  <w14:solidFill>
                    <w14:schemeClr w14:val="tx1"/>
                  </w14:solidFill>
                </w14:textFill>
              </w:rPr>
              <w:t>等内容进行评审：</w:t>
            </w:r>
          </w:p>
          <w:p w14:paraId="5228F2EC">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eastAsiaTheme="minorEastAsia"/>
                <w:color w:val="000000" w:themeColor="text1"/>
                <w:szCs w:val="21"/>
                <w:highlight w:val="none"/>
                <w:lang w:val="zh-TW"/>
                <w14:textFill>
                  <w14:solidFill>
                    <w14:schemeClr w14:val="tx1"/>
                  </w14:solidFill>
                </w14:textFill>
              </w:rPr>
              <w:t>服务方案</w:t>
            </w:r>
            <w:r>
              <w:rPr>
                <w:rFonts w:hint="eastAsia" w:ascii="宋体" w:hAnsi="宋体" w:cs="宋体"/>
                <w:color w:val="000000" w:themeColor="text1"/>
                <w:szCs w:val="21"/>
                <w:highlight w:val="none"/>
                <w14:textFill>
                  <w14:solidFill>
                    <w14:schemeClr w14:val="tx1"/>
                  </w14:solidFill>
                </w14:textFill>
              </w:rPr>
              <w:t>合理程度、科学性、可行性强，优于或满足采购需求的，得6分；</w:t>
            </w:r>
          </w:p>
          <w:p w14:paraId="4AAB513D">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eastAsiaTheme="minorEastAsia"/>
                <w:color w:val="000000" w:themeColor="text1"/>
                <w:szCs w:val="21"/>
                <w:highlight w:val="none"/>
                <w:lang w:val="zh-TW"/>
                <w14:textFill>
                  <w14:solidFill>
                    <w14:schemeClr w14:val="tx1"/>
                  </w14:solidFill>
                </w14:textFill>
              </w:rPr>
              <w:t>服务方案</w:t>
            </w:r>
            <w:r>
              <w:rPr>
                <w:rFonts w:hint="eastAsia" w:ascii="宋体" w:hAnsi="宋体" w:cs="宋体"/>
                <w:color w:val="000000" w:themeColor="text1"/>
                <w:szCs w:val="21"/>
                <w:highlight w:val="none"/>
                <w14:textFill>
                  <w14:solidFill>
                    <w14:schemeClr w14:val="tx1"/>
                  </w14:solidFill>
                </w14:textFill>
              </w:rPr>
              <w:t>合理程度、科学性、可行性较好，基本满足采购需求的，得4分；</w:t>
            </w:r>
          </w:p>
          <w:p w14:paraId="7A648488">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eastAsiaTheme="minorEastAsia"/>
                <w:color w:val="000000" w:themeColor="text1"/>
                <w:szCs w:val="21"/>
                <w:highlight w:val="none"/>
                <w:lang w:val="zh-TW"/>
                <w14:textFill>
                  <w14:solidFill>
                    <w14:schemeClr w14:val="tx1"/>
                  </w14:solidFill>
                </w14:textFill>
              </w:rPr>
              <w:t>服务方案</w:t>
            </w:r>
            <w:r>
              <w:rPr>
                <w:rFonts w:hint="eastAsia" w:ascii="宋体" w:hAnsi="宋体" w:cs="宋体"/>
                <w:color w:val="000000" w:themeColor="text1"/>
                <w:szCs w:val="21"/>
                <w:highlight w:val="none"/>
                <w14:textFill>
                  <w14:solidFill>
                    <w14:schemeClr w14:val="tx1"/>
                  </w14:solidFill>
                </w14:textFill>
              </w:rPr>
              <w:t>合理程度、科学性、可行性一般，部分满足采购需求的，得2分；</w:t>
            </w:r>
          </w:p>
          <w:p w14:paraId="1A36424F">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hint="eastAsia" w:eastAsiaTheme="minorEastAsia"/>
                <w:color w:val="000000" w:themeColor="text1"/>
                <w:szCs w:val="21"/>
                <w:highlight w:val="none"/>
                <w:lang w:val="zh-TW"/>
                <w14:textFill>
                  <w14:solidFill>
                    <w14:schemeClr w14:val="tx1"/>
                  </w14:solidFill>
                </w14:textFill>
              </w:rPr>
              <w:t>服务方案</w:t>
            </w:r>
            <w:r>
              <w:rPr>
                <w:rFonts w:hint="eastAsia" w:ascii="宋体" w:hAnsi="宋体" w:cs="宋体"/>
                <w:color w:val="000000" w:themeColor="text1"/>
                <w:szCs w:val="21"/>
                <w:highlight w:val="none"/>
                <w14:textFill>
                  <w14:solidFill>
                    <w14:schemeClr w14:val="tx1"/>
                  </w14:solidFill>
                </w14:textFill>
              </w:rPr>
              <w:t>合理程度、科学性、可行性较差，未能满足采购需求的，得1分；</w:t>
            </w:r>
          </w:p>
          <w:p w14:paraId="7602BCBE">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5.不提供不得分。</w:t>
            </w:r>
          </w:p>
        </w:tc>
      </w:tr>
      <w:tr w14:paraId="47DFB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14:paraId="34F6BDA6">
            <w:pPr>
              <w:pStyle w:val="20"/>
              <w:jc w:val="center"/>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商务部分</w:t>
            </w:r>
          </w:p>
        </w:tc>
        <w:tc>
          <w:tcPr>
            <w:tcW w:w="2307" w:type="dxa"/>
            <w:shd w:val="clear" w:color="auto" w:fill="auto"/>
          </w:tcPr>
          <w:p w14:paraId="2E067E90">
            <w:pPr>
              <w:pStyle w:val="20"/>
              <w:spacing w:line="320" w:lineRule="exact"/>
              <w:jc w:val="both"/>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同类项目业绩(10.0分)</w:t>
            </w:r>
          </w:p>
        </w:tc>
        <w:tc>
          <w:tcPr>
            <w:tcW w:w="6157" w:type="dxa"/>
            <w:shd w:val="clear" w:color="auto" w:fill="auto"/>
          </w:tcPr>
          <w:p w14:paraId="5F565EB4">
            <w:pPr>
              <w:pStyle w:val="20"/>
              <w:spacing w:line="320" w:lineRule="exac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根据各投标人所提供的2023年1月1日至今（以合同签订时间为准）同类项目业绩进行打分，每提供一个同类项目业绩得1分，最高得10分。</w:t>
            </w:r>
          </w:p>
          <w:p w14:paraId="46CAB4B0">
            <w:pPr>
              <w:pStyle w:val="20"/>
              <w:spacing w:line="320" w:lineRule="exact"/>
              <w:rPr>
                <w:rFonts w:hint="default" w:ascii="宋体" w:hAnsi="宋体" w:eastAsia="宋体" w:cs="宋体"/>
                <w:color w:val="000000" w:themeColor="text1"/>
                <w:sz w:val="21"/>
                <w:szCs w:val="21"/>
                <w:highlight w:val="none"/>
                <w:lang w:eastAsia="zh-Hans"/>
                <w14:textFill>
                  <w14:solidFill>
                    <w14:schemeClr w14:val="tx1"/>
                  </w14:solidFill>
                </w14:textFill>
              </w:rPr>
            </w:pPr>
            <w:r>
              <w:rPr>
                <w:rFonts w:ascii="宋体" w:hAnsi="宋体" w:eastAsia="宋体" w:cs="宋体"/>
                <w:color w:val="000000" w:themeColor="text1"/>
                <w:sz w:val="21"/>
                <w:szCs w:val="21"/>
                <w:highlight w:val="none"/>
                <w:lang w:eastAsia="zh-Hans"/>
                <w14:textFill>
                  <w14:solidFill>
                    <w14:schemeClr w14:val="tx1"/>
                  </w14:solidFill>
                </w14:textFill>
              </w:rPr>
              <w:t>注：需提供合同复印件关键页（包括但不限于采购人、</w:t>
            </w:r>
            <w:r>
              <w:rPr>
                <w:rFonts w:ascii="宋体" w:hAnsi="宋体" w:eastAsia="宋体" w:cs="宋体"/>
                <w:color w:val="000000" w:themeColor="text1"/>
                <w:sz w:val="21"/>
                <w:szCs w:val="21"/>
                <w:highlight w:val="none"/>
                <w14:textFill>
                  <w14:solidFill>
                    <w14:schemeClr w14:val="tx1"/>
                  </w14:solidFill>
                </w14:textFill>
              </w:rPr>
              <w:t>投标人</w:t>
            </w:r>
            <w:r>
              <w:rPr>
                <w:rFonts w:ascii="宋体" w:hAnsi="宋体" w:eastAsia="宋体" w:cs="宋体"/>
                <w:color w:val="000000" w:themeColor="text1"/>
                <w:sz w:val="21"/>
                <w:szCs w:val="21"/>
                <w:highlight w:val="none"/>
                <w:lang w:eastAsia="zh-Hans"/>
                <w14:textFill>
                  <w14:solidFill>
                    <w14:schemeClr w14:val="tx1"/>
                  </w14:solidFill>
                </w14:textFill>
              </w:rPr>
              <w:t>双方名称，落款盖章页及合同内容）</w:t>
            </w:r>
            <w:r>
              <w:rPr>
                <w:rFonts w:ascii="宋体" w:hAnsi="宋体" w:eastAsia="宋体" w:cs="宋体"/>
                <w:color w:val="000000" w:themeColor="text1"/>
                <w:sz w:val="21"/>
                <w:szCs w:val="21"/>
                <w:highlight w:val="none"/>
                <w14:textFill>
                  <w14:solidFill>
                    <w14:schemeClr w14:val="tx1"/>
                  </w14:solidFill>
                </w14:textFill>
              </w:rPr>
              <w:t>加盖投标人公章，不提供不得分。</w:t>
            </w:r>
          </w:p>
        </w:tc>
      </w:tr>
      <w:tr w14:paraId="7FB2BA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7455096A">
            <w:pPr>
              <w:rPr>
                <w:rFonts w:ascii="宋体" w:hAnsi="宋体" w:cs="宋体"/>
                <w:color w:val="000000" w:themeColor="text1"/>
                <w:szCs w:val="21"/>
                <w:highlight w:val="none"/>
                <w14:textFill>
                  <w14:solidFill>
                    <w14:schemeClr w14:val="tx1"/>
                  </w14:solidFill>
                </w14:textFill>
              </w:rPr>
            </w:pPr>
          </w:p>
        </w:tc>
        <w:tc>
          <w:tcPr>
            <w:tcW w:w="2307" w:type="dxa"/>
            <w:shd w:val="clear" w:color="auto" w:fill="auto"/>
          </w:tcPr>
          <w:p w14:paraId="71A649C1">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项目经理（4.0分）</w:t>
            </w:r>
          </w:p>
        </w:tc>
        <w:tc>
          <w:tcPr>
            <w:tcW w:w="6157" w:type="dxa"/>
            <w:shd w:val="clear" w:color="auto" w:fill="auto"/>
            <w:vAlign w:val="center"/>
          </w:tcPr>
          <w:p w14:paraId="6500D83B">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项目经理（1人）具备有效期内的以下证书：</w:t>
            </w:r>
          </w:p>
          <w:p w14:paraId="7983F1E9">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1</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具有“计算机技术与软件专业技术资格（水平）考试”的信息系统项目管理师证书，得2分；</w:t>
            </w:r>
          </w:p>
          <w:p w14:paraId="46E6CAED">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具有“计算机技术与软件专业技术资格（水平）考试”的网络工程师证书，得2分。</w:t>
            </w:r>
          </w:p>
          <w:p w14:paraId="0E31DAB4">
            <w:pPr>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注：提供人员的证书复印件及投标截止日前6个月任意1个月的社保证明材料，不提供不得分。</w:t>
            </w:r>
          </w:p>
        </w:tc>
      </w:tr>
      <w:tr w14:paraId="61E1C7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68723023">
            <w:pPr>
              <w:rPr>
                <w:rFonts w:ascii="宋体" w:hAnsi="宋体" w:cs="宋体"/>
                <w:color w:val="000000" w:themeColor="text1"/>
                <w:szCs w:val="21"/>
                <w:highlight w:val="none"/>
                <w14:textFill>
                  <w14:solidFill>
                    <w14:schemeClr w14:val="tx1"/>
                  </w14:solidFill>
                </w14:textFill>
              </w:rPr>
            </w:pPr>
          </w:p>
        </w:tc>
        <w:tc>
          <w:tcPr>
            <w:tcW w:w="2307" w:type="dxa"/>
            <w:shd w:val="clear" w:color="auto" w:fill="auto"/>
          </w:tcPr>
          <w:p w14:paraId="7AECD125">
            <w:pPr>
              <w:snapToGrid w:val="0"/>
              <w:spacing w:line="320" w:lineRule="exact"/>
              <w:rPr>
                <w:rFonts w:ascii="宋体" w:hAnsi="宋体" w:cs="宋体"/>
                <w:color w:val="000000" w:themeColor="text1"/>
                <w:szCs w:val="21"/>
                <w:highlight w:val="none"/>
                <w14:textFill>
                  <w14:solidFill>
                    <w14:schemeClr w14:val="tx1"/>
                  </w14:solidFill>
                </w14:textFill>
              </w:rPr>
            </w:pPr>
            <w:r>
              <w:rPr>
                <w:rFonts w:eastAsiaTheme="minorEastAsia"/>
                <w:color w:val="000000" w:themeColor="text1"/>
                <w:szCs w:val="21"/>
                <w:highlight w:val="none"/>
                <w:lang w:val="zh-TW" w:eastAsia="zh-TW"/>
                <w14:textFill>
                  <w14:solidFill>
                    <w14:schemeClr w14:val="tx1"/>
                  </w14:solidFill>
                </w14:textFill>
              </w:rPr>
              <w:t>项目投入人员情况</w:t>
            </w:r>
            <w:r>
              <w:rPr>
                <w:rFonts w:hint="eastAsia" w:ascii="宋体" w:hAnsi="宋体" w:cs="宋体"/>
                <w:color w:val="000000" w:themeColor="text1"/>
                <w:szCs w:val="21"/>
                <w:highlight w:val="none"/>
                <w14:textFill>
                  <w14:solidFill>
                    <w14:schemeClr w14:val="tx1"/>
                  </w14:solidFill>
                </w14:textFill>
              </w:rPr>
              <w:t>（项目经理除外）（6.0分）</w:t>
            </w:r>
          </w:p>
        </w:tc>
        <w:tc>
          <w:tcPr>
            <w:tcW w:w="6157" w:type="dxa"/>
            <w:shd w:val="clear" w:color="auto" w:fill="auto"/>
            <w:vAlign w:val="center"/>
          </w:tcPr>
          <w:p w14:paraId="44362B69">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技术成员（不含项目经理）具备有效期内的以下证书：</w:t>
            </w:r>
          </w:p>
          <w:p w14:paraId="4E8AFC1B">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1</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具有“计算机技术与软件专业技术资格（水平）考试”的系统分析师证书，每提供一份证书得2分，最高得2分；</w:t>
            </w:r>
          </w:p>
          <w:p w14:paraId="69F918B8">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2</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w:t>
            </w:r>
            <w:r>
              <w:rPr>
                <w:rFonts w:hint="eastAsia" w:ascii="宋体" w:hAnsi="宋体" w:cs="宋体"/>
                <w:color w:val="000000" w:themeColor="text1"/>
                <w:szCs w:val="21"/>
                <w:highlight w:val="none"/>
                <w:lang w:val="zh-TW"/>
                <w14:textFill>
                  <w14:solidFill>
                    <w14:schemeClr w14:val="tx1"/>
                  </w14:solidFill>
                </w14:textFill>
              </w:rPr>
              <w:t>信息安全工程师</w:t>
            </w:r>
            <w:r>
              <w:rPr>
                <w:rFonts w:hint="eastAsia" w:ascii="宋体" w:hAnsi="宋体" w:cs="宋体"/>
                <w:color w:val="000000" w:themeColor="text1"/>
                <w:szCs w:val="21"/>
                <w:highlight w:val="none"/>
                <w:lang w:val="zh-TW" w:eastAsia="zh-TW"/>
                <w14:textFill>
                  <w14:solidFill>
                    <w14:schemeClr w14:val="tx1"/>
                  </w14:solidFill>
                </w14:textFill>
              </w:rPr>
              <w:t>，每提供一份证书得2分，最高得</w:t>
            </w:r>
            <w:r>
              <w:rPr>
                <w:rFonts w:hint="eastAsia" w:ascii="宋体" w:hAnsi="宋体" w:cs="宋体"/>
                <w:color w:val="000000" w:themeColor="text1"/>
                <w:szCs w:val="21"/>
                <w:highlight w:val="none"/>
                <w:lang w:val="zh-TW"/>
                <w14:textFill>
                  <w14:solidFill>
                    <w14:schemeClr w14:val="tx1"/>
                  </w14:solidFill>
                </w14:textFill>
              </w:rPr>
              <w:t>2</w:t>
            </w:r>
            <w:r>
              <w:rPr>
                <w:rFonts w:hint="eastAsia" w:ascii="宋体" w:hAnsi="宋体" w:cs="宋体"/>
                <w:color w:val="000000" w:themeColor="text1"/>
                <w:szCs w:val="21"/>
                <w:highlight w:val="none"/>
                <w:lang w:val="zh-TW" w:eastAsia="zh-TW"/>
                <w14:textFill>
                  <w14:solidFill>
                    <w14:schemeClr w14:val="tx1"/>
                  </w14:solidFill>
                </w14:textFill>
              </w:rPr>
              <w:t>分；</w:t>
            </w:r>
          </w:p>
          <w:p w14:paraId="2993F940">
            <w:pPr>
              <w:spacing w:line="320" w:lineRule="exact"/>
              <w:rPr>
                <w:rFonts w:ascii="宋体" w:hAnsi="宋体" w:cs="宋体"/>
                <w:color w:val="000000" w:themeColor="text1"/>
                <w:szCs w:val="21"/>
                <w:highlight w:val="none"/>
                <w:lang w:val="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3</w:t>
            </w:r>
            <w:r>
              <w:rPr>
                <w:rFonts w:hint="eastAsia" w:ascii="宋体" w:hAnsi="宋体" w:cs="宋体"/>
                <w:color w:val="000000" w:themeColor="text1"/>
                <w:szCs w:val="21"/>
                <w:highlight w:val="none"/>
                <w:lang w:val="zh-TW"/>
                <w14:textFill>
                  <w14:solidFill>
                    <w14:schemeClr w14:val="tx1"/>
                  </w14:solidFill>
                </w14:textFill>
              </w:rPr>
              <w:t>.</w:t>
            </w:r>
            <w:r>
              <w:rPr>
                <w:rFonts w:hint="eastAsia" w:ascii="宋体" w:hAnsi="宋体" w:cs="宋体"/>
                <w:color w:val="000000" w:themeColor="text1"/>
                <w:szCs w:val="21"/>
                <w:highlight w:val="none"/>
                <w:lang w:val="zh-TW" w:eastAsia="zh-TW"/>
                <w14:textFill>
                  <w14:solidFill>
                    <w14:schemeClr w14:val="tx1"/>
                  </w14:solidFill>
                </w14:textFill>
              </w:rPr>
              <w:t>具有“计算机技术与软件专业技术资格（水平）考试”的系统架构设计师证书，每提供一份证书得2分，最高得2分；</w:t>
            </w:r>
          </w:p>
          <w:p w14:paraId="70F81AF1">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注：提供人员的证书复印件及投标截止日前6个月任意1个月的社保证明材料，不提供不得分。</w:t>
            </w:r>
            <w:r>
              <w:rPr>
                <w:rFonts w:hint="eastAsia" w:ascii="宋体" w:hAnsi="宋体" w:cs="宋体"/>
                <w:color w:val="000000" w:themeColor="text1"/>
                <w:szCs w:val="21"/>
                <w:highlight w:val="none"/>
                <w14:textFill>
                  <w14:solidFill>
                    <w14:schemeClr w14:val="tx1"/>
                  </w14:solidFill>
                </w14:textFill>
              </w:rPr>
              <w:t>同一人员提供多项证书按一项得分计算，</w:t>
            </w:r>
            <w:r>
              <w:rPr>
                <w:rFonts w:hint="eastAsia" w:ascii="宋体" w:hAnsi="宋体" w:cs="宋体"/>
                <w:color w:val="000000" w:themeColor="text1"/>
                <w:szCs w:val="21"/>
                <w:highlight w:val="none"/>
                <w:lang w:val="zh-TW" w:eastAsia="zh-TW"/>
                <w14:textFill>
                  <w14:solidFill>
                    <w14:schemeClr w14:val="tx1"/>
                  </w14:solidFill>
                </w14:textFill>
              </w:rPr>
              <w:t>不重复得分。</w:t>
            </w:r>
          </w:p>
        </w:tc>
      </w:tr>
      <w:tr w14:paraId="7289C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002AF4EC">
            <w:pPr>
              <w:rPr>
                <w:rFonts w:ascii="宋体" w:hAnsi="宋体" w:cs="宋体"/>
                <w:color w:val="000000" w:themeColor="text1"/>
                <w:szCs w:val="21"/>
                <w:highlight w:val="none"/>
                <w14:textFill>
                  <w14:solidFill>
                    <w14:schemeClr w14:val="tx1"/>
                  </w14:solidFill>
                </w14:textFill>
              </w:rPr>
            </w:pPr>
          </w:p>
        </w:tc>
        <w:tc>
          <w:tcPr>
            <w:tcW w:w="2307" w:type="dxa"/>
            <w:shd w:val="clear" w:color="auto" w:fill="auto"/>
          </w:tcPr>
          <w:p w14:paraId="6A1AD22A">
            <w:pPr>
              <w:snapToGrid w:val="0"/>
              <w:spacing w:line="32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售后服务方案</w:t>
            </w:r>
            <w:r>
              <w:rPr>
                <w:rFonts w:hint="eastAsia" w:ascii="宋体" w:hAnsi="宋体" w:cs="宋体"/>
                <w:color w:val="000000" w:themeColor="text1"/>
                <w:szCs w:val="21"/>
                <w:highlight w:val="none"/>
                <w14:textFill>
                  <w14:solidFill>
                    <w14:schemeClr w14:val="tx1"/>
                  </w14:solidFill>
                </w14:textFill>
              </w:rPr>
              <w:t>1（4.0分）</w:t>
            </w:r>
          </w:p>
        </w:tc>
        <w:tc>
          <w:tcPr>
            <w:tcW w:w="6157" w:type="dxa"/>
            <w:shd w:val="clear" w:color="auto" w:fill="auto"/>
            <w:vAlign w:val="center"/>
          </w:tcPr>
          <w:p w14:paraId="33B48FE9">
            <w:pPr>
              <w:spacing w:line="320" w:lineRule="exact"/>
              <w:rPr>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各投标人所提供的售后服务方案，包括但不限于：①是否具备7×24小时统一服务热线；②服务质量保证；③软件保修期；④服务响应时间以及售后服务点的技术力量。每提供一项得1分，最高得4分，不提供不得分。</w:t>
            </w:r>
          </w:p>
        </w:tc>
      </w:tr>
      <w:tr w14:paraId="38D46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14:paraId="4D0CD68F">
            <w:pPr>
              <w:rPr>
                <w:rFonts w:ascii="宋体" w:hAnsi="宋体" w:cs="宋体"/>
                <w:color w:val="000000" w:themeColor="text1"/>
                <w:szCs w:val="21"/>
                <w:highlight w:val="none"/>
                <w14:textFill>
                  <w14:solidFill>
                    <w14:schemeClr w14:val="tx1"/>
                  </w14:solidFill>
                </w14:textFill>
              </w:rPr>
            </w:pPr>
          </w:p>
        </w:tc>
        <w:tc>
          <w:tcPr>
            <w:tcW w:w="2307" w:type="dxa"/>
            <w:shd w:val="clear" w:color="auto" w:fill="auto"/>
          </w:tcPr>
          <w:p w14:paraId="315F82B1">
            <w:pPr>
              <w:snapToGrid w:val="0"/>
              <w:spacing w:line="320" w:lineRule="exact"/>
              <w:rPr>
                <w:rFonts w:eastAsiaTheme="minorEastAsia"/>
                <w:color w:val="000000" w:themeColor="text1"/>
                <w:szCs w:val="21"/>
                <w:highlight w:val="none"/>
                <w:lang w:val="zh-TW" w:eastAsia="zh-TW"/>
                <w14:textFill>
                  <w14:solidFill>
                    <w14:schemeClr w14:val="tx1"/>
                  </w14:solidFill>
                </w14:textFill>
              </w:rPr>
            </w:pPr>
            <w:r>
              <w:rPr>
                <w:rFonts w:hint="eastAsia" w:ascii="宋体" w:hAnsi="宋体" w:cs="宋体"/>
                <w:color w:val="000000" w:themeColor="text1"/>
                <w:szCs w:val="21"/>
                <w:highlight w:val="none"/>
                <w:lang w:val="zh-TW" w:eastAsia="zh-TW"/>
                <w14:textFill>
                  <w14:solidFill>
                    <w14:schemeClr w14:val="tx1"/>
                  </w14:solidFill>
                </w14:textFill>
              </w:rPr>
              <w:t>售后服务方案</w:t>
            </w:r>
            <w:r>
              <w:rPr>
                <w:rFonts w:hint="eastAsia" w:ascii="宋体" w:hAnsi="宋体" w:cs="宋体"/>
                <w:color w:val="000000" w:themeColor="text1"/>
                <w:szCs w:val="21"/>
                <w:highlight w:val="none"/>
                <w14:textFill>
                  <w14:solidFill>
                    <w14:schemeClr w14:val="tx1"/>
                  </w14:solidFill>
                </w14:textFill>
              </w:rPr>
              <w:t>2（6.0分）</w:t>
            </w:r>
          </w:p>
        </w:tc>
        <w:tc>
          <w:tcPr>
            <w:tcW w:w="6157" w:type="dxa"/>
            <w:shd w:val="clear" w:color="auto" w:fill="auto"/>
            <w:vAlign w:val="center"/>
          </w:tcPr>
          <w:p w14:paraId="68BF042C">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根据各投标人所提供的售后服务方案，包括但不限于：①是否具备7×24小时统一服务热线；②服务质量保证；③软件保修期；④服务响应时间以及售后服务点的技术力量等内容进行综合评审：</w:t>
            </w:r>
          </w:p>
          <w:p w14:paraId="210364BD">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1.投标人所提供的售后服务方案内容详细，有完整合理的部署规划，有安排专人负责响应采购人的维修要求及、具有相关资质的售后服务人员，完全满足或优于采购需求，得6分；</w:t>
            </w:r>
          </w:p>
          <w:p w14:paraId="108488A3">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2.投标人所提供的售后服务方案内容较完整，有基本的部署规划，有安排专人负责响应采购人的维修要求、具有相关资质的售后服务人员，基本满足采购需求的，得4分；</w:t>
            </w:r>
          </w:p>
          <w:p w14:paraId="4BEE91FC">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3.投标人所提供的售后服务方案内容基本完整，维修服务安排基本满足项目要求，对需维修的软件提供操作的维修处理方法，部分满足采购需求的，得2分；</w:t>
            </w:r>
          </w:p>
          <w:p w14:paraId="02C04920">
            <w:pPr>
              <w:widowControl/>
              <w:spacing w:line="320" w:lineRule="exac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4.投标人所提供的售后服务方案内容不完整，维修服务安排无法满足项目要求，对需维修的软件没有提供操作的维修处理方法，不完全满足采购需求的，得1分；</w:t>
            </w:r>
          </w:p>
          <w:p w14:paraId="2E3F95CF">
            <w:pPr>
              <w:pStyle w:val="25"/>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5.不提供不得分。</w:t>
            </w:r>
          </w:p>
        </w:tc>
      </w:tr>
      <w:tr w14:paraId="38AAB0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89" w:hRule="atLeast"/>
        </w:trPr>
        <w:tc>
          <w:tcPr>
            <w:tcW w:w="922" w:type="dxa"/>
            <w:vAlign w:val="center"/>
          </w:tcPr>
          <w:p w14:paraId="06B917D4">
            <w:pPr>
              <w:pStyle w:val="20"/>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w:t>
            </w:r>
          </w:p>
        </w:tc>
        <w:tc>
          <w:tcPr>
            <w:tcW w:w="2307" w:type="dxa"/>
            <w:vAlign w:val="center"/>
          </w:tcPr>
          <w:p w14:paraId="75F10B21">
            <w:pPr>
              <w:pStyle w:val="20"/>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 (15.0分)</w:t>
            </w:r>
          </w:p>
        </w:tc>
        <w:tc>
          <w:tcPr>
            <w:tcW w:w="6157" w:type="dxa"/>
            <w:vAlign w:val="center"/>
          </w:tcPr>
          <w:p w14:paraId="3CC4EBF3">
            <w:pPr>
              <w:pStyle w:val="20"/>
              <w:jc w:val="left"/>
              <w:rPr>
                <w:rFonts w:hint="default"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37CEB1C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BF54002">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0"/>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5658574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052B4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77A78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390FAEA">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8" w:name="_Toc12687"/>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88"/>
    </w:p>
    <w:p w14:paraId="394825B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20"/>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20"/>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0"/>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20"/>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544095E">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49F7778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6AED60AC">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796C716">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F9CCD0A">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35F537A">
      <w:pPr>
        <w:pStyle w:val="20"/>
        <w:keepNext w:val="0"/>
        <w:keepLines w:val="0"/>
        <w:pageBreakBefore w:val="0"/>
        <w:kinsoku/>
        <w:wordWrap/>
        <w:overflowPunct/>
        <w:topLinePunct w:val="0"/>
        <w:autoSpaceDE/>
        <w:autoSpaceDN/>
        <w:bidi w:val="0"/>
        <w:adjustRightInd/>
        <w:snapToGrid/>
        <w:spacing w:before="0" w:after="0" w:line="360" w:lineRule="auto"/>
        <w:ind w:left="0" w:right="0" w:firstLine="404"/>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根据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D8B4137">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一、货物内容</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02E35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6DD2F559">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9E69E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32CBAEF6">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C95ACFC">
            <w:pPr>
              <w:pStyle w:val="20"/>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81B44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95E63B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p w14:paraId="5832399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F82A8B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金额</w:t>
            </w:r>
          </w:p>
          <w:p w14:paraId="5AC23FA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r>
      <w:tr w14:paraId="1C9C3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E7642E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22D0ED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AA917C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A842E1">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7EF61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A22258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7B1576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670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AF17D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71B09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3147B13">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75FA0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56505D6">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EB101F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FD321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F7C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5D9417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0D36583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B07E03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E2F3D9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87E67E4">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8A465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8DC8412">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65413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1FA089">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7714BFCB">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FC248D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CCD944F">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314DAA4">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23A4ED9">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D5CD63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1B382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7F389D">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9DC075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E92CA34">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6085B1BA">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72B06A8">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F9BDDE7">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4456D0">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4682F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4215CF">
            <w:pPr>
              <w:pStyle w:val="20"/>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917ED75">
            <w:pPr>
              <w:pStyle w:val="20"/>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20955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5DDEE79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516" w:type="dxa"/>
            <w:tcBorders>
              <w:top w:val="nil"/>
              <w:left w:val="nil"/>
              <w:bottom w:val="nil"/>
              <w:right w:val="nil"/>
            </w:tcBorders>
          </w:tcPr>
          <w:p w14:paraId="6A21D99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96" w:type="dxa"/>
            <w:tcBorders>
              <w:top w:val="nil"/>
              <w:left w:val="nil"/>
              <w:bottom w:val="nil"/>
              <w:right w:val="nil"/>
            </w:tcBorders>
          </w:tcPr>
          <w:p w14:paraId="51B9CC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0F691F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4D28AE5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A2840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43FA6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7B8AFB5">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0C4C0D5">
      <w:pPr>
        <w:pStyle w:val="20"/>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08C590AD">
      <w:pPr>
        <w:pStyle w:val="20"/>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3F5C27D4">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二、合同金额</w:t>
      </w:r>
    </w:p>
    <w:p w14:paraId="264F42F3">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6C5475CE">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三、设备要求</w:t>
      </w:r>
    </w:p>
    <w:p w14:paraId="7586669D">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42F02F5">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四、交货期、交货方式及交货地点</w:t>
      </w:r>
    </w:p>
    <w:p w14:paraId="2D8F0CC9">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1.交货期：</w:t>
      </w:r>
    </w:p>
    <w:p w14:paraId="5D20EF69">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2.交货方式：</w:t>
      </w:r>
    </w:p>
    <w:p w14:paraId="380EC3B6">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3.交货地点：</w:t>
      </w:r>
    </w:p>
    <w:p w14:paraId="207101A6">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五、付款方式</w:t>
      </w:r>
    </w:p>
    <w:p w14:paraId="4C12B8B2">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由甲方按下列程序在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内付款：</w:t>
      </w:r>
    </w:p>
    <w:p w14:paraId="05C7419B">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1.预付款：签订合同后，支付合同总价的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6BFA0F5">
      <w:pPr>
        <w:pStyle w:val="20"/>
        <w:keepNext w:val="0"/>
        <w:keepLines w:val="0"/>
        <w:pageBreakBefore w:val="0"/>
        <w:kinsoku/>
        <w:wordWrap/>
        <w:overflowPunct/>
        <w:topLinePunct w:val="0"/>
        <w:autoSpaceDE/>
        <w:autoSpaceDN/>
        <w:bidi w:val="0"/>
        <w:adjustRightInd/>
        <w:snapToGrid/>
        <w:spacing w:before="0" w:after="0" w:line="360" w:lineRule="auto"/>
        <w:ind w:left="630" w:leftChars="200" w:right="0" w:hanging="210" w:hangingChars="1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661C5AF">
      <w:pPr>
        <w:pStyle w:val="20"/>
        <w:keepNext w:val="0"/>
        <w:keepLines w:val="0"/>
        <w:pageBreakBefore w:val="0"/>
        <w:kinsoku/>
        <w:wordWrap/>
        <w:overflowPunct/>
        <w:topLinePunct w:val="0"/>
        <w:autoSpaceDE/>
        <w:autoSpaceDN/>
        <w:bidi w:val="0"/>
        <w:adjustRightInd/>
        <w:snapToGrid/>
        <w:spacing w:before="0" w:after="0" w:line="360" w:lineRule="auto"/>
        <w:ind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同时无息退还乙方的合同履约保证金。</w:t>
      </w:r>
    </w:p>
    <w:p w14:paraId="6160010D">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3.从验收合格之日起，正常使用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个月后，支付合同总价的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044CD75">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D575DFE">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六、质保期及售后服务要求</w:t>
      </w:r>
    </w:p>
    <w:p w14:paraId="678F4B8F">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1.本合同的质量保证期（简称“质保期”）为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(免费/有偿)</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维修保养服务。</w:t>
      </w:r>
    </w:p>
    <w:p w14:paraId="3705144F">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5A3F0341">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1E3B629E">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七、安装与调试</w:t>
      </w:r>
    </w:p>
    <w:p w14:paraId="486E98A4">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6C6A22F2">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八、验收：</w:t>
      </w:r>
    </w:p>
    <w:p w14:paraId="365FB2AB">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1C3E03DF">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D5237F0">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2B18C98">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4F70E881">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3CEE7453">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九、违约责任与赔偿损失</w:t>
      </w:r>
    </w:p>
    <w:p w14:paraId="0E35EFF3">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DD6ED06">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043B0C4E">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2AE419">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6A531B2">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十、争议的解决</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7D3C3DCE">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十一、不可抗力</w:t>
      </w:r>
    </w:p>
    <w:p w14:paraId="043BAE40">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86DD78E">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十二、税费</w:t>
      </w:r>
    </w:p>
    <w:p w14:paraId="4FFEF4E5">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12D6A94F">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其它</w:t>
      </w:r>
    </w:p>
    <w:p w14:paraId="54EE4988">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3E798EB5">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5CC3F4E7">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94E5862">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1D526C4B">
      <w:pPr>
        <w:pStyle w:val="20"/>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十四、合同生效</w:t>
      </w:r>
    </w:p>
    <w:p w14:paraId="3A884C78">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25C93847">
      <w:pPr>
        <w:pStyle w:val="20"/>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2.合同一式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w:t>
      </w:r>
    </w:p>
    <w:p w14:paraId="70987380">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D5B5CE8">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甲方（盖章）：</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乙方（盖章）：</w:t>
      </w:r>
    </w:p>
    <w:p w14:paraId="5795BC0D">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p>
    <w:p w14:paraId="7C1E815A">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签订地点：</w:t>
      </w:r>
    </w:p>
    <w:p w14:paraId="626EA5DF">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p>
    <w:p w14:paraId="5CA16C8F">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开户名称：</w:t>
      </w:r>
    </w:p>
    <w:p w14:paraId="4DB93683">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银行帐号：</w:t>
      </w:r>
    </w:p>
    <w:p w14:paraId="22561CFB">
      <w:pPr>
        <w:pStyle w:val="20"/>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 户 行：</w:t>
      </w:r>
    </w:p>
    <w:p w14:paraId="0862F88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F09875B">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0B60BD1B">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9" w:name="_Toc1937"/>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89"/>
    </w:p>
    <w:p w14:paraId="59B65CA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52F7002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1811C77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3762191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2E230EA7">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0" w:name="_Toc14410"/>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0"/>
    </w:p>
    <w:p w14:paraId="207F05C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YXCG-20260702</w:t>
      </w:r>
    </w:p>
    <w:p w14:paraId="7DF91495">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p>
    <w:p w14:paraId="64F73D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20"/>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1" w:name="_Toc955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91"/>
    </w:p>
    <w:p w14:paraId="74FFEE6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E42DA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2" w:name="_Toc2312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92"/>
    </w:p>
    <w:p w14:paraId="76A39A0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FB71F5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阳江职业技术学院软件正版化服务和零信任设备采购项目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YXCG-20260702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阳江职业技术学院软件正版化服务和零信任设备采购项目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rPr>
          <w:rFonts w:hint="eastAsia"/>
          <w:color w:val="000000" w:themeColor="text1"/>
          <w:highlight w:val="none"/>
          <w14:textFill>
            <w14:solidFill>
              <w14:schemeClr w14:val="tx1"/>
            </w14:solidFill>
          </w14:textFill>
        </w:rPr>
      </w:pPr>
    </w:p>
    <w:p w14:paraId="40707F08">
      <w:pPr>
        <w:rPr>
          <w:rFonts w:hint="eastAsia"/>
          <w:color w:val="000000" w:themeColor="text1"/>
          <w:highlight w:val="none"/>
          <w14:textFill>
            <w14:solidFill>
              <w14:schemeClr w14:val="tx1"/>
            </w14:solidFill>
          </w14:textFill>
        </w:rPr>
      </w:pPr>
    </w:p>
    <w:p w14:paraId="6D305A8F">
      <w:pPr>
        <w:rPr>
          <w:rFonts w:hint="eastAsia"/>
          <w:color w:val="000000" w:themeColor="text1"/>
          <w:highlight w:val="none"/>
          <w14:textFill>
            <w14:solidFill>
              <w14:schemeClr w14:val="tx1"/>
            </w14:solidFill>
          </w14:textFill>
        </w:rPr>
      </w:pPr>
    </w:p>
    <w:p w14:paraId="701D9689">
      <w:pPr>
        <w:rPr>
          <w:rFonts w:hint="eastAsia"/>
          <w:color w:val="000000" w:themeColor="text1"/>
          <w:highlight w:val="none"/>
          <w14:textFill>
            <w14:solidFill>
              <w14:schemeClr w14:val="tx1"/>
            </w14:solidFill>
          </w14:textFill>
        </w:rPr>
      </w:pPr>
    </w:p>
    <w:p w14:paraId="5FCF5025">
      <w:pPr>
        <w:rPr>
          <w:rFonts w:hint="eastAsia"/>
          <w:color w:val="000000" w:themeColor="text1"/>
          <w:highlight w:val="none"/>
          <w14:textFill>
            <w14:solidFill>
              <w14:schemeClr w14:val="tx1"/>
            </w14:solidFill>
          </w14:textFill>
        </w:rPr>
      </w:pPr>
    </w:p>
    <w:p w14:paraId="73BD6DEC">
      <w:pPr>
        <w:rPr>
          <w:rFonts w:hint="eastAsia"/>
          <w:color w:val="000000" w:themeColor="text1"/>
          <w:highlight w:val="none"/>
          <w14:textFill>
            <w14:solidFill>
              <w14:schemeClr w14:val="tx1"/>
            </w14:solidFill>
          </w14:textFill>
        </w:rPr>
      </w:pPr>
    </w:p>
    <w:p w14:paraId="261C1F62">
      <w:pPr>
        <w:rPr>
          <w:rFonts w:hint="eastAsia"/>
          <w:color w:val="000000" w:themeColor="text1"/>
          <w:highlight w:val="none"/>
          <w14:textFill>
            <w14:solidFill>
              <w14:schemeClr w14:val="tx1"/>
            </w14:solidFill>
          </w14:textFill>
        </w:rPr>
      </w:pPr>
    </w:p>
    <w:p w14:paraId="08BA5173">
      <w:pPr>
        <w:rPr>
          <w:rFonts w:hint="eastAsia"/>
          <w:color w:val="000000" w:themeColor="text1"/>
          <w:highlight w:val="none"/>
          <w14:textFill>
            <w14:solidFill>
              <w14:schemeClr w14:val="tx1"/>
            </w14:solidFill>
          </w14:textFill>
        </w:rPr>
      </w:pPr>
    </w:p>
    <w:p w14:paraId="62E74CD5">
      <w:pPr>
        <w:rPr>
          <w:rFonts w:hint="eastAsia"/>
          <w:color w:val="000000" w:themeColor="text1"/>
          <w:highlight w:val="none"/>
          <w14:textFill>
            <w14:solidFill>
              <w14:schemeClr w14:val="tx1"/>
            </w14:solidFill>
          </w14:textFill>
        </w:rPr>
      </w:pPr>
    </w:p>
    <w:p w14:paraId="25C4A46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5E15902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3" w:name="_Toc664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93"/>
    </w:p>
    <w:p w14:paraId="6C181EC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B6CB39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BD009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E5060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E8F2C0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DE8CF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1108C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2B08A">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7A8A58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4" w:name="_Toc159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94"/>
    </w:p>
    <w:p w14:paraId="5EE9D84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10D23A">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07" w:type="dxa"/>
            <w:vAlign w:val="center"/>
          </w:tcPr>
          <w:p w14:paraId="579C3E9A">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07" w:type="dxa"/>
            <w:vAlign w:val="center"/>
          </w:tcPr>
          <w:p w14:paraId="18ADB2AB">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20"/>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2F8EC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5" w:name="_Toc1080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95"/>
    </w:p>
    <w:p w14:paraId="10E51DD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94194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038" w:type="dxa"/>
            <w:vAlign w:val="top"/>
          </w:tcPr>
          <w:p w14:paraId="29FB75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038" w:type="dxa"/>
            <w:vAlign w:val="top"/>
          </w:tcPr>
          <w:p w14:paraId="0DAF407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038" w:type="dxa"/>
            <w:vAlign w:val="top"/>
          </w:tcPr>
          <w:p w14:paraId="5231385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038" w:type="dxa"/>
            <w:vAlign w:val="top"/>
          </w:tcPr>
          <w:p w14:paraId="1EA245E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038" w:type="dxa"/>
            <w:vAlign w:val="top"/>
          </w:tcPr>
          <w:p w14:paraId="4EEF859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038" w:type="dxa"/>
            <w:vAlign w:val="top"/>
          </w:tcPr>
          <w:p w14:paraId="7EC28D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038" w:type="dxa"/>
            <w:vAlign w:val="top"/>
          </w:tcPr>
          <w:p w14:paraId="6E3BE31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038" w:type="dxa"/>
            <w:vAlign w:val="top"/>
          </w:tcPr>
          <w:p w14:paraId="2D71ABA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038"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038"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038"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038"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038"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038"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38"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5F79B4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01022CC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2259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EC89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3D526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4DBEF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F4765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3714B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22AC9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1E34C6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5DD96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9BA80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6" w:name="_Toc118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96"/>
    </w:p>
    <w:p w14:paraId="29AEDC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20"/>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0"/>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90471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2108A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0"/>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0E4E7">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C90222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20"/>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0"/>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0"/>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20"/>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20"/>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20"/>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0"/>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0"/>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C28580">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2482F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3216AA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A203A9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7BDDC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EECC4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8870A4">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2AF2596">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10D04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E9632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AA2989">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EB1E4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1490A8">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1BA1820">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5BF3C">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1E0F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4F3DBB">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1FB63">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CFEFA2">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75AF1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8446E9">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FE9B8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57B0D75">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62A5B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2FD036F">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F780BE">
      <w:pPr>
        <w:pStyle w:val="20"/>
        <w:keepNext w:val="0"/>
        <w:keepLines w:val="0"/>
        <w:pageBreakBefore w:val="0"/>
        <w:kinsoku/>
        <w:wordWrap/>
        <w:overflowPunct/>
        <w:topLinePunct w:val="0"/>
        <w:autoSpaceDE/>
        <w:autoSpaceDN/>
        <w:bidi w:val="0"/>
        <w:adjustRightInd/>
        <w:snapToGrid/>
        <w:spacing w:line="360" w:lineRule="auto"/>
        <w:ind w:firstLine="480"/>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5153F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7" w:name="_Toc2465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97"/>
    </w:p>
    <w:p w14:paraId="1907FBA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E8601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50E9449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98" w:name="_Toc478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98"/>
    </w:p>
    <w:p w14:paraId="09A847A8">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阳江职业技术学院软件正版化服务和零信任设备采购项目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YXCG-20260702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41275</wp:posOffset>
                </wp:positionV>
                <wp:extent cx="4933950" cy="1944370"/>
                <wp:effectExtent l="4445" t="4445" r="14605" b="1333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1944370"/>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3.25pt;height:153.1pt;width:388.5pt;z-index:251661312;mso-width-relative:page;mso-height-relative:page;" fillcolor="#FFFFFF" filled="t" stroked="t" coordsize="21600,21600" o:gfxdata="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vBCFdUAAAAI&#10;AQAADwAAAAAAAAABACAAAAAiAAAAZHJzL2Rvd25yZXYueG1sUEsBAhQAFAAAAAgAh07iQErusi5Y&#10;AgAApAQAAA4AAAAAAAAAAQAgAAAAJAEAAGRycy9lMm9Eb2MueG1sUEsFBgAAAAAGAAYAWQEAAO4F&#10;AAA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15B53DA7">
      <w:pPr>
        <w:rPr>
          <w:color w:val="000000" w:themeColor="text1"/>
          <w:highlight w:val="none"/>
          <w14:textFill>
            <w14:solidFill>
              <w14:schemeClr w14:val="tx1"/>
            </w14:solidFill>
          </w14:textFill>
        </w:rPr>
      </w:pP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7615FAB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9" w:name="_Toc2272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99"/>
    </w:p>
    <w:p w14:paraId="6AEE07B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BA277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45F88A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92C320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1D7D3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0" w:name="_Toc991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0"/>
    </w:p>
    <w:p w14:paraId="69BB158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64CE26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95184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63171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2999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01"/>
    </w:p>
    <w:p w14:paraId="659E221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9E0ADD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DFBC0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EB6BD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B4CD7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FDF2B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4561C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C8E6B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EDCDD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99EEB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52709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49B7F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BA8867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A5C16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2CBA44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2" w:name="_Toc2200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02"/>
    </w:p>
    <w:p w14:paraId="462DCA6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7F51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DF9205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3" w:name="_Toc1221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03"/>
    </w:p>
    <w:p w14:paraId="44FF4C1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2FE2572">
      <w:pP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page"/>
      </w:r>
    </w:p>
    <w:p w14:paraId="6DEE2D8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36F54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8F006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F7E5F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45C4B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C27AF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1966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04"/>
    </w:p>
    <w:p w14:paraId="74EFF51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77BB8C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F8E0E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C4D4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518AAF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5D370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BB1AF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5" w:name="_Toc2309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05"/>
    </w:p>
    <w:p w14:paraId="0E3F77E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26C1E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D53AB3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EB07A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AF5C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6" w:name="_Toc615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06"/>
    </w:p>
    <w:p w14:paraId="39CD9B4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5B84E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29BEB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E2A4D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087A5F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9CE9E8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24E0D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7BB1B4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4210A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6979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97369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89E84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6C6368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69C87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467E7D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64164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26FE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E7627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C1FDC1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526AA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7" w:name="_Toc1226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07"/>
    </w:p>
    <w:p w14:paraId="1F96257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7122D5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5"/>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E2C068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F2174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4B11C1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B7BA13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EFED6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59669D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A74095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F9999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B2EF35">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60BCF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41E95D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1AAA9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62E760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8E81C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561B1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58760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8" w:name="_Toc1075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08"/>
    </w:p>
    <w:p w14:paraId="70AFD61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B75D1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23" w:type="dxa"/>
            <w:vAlign w:val="top"/>
          </w:tcPr>
          <w:p w14:paraId="6A05AA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23" w:type="dxa"/>
            <w:vAlign w:val="top"/>
          </w:tcPr>
          <w:p w14:paraId="71C4FDA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923" w:type="dxa"/>
            <w:vAlign w:val="top"/>
          </w:tcPr>
          <w:p w14:paraId="74D9407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7B2054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9" w:name="_Toc54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09"/>
    </w:p>
    <w:p w14:paraId="518C213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C31EF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3F69855D">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296" w:type="dxa"/>
            <w:vAlign w:val="top"/>
          </w:tcPr>
          <w:p w14:paraId="641AF8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296" w:type="dxa"/>
            <w:vAlign w:val="top"/>
          </w:tcPr>
          <w:p w14:paraId="7B18919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296" w:type="dxa"/>
            <w:vAlign w:val="top"/>
          </w:tcPr>
          <w:p w14:paraId="56D6A0F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296" w:type="dxa"/>
            <w:vAlign w:val="top"/>
          </w:tcPr>
          <w:p w14:paraId="17504B6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296" w:type="dxa"/>
            <w:vAlign w:val="top"/>
          </w:tcPr>
          <w:p w14:paraId="7F05847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296" w:type="dxa"/>
            <w:vAlign w:val="top"/>
          </w:tcPr>
          <w:p w14:paraId="461AC4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D67B32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296"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2F572F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296"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75B8F5D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296"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6238325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296"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4D95A4C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296"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F0902A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296"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5B401F3C">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296"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1A0671B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296"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5" w:type="dxa"/>
            <w:vAlign w:val="top"/>
          </w:tcPr>
          <w:p w14:paraId="267B701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296"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96"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48459CF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1054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10"/>
    </w:p>
    <w:p w14:paraId="11660AF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890D71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78EE14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0BC263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6A417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DF826E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1" w:name="_Toc627"/>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11"/>
    </w:p>
    <w:p w14:paraId="1E8FC84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4CFF80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DB9EAF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ABFAC8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A6C88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569B0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88DDD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2" w:name="_Toc1372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12"/>
    </w:p>
    <w:p w14:paraId="4896881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798B7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阳江职业技术学院软件正版化服务和零信任设备采购项目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YXCG-20260702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A74672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1058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13"/>
    </w:p>
    <w:p w14:paraId="6C678DB8">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892B8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5"/>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FF8D32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1F556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16194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096DB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169F5D">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0293A5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4FC1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B6676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758A2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EC1371">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69B8BB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7274EB">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05721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7F5AB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D340F2">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88E2C47">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BAF0D30">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67A7D6">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4" w:name="_Toc223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14"/>
    </w:p>
    <w:p w14:paraId="68D1F28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45FB1D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0E3BAC3">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0DA2A8D">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A549E8F">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164F8B5">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6D6C8EA">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58851D6">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54B8C7C">
      <w:pPr>
        <w:pStyle w:val="20"/>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0"/>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DCC14C">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8AF0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49E5149">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25723A">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43A9294">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69EA163">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356E5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84F9E0E">
      <w:pPr>
        <w:pStyle w:val="20"/>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5" w:name="_Toc2156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15"/>
    </w:p>
    <w:p w14:paraId="0E4751E3">
      <w:pPr>
        <w:pStyle w:val="20"/>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0"/>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20"/>
        <w:rPr>
          <w:rFonts w:hint="eastAsia"/>
          <w:color w:val="000000" w:themeColor="text1"/>
          <w:highlight w:val="none"/>
          <w:lang w:val="en-US" w:eastAsia="zh-Hans"/>
          <w14:textFill>
            <w14:solidFill>
              <w14:schemeClr w14:val="tx1"/>
            </w14:solidFill>
          </w14:textFill>
        </w:rPr>
      </w:pPr>
    </w:p>
    <w:p w14:paraId="708D0FA9">
      <w:pPr>
        <w:pStyle w:val="20"/>
        <w:rPr>
          <w:rFonts w:hint="eastAsia"/>
          <w:color w:val="000000" w:themeColor="text1"/>
          <w:highlight w:val="none"/>
          <w:lang w:val="en-US" w:eastAsia="zh-Hans"/>
          <w14:textFill>
            <w14:solidFill>
              <w14:schemeClr w14:val="tx1"/>
            </w14:solidFill>
          </w14:textFill>
        </w:rPr>
      </w:pPr>
    </w:p>
    <w:p w14:paraId="334AC9EE">
      <w:pPr>
        <w:pStyle w:val="20"/>
        <w:rPr>
          <w:rFonts w:hint="eastAsia"/>
          <w:color w:val="000000" w:themeColor="text1"/>
          <w:highlight w:val="none"/>
          <w:lang w:val="en-US" w:eastAsia="zh-Hans"/>
          <w14:textFill>
            <w14:solidFill>
              <w14:schemeClr w14:val="tx1"/>
            </w14:solidFill>
          </w14:textFill>
        </w:rPr>
      </w:pPr>
    </w:p>
    <w:p w14:paraId="1CE47668">
      <w:pPr>
        <w:pStyle w:val="20"/>
        <w:rPr>
          <w:rFonts w:hint="eastAsia"/>
          <w:color w:val="000000" w:themeColor="text1"/>
          <w:highlight w:val="none"/>
          <w:lang w:val="en-US" w:eastAsia="zh-Hans"/>
          <w14:textFill>
            <w14:solidFill>
              <w14:schemeClr w14:val="tx1"/>
            </w14:solidFill>
          </w14:textFill>
        </w:rPr>
      </w:pPr>
    </w:p>
    <w:p w14:paraId="1BC77DC0">
      <w:pPr>
        <w:pStyle w:val="20"/>
        <w:rPr>
          <w:rFonts w:hint="eastAsia"/>
          <w:color w:val="000000" w:themeColor="text1"/>
          <w:highlight w:val="none"/>
          <w:lang w:val="en-US" w:eastAsia="zh-Hans"/>
          <w14:textFill>
            <w14:solidFill>
              <w14:schemeClr w14:val="tx1"/>
            </w14:solidFill>
          </w14:textFill>
        </w:rPr>
      </w:pPr>
    </w:p>
    <w:p w14:paraId="0DD684D0">
      <w:pPr>
        <w:pStyle w:val="20"/>
        <w:rPr>
          <w:rFonts w:hint="eastAsia"/>
          <w:color w:val="000000" w:themeColor="text1"/>
          <w:highlight w:val="none"/>
          <w:lang w:val="en-US" w:eastAsia="zh-Hans"/>
          <w14:textFill>
            <w14:solidFill>
              <w14:schemeClr w14:val="tx1"/>
            </w14:solidFill>
          </w14:textFill>
        </w:rPr>
      </w:pPr>
    </w:p>
    <w:p w14:paraId="23118824">
      <w:pPr>
        <w:pStyle w:val="20"/>
        <w:rPr>
          <w:rFonts w:hint="eastAsia"/>
          <w:color w:val="000000" w:themeColor="text1"/>
          <w:highlight w:val="none"/>
          <w:lang w:val="en-US" w:eastAsia="zh-Hans"/>
          <w14:textFill>
            <w14:solidFill>
              <w14:schemeClr w14:val="tx1"/>
            </w14:solidFill>
          </w14:textFill>
        </w:rPr>
      </w:pPr>
    </w:p>
    <w:p w14:paraId="39A3EB57">
      <w:pPr>
        <w:pStyle w:val="20"/>
        <w:rPr>
          <w:rFonts w:hint="eastAsia"/>
          <w:color w:val="000000" w:themeColor="text1"/>
          <w:highlight w:val="none"/>
          <w:lang w:val="en-US" w:eastAsia="zh-Hans"/>
          <w14:textFill>
            <w14:solidFill>
              <w14:schemeClr w14:val="tx1"/>
            </w14:solidFill>
          </w14:textFill>
        </w:rPr>
      </w:pPr>
    </w:p>
    <w:p w14:paraId="3A82B74E">
      <w:pPr>
        <w:pStyle w:val="20"/>
        <w:rPr>
          <w:rFonts w:hint="eastAsia"/>
          <w:color w:val="000000" w:themeColor="text1"/>
          <w:highlight w:val="none"/>
          <w:lang w:val="en-US" w:eastAsia="zh-Hans"/>
          <w14:textFill>
            <w14:solidFill>
              <w14:schemeClr w14:val="tx1"/>
            </w14:solidFill>
          </w14:textFill>
        </w:rPr>
      </w:pPr>
    </w:p>
    <w:p w14:paraId="5D04EF79">
      <w:pPr>
        <w:pStyle w:val="20"/>
        <w:rPr>
          <w:rFonts w:hint="eastAsia"/>
          <w:color w:val="000000" w:themeColor="text1"/>
          <w:highlight w:val="none"/>
          <w:lang w:val="en-US" w:eastAsia="zh-Hans"/>
          <w14:textFill>
            <w14:solidFill>
              <w14:schemeClr w14:val="tx1"/>
            </w14:solidFill>
          </w14:textFill>
        </w:rPr>
      </w:pPr>
    </w:p>
    <w:p w14:paraId="740D9E95">
      <w:pPr>
        <w:pStyle w:val="20"/>
        <w:rPr>
          <w:rFonts w:hint="eastAsia"/>
          <w:color w:val="000000" w:themeColor="text1"/>
          <w:highlight w:val="none"/>
          <w:lang w:val="en-US" w:eastAsia="zh-Hans"/>
          <w14:textFill>
            <w14:solidFill>
              <w14:schemeClr w14:val="tx1"/>
            </w14:solidFill>
          </w14:textFill>
        </w:rPr>
      </w:pPr>
    </w:p>
    <w:p w14:paraId="6F2EADD6">
      <w:pPr>
        <w:pStyle w:val="20"/>
        <w:rPr>
          <w:rFonts w:hint="eastAsia"/>
          <w:color w:val="000000" w:themeColor="text1"/>
          <w:highlight w:val="none"/>
          <w:lang w:val="en-US" w:eastAsia="zh-Hans"/>
          <w14:textFill>
            <w14:solidFill>
              <w14:schemeClr w14:val="tx1"/>
            </w14:solidFill>
          </w14:textFill>
        </w:rPr>
      </w:pPr>
    </w:p>
    <w:p w14:paraId="237296C9">
      <w:pPr>
        <w:pStyle w:val="20"/>
        <w:rPr>
          <w:rFonts w:hint="eastAsia"/>
          <w:color w:val="000000" w:themeColor="text1"/>
          <w:highlight w:val="none"/>
          <w:lang w:val="en-US" w:eastAsia="zh-Hans"/>
          <w14:textFill>
            <w14:solidFill>
              <w14:schemeClr w14:val="tx1"/>
            </w14:solidFill>
          </w14:textFill>
        </w:rPr>
      </w:pPr>
    </w:p>
    <w:p w14:paraId="6F7079CA">
      <w:pPr>
        <w:pStyle w:val="20"/>
        <w:rPr>
          <w:rFonts w:hint="eastAsia"/>
          <w:color w:val="000000" w:themeColor="text1"/>
          <w:highlight w:val="none"/>
          <w:lang w:val="en-US" w:eastAsia="zh-Hans"/>
          <w14:textFill>
            <w14:solidFill>
              <w14:schemeClr w14:val="tx1"/>
            </w14:solidFill>
          </w14:textFill>
        </w:rPr>
      </w:pPr>
    </w:p>
    <w:p w14:paraId="25E036EE">
      <w:pPr>
        <w:pStyle w:val="20"/>
        <w:rPr>
          <w:rFonts w:hint="eastAsia"/>
          <w:color w:val="000000" w:themeColor="text1"/>
          <w:highlight w:val="none"/>
          <w:lang w:val="en-US" w:eastAsia="zh-Hans"/>
          <w14:textFill>
            <w14:solidFill>
              <w14:schemeClr w14:val="tx1"/>
            </w14:solidFill>
          </w14:textFill>
        </w:rPr>
      </w:pPr>
    </w:p>
    <w:p w14:paraId="1AE79E39">
      <w:pPr>
        <w:pStyle w:val="20"/>
        <w:rPr>
          <w:rFonts w:hint="eastAsia"/>
          <w:color w:val="000000" w:themeColor="text1"/>
          <w:highlight w:val="none"/>
          <w:lang w:val="en-US" w:eastAsia="zh-Hans"/>
          <w14:textFill>
            <w14:solidFill>
              <w14:schemeClr w14:val="tx1"/>
            </w14:solidFill>
          </w14:textFill>
        </w:rPr>
      </w:pPr>
    </w:p>
    <w:p w14:paraId="2D455EC8">
      <w:pPr>
        <w:pStyle w:val="20"/>
        <w:rPr>
          <w:rFonts w:hint="eastAsia"/>
          <w:color w:val="000000" w:themeColor="text1"/>
          <w:highlight w:val="none"/>
          <w:lang w:val="en-US" w:eastAsia="zh-Hans"/>
          <w14:textFill>
            <w14:solidFill>
              <w14:schemeClr w14:val="tx1"/>
            </w14:solidFill>
          </w14:textFill>
        </w:rPr>
      </w:pPr>
    </w:p>
    <w:p w14:paraId="74F96EEC">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28"/>
          <w:szCs w:val="28"/>
          <w:highlight w:val="none"/>
          <w14:textFill>
            <w14:solidFill>
              <w14:schemeClr w14:val="tx1"/>
            </w14:solidFill>
          </w14:textFill>
        </w:rPr>
      </w:pPr>
      <w:bookmarkStart w:id="116" w:name="_Toc10331"/>
      <w:r>
        <w:rPr>
          <w:rFonts w:hint="eastAsia" w:ascii="宋体" w:hAnsi="宋体" w:eastAsia="宋体" w:cs="宋体"/>
          <w:b/>
          <w:bCs/>
          <w:color w:val="000000" w:themeColor="text1"/>
          <w:kern w:val="0"/>
          <w:sz w:val="28"/>
          <w:szCs w:val="28"/>
          <w:highlight w:val="none"/>
          <w14:textFill>
            <w14:solidFill>
              <w14:schemeClr w14:val="tx1"/>
            </w14:solidFill>
          </w14:textFill>
        </w:rPr>
        <w:t>附件</w:t>
      </w:r>
      <w:bookmarkEnd w:id="116"/>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17" w:name="_Toc27871"/>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17"/>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18" w:name="_Toc28171"/>
      <w:bookmarkStart w:id="119" w:name="_Hlk534184791"/>
      <w:r>
        <w:rPr>
          <w:rFonts w:hint="eastAsia"/>
          <w:b/>
          <w:bCs/>
          <w:color w:val="000000" w:themeColor="text1"/>
          <w:sz w:val="44"/>
          <w:szCs w:val="44"/>
          <w:highlight w:val="none"/>
          <w14:textFill>
            <w14:solidFill>
              <w14:schemeClr w14:val="tx1"/>
            </w14:solidFill>
          </w14:textFill>
        </w:rPr>
        <w:t>购买标书登记表</w:t>
      </w:r>
      <w:bookmarkEnd w:id="118"/>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5"/>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19"/>
    <w:p w14:paraId="5491EC9D">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9"/>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0"/>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24261A6"/>
    <w:rsid w:val="025832D3"/>
    <w:rsid w:val="038C2F8B"/>
    <w:rsid w:val="039D04CA"/>
    <w:rsid w:val="04161698"/>
    <w:rsid w:val="042172CF"/>
    <w:rsid w:val="04BA09A7"/>
    <w:rsid w:val="04D05CEB"/>
    <w:rsid w:val="0566160C"/>
    <w:rsid w:val="05F15F19"/>
    <w:rsid w:val="063D4CBA"/>
    <w:rsid w:val="06E1489A"/>
    <w:rsid w:val="06FA07EB"/>
    <w:rsid w:val="070E48A8"/>
    <w:rsid w:val="075838FA"/>
    <w:rsid w:val="076D7821"/>
    <w:rsid w:val="078D7EC3"/>
    <w:rsid w:val="083D71F3"/>
    <w:rsid w:val="086230FE"/>
    <w:rsid w:val="09EF276F"/>
    <w:rsid w:val="0A634F0B"/>
    <w:rsid w:val="0B3A5C6C"/>
    <w:rsid w:val="0B495EAF"/>
    <w:rsid w:val="0B756CA4"/>
    <w:rsid w:val="0B9C568C"/>
    <w:rsid w:val="0C7A48B8"/>
    <w:rsid w:val="0C8C24F7"/>
    <w:rsid w:val="0CA57A2F"/>
    <w:rsid w:val="0CC41D6A"/>
    <w:rsid w:val="0D6604F6"/>
    <w:rsid w:val="0DDC74AE"/>
    <w:rsid w:val="0E464928"/>
    <w:rsid w:val="0E556903"/>
    <w:rsid w:val="0E7771D7"/>
    <w:rsid w:val="0FC93A62"/>
    <w:rsid w:val="108865E6"/>
    <w:rsid w:val="11230F50"/>
    <w:rsid w:val="11A07096"/>
    <w:rsid w:val="127F775F"/>
    <w:rsid w:val="1283439D"/>
    <w:rsid w:val="14467430"/>
    <w:rsid w:val="14C940E6"/>
    <w:rsid w:val="15D942D4"/>
    <w:rsid w:val="162163A6"/>
    <w:rsid w:val="177F50ED"/>
    <w:rsid w:val="18463EA2"/>
    <w:rsid w:val="18C617AF"/>
    <w:rsid w:val="190F698A"/>
    <w:rsid w:val="1912647A"/>
    <w:rsid w:val="193E7F56"/>
    <w:rsid w:val="19554576"/>
    <w:rsid w:val="1A917758"/>
    <w:rsid w:val="1AA66E7A"/>
    <w:rsid w:val="1B4D5548"/>
    <w:rsid w:val="1B882A24"/>
    <w:rsid w:val="1BF81957"/>
    <w:rsid w:val="1C101B3C"/>
    <w:rsid w:val="1C541D8B"/>
    <w:rsid w:val="1C6A3ED7"/>
    <w:rsid w:val="1D0B1216"/>
    <w:rsid w:val="1D21234A"/>
    <w:rsid w:val="1D412F68"/>
    <w:rsid w:val="1D767D77"/>
    <w:rsid w:val="1D9B2B44"/>
    <w:rsid w:val="207B2D2A"/>
    <w:rsid w:val="207D242B"/>
    <w:rsid w:val="208539D6"/>
    <w:rsid w:val="217C0935"/>
    <w:rsid w:val="21B21B9E"/>
    <w:rsid w:val="221943D6"/>
    <w:rsid w:val="22F10EAE"/>
    <w:rsid w:val="23156E23"/>
    <w:rsid w:val="234B69D8"/>
    <w:rsid w:val="23FB55E8"/>
    <w:rsid w:val="2499649D"/>
    <w:rsid w:val="24C30629"/>
    <w:rsid w:val="255F2A47"/>
    <w:rsid w:val="257007B0"/>
    <w:rsid w:val="26025181"/>
    <w:rsid w:val="26105AEF"/>
    <w:rsid w:val="26415CA9"/>
    <w:rsid w:val="265620C6"/>
    <w:rsid w:val="2694227D"/>
    <w:rsid w:val="26A83F7A"/>
    <w:rsid w:val="27167136"/>
    <w:rsid w:val="27C070A1"/>
    <w:rsid w:val="281E0CB9"/>
    <w:rsid w:val="287C121A"/>
    <w:rsid w:val="29935E30"/>
    <w:rsid w:val="299747E3"/>
    <w:rsid w:val="29DB5F49"/>
    <w:rsid w:val="2AC67A36"/>
    <w:rsid w:val="2B2A092C"/>
    <w:rsid w:val="2B51698E"/>
    <w:rsid w:val="2BB313F7"/>
    <w:rsid w:val="2D346567"/>
    <w:rsid w:val="2D5B1D46"/>
    <w:rsid w:val="2D5C569C"/>
    <w:rsid w:val="2DB71F51"/>
    <w:rsid w:val="2E2747FA"/>
    <w:rsid w:val="2E7D5CEC"/>
    <w:rsid w:val="2ED51684"/>
    <w:rsid w:val="2EFC463E"/>
    <w:rsid w:val="2F1429B9"/>
    <w:rsid w:val="30C97B57"/>
    <w:rsid w:val="31E367AE"/>
    <w:rsid w:val="32C43EEA"/>
    <w:rsid w:val="32FE5EB6"/>
    <w:rsid w:val="335C05C6"/>
    <w:rsid w:val="337551E4"/>
    <w:rsid w:val="33842D75"/>
    <w:rsid w:val="340B78F6"/>
    <w:rsid w:val="34FA4631"/>
    <w:rsid w:val="35270760"/>
    <w:rsid w:val="357A4D33"/>
    <w:rsid w:val="35FC0739"/>
    <w:rsid w:val="36A93B22"/>
    <w:rsid w:val="36EA7640"/>
    <w:rsid w:val="37555A58"/>
    <w:rsid w:val="37810484"/>
    <w:rsid w:val="378555CE"/>
    <w:rsid w:val="384855BD"/>
    <w:rsid w:val="38DD7AB3"/>
    <w:rsid w:val="396226AE"/>
    <w:rsid w:val="398048E2"/>
    <w:rsid w:val="39D87235"/>
    <w:rsid w:val="3A83468A"/>
    <w:rsid w:val="3B077069"/>
    <w:rsid w:val="3BB56AC5"/>
    <w:rsid w:val="3C425ABB"/>
    <w:rsid w:val="3C77021F"/>
    <w:rsid w:val="3CBD0327"/>
    <w:rsid w:val="3D1B3AA0"/>
    <w:rsid w:val="3E2A590C"/>
    <w:rsid w:val="3E506F79"/>
    <w:rsid w:val="3E9C5D1B"/>
    <w:rsid w:val="3F035D9A"/>
    <w:rsid w:val="3F9115F7"/>
    <w:rsid w:val="3F9A2A03"/>
    <w:rsid w:val="40774C91"/>
    <w:rsid w:val="409500FD"/>
    <w:rsid w:val="415428DD"/>
    <w:rsid w:val="42075BA1"/>
    <w:rsid w:val="429F5DD9"/>
    <w:rsid w:val="4301065E"/>
    <w:rsid w:val="43544E16"/>
    <w:rsid w:val="43CA332A"/>
    <w:rsid w:val="44435C86"/>
    <w:rsid w:val="450D7972"/>
    <w:rsid w:val="451C4E7E"/>
    <w:rsid w:val="45A54CE6"/>
    <w:rsid w:val="45AD2F03"/>
    <w:rsid w:val="46690BD8"/>
    <w:rsid w:val="46E11198"/>
    <w:rsid w:val="47F70466"/>
    <w:rsid w:val="491D5CAA"/>
    <w:rsid w:val="49B303BC"/>
    <w:rsid w:val="49BE157C"/>
    <w:rsid w:val="49D217F6"/>
    <w:rsid w:val="4A340EAF"/>
    <w:rsid w:val="4AF917F9"/>
    <w:rsid w:val="4B086B5A"/>
    <w:rsid w:val="4B0D06CC"/>
    <w:rsid w:val="4B2772B4"/>
    <w:rsid w:val="4B3317B5"/>
    <w:rsid w:val="4DAB1AD6"/>
    <w:rsid w:val="4E0F475B"/>
    <w:rsid w:val="4E233E4B"/>
    <w:rsid w:val="4F974A08"/>
    <w:rsid w:val="4FB56C3C"/>
    <w:rsid w:val="4FCB54A7"/>
    <w:rsid w:val="50617C0F"/>
    <w:rsid w:val="509B4084"/>
    <w:rsid w:val="51153972"/>
    <w:rsid w:val="51695B6B"/>
    <w:rsid w:val="51CB61A4"/>
    <w:rsid w:val="52927709"/>
    <w:rsid w:val="539F032F"/>
    <w:rsid w:val="53B316E5"/>
    <w:rsid w:val="53B52B8D"/>
    <w:rsid w:val="5488491F"/>
    <w:rsid w:val="549047DE"/>
    <w:rsid w:val="5667028F"/>
    <w:rsid w:val="568C47D3"/>
    <w:rsid w:val="56BC703D"/>
    <w:rsid w:val="56F75D8C"/>
    <w:rsid w:val="571D28A3"/>
    <w:rsid w:val="575925A3"/>
    <w:rsid w:val="57A75A04"/>
    <w:rsid w:val="57D460CD"/>
    <w:rsid w:val="58B02697"/>
    <w:rsid w:val="58C223CA"/>
    <w:rsid w:val="594F3C5E"/>
    <w:rsid w:val="5A0343A1"/>
    <w:rsid w:val="5A7E2464"/>
    <w:rsid w:val="5B2F7A86"/>
    <w:rsid w:val="5C514D27"/>
    <w:rsid w:val="5CF7615A"/>
    <w:rsid w:val="5EB90EE3"/>
    <w:rsid w:val="60562B7F"/>
    <w:rsid w:val="60A61B01"/>
    <w:rsid w:val="60AC0895"/>
    <w:rsid w:val="60BA7F29"/>
    <w:rsid w:val="62DE6052"/>
    <w:rsid w:val="62E030DF"/>
    <w:rsid w:val="63660521"/>
    <w:rsid w:val="63807109"/>
    <w:rsid w:val="63B079EF"/>
    <w:rsid w:val="63B76FCA"/>
    <w:rsid w:val="63D556A7"/>
    <w:rsid w:val="63DD630A"/>
    <w:rsid w:val="640D6BEF"/>
    <w:rsid w:val="64F658D5"/>
    <w:rsid w:val="66613222"/>
    <w:rsid w:val="675F30F2"/>
    <w:rsid w:val="685E5C6B"/>
    <w:rsid w:val="68C33D20"/>
    <w:rsid w:val="68D0643D"/>
    <w:rsid w:val="68E465BF"/>
    <w:rsid w:val="693966D8"/>
    <w:rsid w:val="6B7632CC"/>
    <w:rsid w:val="6BD64493"/>
    <w:rsid w:val="6C0703C8"/>
    <w:rsid w:val="6C9205D9"/>
    <w:rsid w:val="6CCB2A08"/>
    <w:rsid w:val="6CF546C4"/>
    <w:rsid w:val="6D0C2FBA"/>
    <w:rsid w:val="6E6733A0"/>
    <w:rsid w:val="6EA166FA"/>
    <w:rsid w:val="6EAD34A8"/>
    <w:rsid w:val="6F305E87"/>
    <w:rsid w:val="6F834209"/>
    <w:rsid w:val="6F857F81"/>
    <w:rsid w:val="6FD9207B"/>
    <w:rsid w:val="70544A29"/>
    <w:rsid w:val="70595806"/>
    <w:rsid w:val="70C1148D"/>
    <w:rsid w:val="70F03B20"/>
    <w:rsid w:val="717A70B8"/>
    <w:rsid w:val="71B96608"/>
    <w:rsid w:val="71CF3736"/>
    <w:rsid w:val="71E73175"/>
    <w:rsid w:val="725231E8"/>
    <w:rsid w:val="72701D1A"/>
    <w:rsid w:val="73027B3B"/>
    <w:rsid w:val="73FE47A6"/>
    <w:rsid w:val="7416564C"/>
    <w:rsid w:val="75035207"/>
    <w:rsid w:val="75CC75E6"/>
    <w:rsid w:val="76143E0D"/>
    <w:rsid w:val="77F79321"/>
    <w:rsid w:val="78056103"/>
    <w:rsid w:val="78972AD3"/>
    <w:rsid w:val="78A56B5E"/>
    <w:rsid w:val="7A1E34AC"/>
    <w:rsid w:val="7A3C3932"/>
    <w:rsid w:val="7AD85D51"/>
    <w:rsid w:val="7AEA5A84"/>
    <w:rsid w:val="7B890DF9"/>
    <w:rsid w:val="7D345B87"/>
    <w:rsid w:val="7D743B77"/>
    <w:rsid w:val="7DB44158"/>
    <w:rsid w:val="7DB55F5E"/>
    <w:rsid w:val="7E696CC0"/>
    <w:rsid w:val="7E7A7402"/>
    <w:rsid w:val="7E8C132A"/>
    <w:rsid w:val="7EA81482"/>
    <w:rsid w:val="7EE011E6"/>
    <w:rsid w:val="7F412E62"/>
    <w:rsid w:val="7F731AAA"/>
    <w:rsid w:val="7F7C4879"/>
    <w:rsid w:val="7FBA44F3"/>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Body Text Indent"/>
    <w:basedOn w:val="1"/>
    <w:qFormat/>
    <w:uiPriority w:val="0"/>
    <w:pPr>
      <w:spacing w:after="120" w:afterLines="0"/>
      <w:ind w:left="420" w:leftChars="200"/>
    </w:pPr>
    <w:rPr>
      <w:rFonts w:ascii="Times New Roman" w:hAnsi="Times New Roman" w:cs="Times New Roman"/>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next w:val="5"/>
    <w:qFormat/>
    <w:uiPriority w:val="0"/>
    <w:pPr>
      <w:tabs>
        <w:tab w:val="center" w:pos="4153"/>
        <w:tab w:val="right" w:pos="8306"/>
      </w:tabs>
      <w:snapToGrid w:val="0"/>
      <w:jc w:val="left"/>
    </w:pPr>
    <w:rPr>
      <w:sz w:val="18"/>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2"/>
    <w:basedOn w:val="6"/>
    <w:next w:val="1"/>
    <w:qFormat/>
    <w:uiPriority w:val="0"/>
    <w:pPr>
      <w:spacing w:after="0" w:afterLines="0"/>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basedOn w:val="17"/>
    <w:qFormat/>
    <w:uiPriority w:val="0"/>
    <w:rPr>
      <w:color w:val="0000FF"/>
      <w:u w:val="single"/>
    </w:rPr>
  </w:style>
  <w:style w:type="paragraph" w:customStyle="1" w:styleId="20">
    <w:name w:val="null3"/>
    <w:hidden/>
    <w:qFormat/>
    <w:uiPriority w:val="0"/>
    <w:rPr>
      <w:rFonts w:hint="eastAsia" w:asciiTheme="minorHAnsi" w:hAnsiTheme="minorHAnsi" w:eastAsiaTheme="minorEastAsia" w:cstheme="minorBidi"/>
      <w:lang w:val="en-US" w:eastAsia="zh-Hans"/>
    </w:rPr>
  </w:style>
  <w:style w:type="character" w:styleId="21">
    <w:name w:val="Placeholder Text"/>
    <w:basedOn w:val="17"/>
    <w:semiHidden/>
    <w:qFormat/>
    <w:uiPriority w:val="99"/>
    <w:rPr>
      <w:color w:val="808080"/>
    </w:rPr>
  </w:style>
  <w:style w:type="paragraph" w:customStyle="1" w:styleId="22">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4">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5">
    <w:name w:val="_Style 3"/>
    <w:autoRedefine/>
    <w:qFormat/>
    <w:uiPriority w:val="1"/>
    <w:pPr>
      <w:widowControl w:val="0"/>
      <w:jc w:val="both"/>
    </w:pPr>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4528</Words>
  <Characters>4963</Characters>
  <Lines>0</Lines>
  <Paragraphs>0</Paragraphs>
  <TotalTime>1</TotalTime>
  <ScaleCrop>false</ScaleCrop>
  <LinksUpToDate>false</LinksUpToDate>
  <CharactersWithSpaces>5137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cp:lastModifiedBy>
  <dcterms:modified xsi:type="dcterms:W3CDTF">2026-07-13T08:11:45Z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84AAD3F223FF2AC521F59E68BCC7017B_42</vt:lpwstr>
  </property>
  <property fmtid="{D5CDD505-2E9C-101B-9397-08002B2CF9AE}" pid="4" name="KSOTemplateDocerSaveRecord">
    <vt:lpwstr>eyJoZGlkIjoiODY3MGRkMjVkNTE0MTY5YzdkZmQ5ZDA1NjJhNjczM2UiLCJ1c2VySWQiOiI2MTE2ODE2MTUifQ==</vt:lpwstr>
  </property>
</Properties>
</file>