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2C20">
      <w:pPr>
        <w:pStyle w:val="8"/>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p>
    <w:p w14:paraId="4B26FB77">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F1A422D">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0FA7586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A246B5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0434571">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7B92528C">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34E52397">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50F14E0">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064B4A69">
      <w:pPr>
        <w:pStyle w:val="8"/>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87D0FC1">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2BD5D3BA">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D0791A9">
      <w:pPr>
        <w:bidi w:val="0"/>
        <w:rPr>
          <w:color w:val="000000" w:themeColor="text1"/>
          <w:highlight w:val="none"/>
          <w14:textFill>
            <w14:solidFill>
              <w14:schemeClr w14:val="tx1"/>
            </w14:solidFill>
          </w14:textFill>
        </w:rPr>
      </w:pPr>
    </w:p>
    <w:tbl>
      <w:tblPr>
        <w:tblStyle w:val="15"/>
        <w:tblW w:w="8140" w:type="dxa"/>
        <w:jc w:val="center"/>
        <w:tblLayout w:type="fixed"/>
        <w:tblCellMar>
          <w:top w:w="0" w:type="dxa"/>
          <w:left w:w="108" w:type="dxa"/>
          <w:bottom w:w="0" w:type="dxa"/>
          <w:right w:w="108" w:type="dxa"/>
        </w:tblCellMar>
      </w:tblPr>
      <w:tblGrid>
        <w:gridCol w:w="1951"/>
        <w:gridCol w:w="284"/>
        <w:gridCol w:w="5905"/>
      </w:tblGrid>
      <w:tr w14:paraId="5A3C51A6">
        <w:tblPrEx>
          <w:tblCellMar>
            <w:top w:w="0" w:type="dxa"/>
            <w:left w:w="108" w:type="dxa"/>
            <w:bottom w:w="0" w:type="dxa"/>
            <w:right w:w="108" w:type="dxa"/>
          </w:tblCellMar>
        </w:tblPrEx>
        <w:trPr>
          <w:trHeight w:val="567" w:hRule="atLeast"/>
          <w:jc w:val="center"/>
        </w:trPr>
        <w:tc>
          <w:tcPr>
            <w:tcW w:w="1951" w:type="dxa"/>
            <w:vAlign w:val="center"/>
          </w:tcPr>
          <w:p w14:paraId="7A3F55DA">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58B83D3F">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361C0AD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YXCG-202600624</w:t>
            </w:r>
          </w:p>
        </w:tc>
      </w:tr>
      <w:tr w14:paraId="201EA358">
        <w:tblPrEx>
          <w:tblCellMar>
            <w:top w:w="0" w:type="dxa"/>
            <w:left w:w="108" w:type="dxa"/>
            <w:bottom w:w="0" w:type="dxa"/>
            <w:right w:w="108" w:type="dxa"/>
          </w:tblCellMar>
        </w:tblPrEx>
        <w:trPr>
          <w:trHeight w:val="834" w:hRule="atLeast"/>
          <w:jc w:val="center"/>
        </w:trPr>
        <w:tc>
          <w:tcPr>
            <w:tcW w:w="1951" w:type="dxa"/>
            <w:vAlign w:val="center"/>
          </w:tcPr>
          <w:p w14:paraId="46C4C6AC">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8C1013">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50278C2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阳江市江城区人民医院新院建设二期工程设计施工总承包项目工程保险</w:t>
            </w:r>
          </w:p>
        </w:tc>
      </w:tr>
      <w:tr w14:paraId="25B4EDC8">
        <w:tblPrEx>
          <w:tblCellMar>
            <w:top w:w="0" w:type="dxa"/>
            <w:left w:w="108" w:type="dxa"/>
            <w:bottom w:w="0" w:type="dxa"/>
            <w:right w:w="108" w:type="dxa"/>
          </w:tblCellMar>
        </w:tblPrEx>
        <w:trPr>
          <w:trHeight w:val="567" w:hRule="atLeast"/>
          <w:jc w:val="center"/>
        </w:trPr>
        <w:tc>
          <w:tcPr>
            <w:tcW w:w="1951" w:type="dxa"/>
            <w:vAlign w:val="center"/>
          </w:tcPr>
          <w:p w14:paraId="635A148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B9DAA9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0DF35F5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阳江市江城区卫生健康局</w:t>
            </w:r>
          </w:p>
        </w:tc>
      </w:tr>
      <w:tr w14:paraId="04EA55A4">
        <w:tblPrEx>
          <w:tblCellMar>
            <w:top w:w="0" w:type="dxa"/>
            <w:left w:w="108" w:type="dxa"/>
            <w:bottom w:w="0" w:type="dxa"/>
            <w:right w:w="108" w:type="dxa"/>
          </w:tblCellMar>
        </w:tblPrEx>
        <w:trPr>
          <w:trHeight w:val="567" w:hRule="atLeast"/>
          <w:jc w:val="center"/>
        </w:trPr>
        <w:tc>
          <w:tcPr>
            <w:tcW w:w="1951" w:type="dxa"/>
            <w:vAlign w:val="center"/>
          </w:tcPr>
          <w:p w14:paraId="173D92AD">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6226FD9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13520CA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79439394">
      <w:pPr>
        <w:pStyle w:val="8"/>
        <w:widowControl/>
        <w:adjustRightInd w:val="0"/>
        <w:snapToGrid w:val="0"/>
        <w:spacing w:line="360" w:lineRule="auto"/>
        <w:jc w:val="center"/>
        <w:rPr>
          <w:rFonts w:hint="eastAsia" w:hAnsi="宋体"/>
          <w:b/>
          <w:bCs/>
          <w:color w:val="000000" w:themeColor="text1"/>
          <w:sz w:val="28"/>
          <w:szCs w:val="21"/>
          <w:highlight w:val="none"/>
          <w14:textFill>
            <w14:solidFill>
              <w14:schemeClr w14:val="tx1"/>
            </w14:solidFill>
          </w14:textFill>
        </w:rPr>
      </w:pPr>
    </w:p>
    <w:p w14:paraId="5AD33397">
      <w:pPr>
        <w:pStyle w:val="8"/>
        <w:widowControl/>
        <w:adjustRightInd w:val="0"/>
        <w:snapToGrid w:val="0"/>
        <w:spacing w:line="360" w:lineRule="auto"/>
        <w:jc w:val="center"/>
        <w:rPr>
          <w:rFonts w:hint="eastAsia" w:hAnsi="宋体"/>
          <w:b/>
          <w:bCs/>
          <w:color w:val="000000" w:themeColor="text1"/>
          <w:sz w:val="28"/>
          <w:szCs w:val="21"/>
          <w:highlight w:val="none"/>
          <w14:textFill>
            <w14:solidFill>
              <w14:schemeClr w14:val="tx1"/>
            </w14:solidFill>
          </w14:textFill>
        </w:rPr>
      </w:pPr>
    </w:p>
    <w:p w14:paraId="7E452EB3">
      <w:pPr>
        <w:pStyle w:val="19"/>
        <w:rPr>
          <w:color w:val="000000" w:themeColor="text1"/>
          <w:highlight w:val="none"/>
          <w14:textFill>
            <w14:solidFill>
              <w14:schemeClr w14:val="tx1"/>
            </w14:solidFill>
          </w14:textFill>
        </w:rPr>
      </w:pPr>
    </w:p>
    <w:p w14:paraId="1DA1A566">
      <w:pPr>
        <w:rPr>
          <w:rFonts w:hint="default" w:eastAsia="宋体"/>
          <w:color w:val="000000" w:themeColor="text1"/>
          <w:highlight w:val="none"/>
          <w:lang w:val="en-US" w:eastAsia="zh-CN"/>
          <w14:textFill>
            <w14:solidFill>
              <w14:schemeClr w14:val="tx1"/>
            </w14:solidFill>
          </w14:textFill>
        </w:rPr>
      </w:pPr>
    </w:p>
    <w:p w14:paraId="031F3758">
      <w:pPr>
        <w:jc w:val="center"/>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br w:type="page"/>
      </w:r>
    </w:p>
    <w:p w14:paraId="4F5F7FF2">
      <w:pPr>
        <w:spacing w:before="0" w:beforeLines="0" w:after="0" w:afterLines="0" w:line="240" w:lineRule="auto"/>
        <w:ind w:left="0" w:leftChars="0" w:right="0" w:rightChars="0" w:firstLine="0" w:firstLineChars="0"/>
        <w:jc w:val="center"/>
        <w:rPr>
          <w:b/>
          <w:bCs/>
          <w:color w:val="000000" w:themeColor="text1"/>
          <w:sz w:val="32"/>
          <w:szCs w:val="32"/>
          <w:highlight w:val="none"/>
          <w14:textFill>
            <w14:solidFill>
              <w14:schemeClr w14:val="tx1"/>
            </w14:solidFill>
          </w14:textFill>
        </w:rPr>
      </w:pPr>
      <w:r>
        <w:rPr>
          <w:rFonts w:ascii="宋体" w:hAnsi="宋体" w:eastAsia="宋体"/>
          <w:b/>
          <w:bCs/>
          <w:color w:val="000000" w:themeColor="text1"/>
          <w:sz w:val="32"/>
          <w:szCs w:val="32"/>
          <w:highlight w:val="none"/>
          <w14:textFill>
            <w14:solidFill>
              <w14:schemeClr w14:val="tx1"/>
            </w14:solidFill>
          </w14:textFill>
        </w:rPr>
        <w:t>目</w:t>
      </w:r>
      <w:r>
        <w:rPr>
          <w:rFonts w:hint="eastAsia" w:ascii="宋体" w:hAnsi="宋体" w:eastAsia="宋体"/>
          <w:b/>
          <w:bCs/>
          <w:color w:val="000000" w:themeColor="text1"/>
          <w:sz w:val="32"/>
          <w:szCs w:val="32"/>
          <w:highlight w:val="none"/>
          <w:lang w:val="en-US" w:eastAsia="zh-CN"/>
          <w14:textFill>
            <w14:solidFill>
              <w14:schemeClr w14:val="tx1"/>
            </w14:solidFill>
          </w14:textFill>
        </w:rPr>
        <w:t xml:space="preserve"> </w:t>
      </w:r>
      <w:r>
        <w:rPr>
          <w:rFonts w:ascii="宋体" w:hAnsi="宋体" w:eastAsia="宋体"/>
          <w:b/>
          <w:bCs/>
          <w:color w:val="000000" w:themeColor="text1"/>
          <w:sz w:val="32"/>
          <w:szCs w:val="32"/>
          <w:highlight w:val="none"/>
          <w14:textFill>
            <w14:solidFill>
              <w14:schemeClr w14:val="tx1"/>
            </w14:solidFill>
          </w14:textFill>
        </w:rPr>
        <w:t>录</w:t>
      </w:r>
    </w:p>
    <w:p w14:paraId="452D09C0">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"1-3" \h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_Toc12321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第一章</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_Toc12321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87FF292">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_Toc20138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第二章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_Toc20138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7A84ED">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_Toc23184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E4503FA">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_Toc6096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一、名词解释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_Toc6096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C322723">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_Toc14057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_Toc14057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B82EDE2">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_Toc10245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4925CF9">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_Toc12458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四、招标文件的澄清和修改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_Toc12458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B8FAEDD">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_Toc27970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五、投标要求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_Toc27970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8B8DA1">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_Toc13456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六、开标、评标和定标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_Toc13456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6791039">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_Toc9556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七、询问、质疑与投诉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566D14F">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_Toc1332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八、合同签订和履行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889A3F">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_Toc31869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第四章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_Toc31869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C29B260">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_Toc2452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一、评标要求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4EF8D57">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_Toc8810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政府采购政策落实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_Toc8810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319142F">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_Toc3271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评审程序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03B2D95">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_Toc3976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第五章 合同</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_Toc3976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8B08F5">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_Toc24684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第六章 投标文件格式与要求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30A0BD8">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_Toc17975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bCs w:val="0"/>
          <w:color w:val="000000" w:themeColor="text1"/>
          <w:szCs w:val="44"/>
          <w:highlight w:val="none"/>
          <w14:textFill>
            <w14:solidFill>
              <w14:schemeClr w14:val="tx1"/>
            </w14:solidFill>
          </w14:textFill>
        </w:rPr>
        <w:t>投标文件封面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816204">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_Toc8097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投标文件目录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DDEA6D">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_Toc30324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5202B62">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_Toc32375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_Toc32375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312F24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_Toc24556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格式三：分项报价表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_Toc24556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66CA597">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_Toc12864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格式四：政策适用性说明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_Toc12864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485744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_Toc28059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格式五：关于符合本国产品标准的声明函等有关证明文件（如适用）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_Toc28059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4172434">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_Toc8499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格式六：</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_Toc8499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B6F1228">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_Toc8032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格式七：</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9F2B20">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_Toc15408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格式八：投标保证金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_Toc15408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113A358">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_Toc14634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格式九：提供具有独立承担民事责任的能力的证明材料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_Toc14634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0A25B55">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_Toc15279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格式十：资格性审查要求的其他资质证明文件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_Toc15279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F765245">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_Toc11442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格式十一：承诺函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_Toc11442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3570F1B">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格式十二：中小企业声明函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9A44C87">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_Toc6621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格式十三：监狱企业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_Toc6621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200E2F4">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_Toc10307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格式十四：残疾人福利性单位声明函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_Toc10307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5008254">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_Toc25393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格式十五：联合体共同投标协议书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_Toc25393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4A1D890">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_Toc28732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格式十六：投标人业绩情况表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_Toc28732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920BC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_Toc32522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格式十七：《技术和服务要求响应表》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_Toc32522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56FC02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_Toc8830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格式十八：《商务条件响应表》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_Toc8830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629B05">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_Toc13176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格式十九：履约进度计划表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397568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_Toc3511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格式二十：各类证明材料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_Toc3511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45EC06">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_Toc6625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格式二十一：采购代理服务费支付承诺书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_Toc6625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9672E46">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_Toc7520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格式二十二：需要采购人提供的附加条件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_Toc7520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A28032D">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_Toc28893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格式二十三：询问函、质疑函、投诉书格式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_Toc28893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FE4CA56">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_Toc6823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格式二十四：项目实施方案、质量保证及售后服务承诺等内容和格式自拟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_Toc6823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A18B58E">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_Toc13810 </w:instrText>
      </w:r>
      <w:r>
        <w:rPr>
          <w:color w:val="000000" w:themeColor="text1"/>
          <w:highlight w:val="none"/>
          <w14:textFill>
            <w14:solidFill>
              <w14:schemeClr w14:val="tx1"/>
            </w14:solidFill>
          </w14:textFill>
        </w:rPr>
        <w:fldChar w:fldCharType="separate"/>
      </w:r>
      <w:r>
        <w:rPr>
          <w:rFonts w:hint="eastAsia" w:ascii="宋体" w:hAnsi="宋体" w:eastAsia="宋体" w:cs="宋体"/>
          <w:bCs/>
          <w:color w:val="000000" w:themeColor="text1"/>
          <w:kern w:val="0"/>
          <w:szCs w:val="28"/>
          <w:highlight w:val="none"/>
          <w14:textFill>
            <w14:solidFill>
              <w14:schemeClr w14:val="tx1"/>
            </w14:solidFill>
          </w14:textFill>
        </w:rPr>
        <w:t>附件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_Toc13810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49F1BAE">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_Toc18889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阳江市政府采购供应商资格信用承诺函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_Toc18889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8803E92">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_Toc3597 </w:instrText>
      </w:r>
      <w:r>
        <w:rPr>
          <w:color w:val="000000" w:themeColor="text1"/>
          <w:highlight w:val="none"/>
          <w14:textFill>
            <w14:solidFill>
              <w14:schemeClr w14:val="tx1"/>
            </w14:solidFill>
          </w14:textFill>
        </w:rPr>
        <w:fldChar w:fldCharType="separate"/>
      </w:r>
      <w:r>
        <w:rPr>
          <w:rFonts w:hint="eastAsia"/>
          <w:bCs/>
          <w:color w:val="000000" w:themeColor="text1"/>
          <w:szCs w:val="44"/>
          <w:highlight w:val="none"/>
          <w14:textFill>
            <w14:solidFill>
              <w14:schemeClr w14:val="tx1"/>
            </w14:solidFill>
          </w14:textFill>
        </w:rPr>
        <w:t>购买标书登记表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_Toc3597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87AEF3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end"/>
      </w:r>
    </w:p>
    <w:p w14:paraId="720A3275">
      <w:pPr>
        <w:rPr>
          <w:color w:val="000000" w:themeColor="text1"/>
          <w:highlight w:val="none"/>
          <w14:textFill>
            <w14:solidFill>
              <w14:schemeClr w14:val="tx1"/>
            </w14:solidFill>
          </w14:textFill>
        </w:rPr>
      </w:pPr>
    </w:p>
    <w:p w14:paraId="1EA01E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692808D">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0" w:name="_Toc12321"/>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投标邀请</w:t>
      </w:r>
      <w:bookmarkEnd w:id="0"/>
    </w:p>
    <w:p w14:paraId="152FE80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阳江市江城区卫生健康局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75D5FF0D">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一.项目概述</w:t>
      </w:r>
    </w:p>
    <w:p w14:paraId="29DC24EE">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4F7D286E">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p>
    <w:p w14:paraId="1409E65B">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YXCG-202600624</w:t>
      </w:r>
    </w:p>
    <w:p w14:paraId="704EAF9D">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22F06AFF">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120000.00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p w14:paraId="2D029601">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36368941">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070426">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120000.00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166"/>
        <w:gridCol w:w="3413"/>
        <w:gridCol w:w="995"/>
        <w:gridCol w:w="1296"/>
        <w:gridCol w:w="1296"/>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7FF0A71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166" w:type="dxa"/>
            <w:vAlign w:val="center"/>
          </w:tcPr>
          <w:p w14:paraId="3BFEAC3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3413" w:type="dxa"/>
            <w:vAlign w:val="center"/>
          </w:tcPr>
          <w:p w14:paraId="762C3C9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995" w:type="dxa"/>
            <w:vAlign w:val="center"/>
          </w:tcPr>
          <w:p w14:paraId="3700406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p w14:paraId="1170525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1296" w:type="dxa"/>
            <w:vAlign w:val="center"/>
          </w:tcPr>
          <w:p w14:paraId="2F3E3B0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306DCC2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4C78F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75" w:hRule="atLeast"/>
          <w:jc w:val="center"/>
        </w:trPr>
        <w:tc>
          <w:tcPr>
            <w:tcW w:w="905" w:type="dxa"/>
            <w:vAlign w:val="center"/>
          </w:tcPr>
          <w:p w14:paraId="08C1216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1-1</w:t>
            </w:r>
          </w:p>
        </w:tc>
        <w:tc>
          <w:tcPr>
            <w:tcW w:w="1166" w:type="dxa"/>
            <w:vAlign w:val="center"/>
          </w:tcPr>
          <w:p w14:paraId="74947C8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其他保险服务</w:t>
            </w:r>
          </w:p>
        </w:tc>
        <w:tc>
          <w:tcPr>
            <w:tcW w:w="3413" w:type="dxa"/>
            <w:vAlign w:val="center"/>
          </w:tcPr>
          <w:p w14:paraId="7F298928">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阳江市江城区人民医院新院建设二期工程设计施工总承包项目</w:t>
            </w:r>
          </w:p>
          <w:p w14:paraId="33A2D68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工程保险</w:t>
            </w:r>
          </w:p>
        </w:tc>
        <w:tc>
          <w:tcPr>
            <w:tcW w:w="995" w:type="dxa"/>
            <w:shd w:val="clear" w:color="auto" w:fill="auto"/>
            <w:vAlign w:val="center"/>
          </w:tcPr>
          <w:p w14:paraId="670C41C8">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296" w:type="dxa"/>
            <w:shd w:val="clear" w:color="auto" w:fill="auto"/>
            <w:vAlign w:val="center"/>
          </w:tcPr>
          <w:p w14:paraId="01DD354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shd w:val="clear" w:color="auto" w:fill="auto"/>
            <w:vAlign w:val="center"/>
          </w:tcPr>
          <w:p w14:paraId="0FB552BE">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6FC4499E">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5109642">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合同分包：不允许合同分包</w:t>
      </w:r>
    </w:p>
    <w:p w14:paraId="3D31F356">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合同履行期限：自合同签订之日起至项目工程实际竣工验收合格之日止，具体以保险单约定的保险期为准。</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（少于该服务期将作为无效投标处理）</w:t>
      </w:r>
    </w:p>
    <w:p w14:paraId="38EB562C">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二.投标人的资格要求</w:t>
      </w:r>
    </w:p>
    <w:p w14:paraId="24E94B23">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t>1.投标人应具备《中华人民共和国政府采购法》第二十二条规定的条件，提供下列材料：</w:t>
      </w:r>
    </w:p>
    <w:p w14:paraId="1D46FE6B">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t>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2031FB75">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有依法缴纳税收和社会保障资金的良好记录：提供投标截止日前6个月内任意1个月依法缴纳税收和社会保障资金的相关材料或出具《承诺函》。如依法免税或不需要缴纳社会保障资金的，提供相应证明材料。</w:t>
      </w:r>
    </w:p>
    <w:p w14:paraId="3C2C2095">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3）</w:t>
      </w:r>
      <w:r>
        <w:rPr>
          <w:rFonts w:hint="eastAsia" w:ascii="宋体" w:hAnsi="宋体"/>
          <w:color w:val="000000" w:themeColor="text1"/>
          <w:sz w:val="21"/>
          <w:szCs w:val="21"/>
          <w:highlight w:val="none"/>
          <w14:textFill>
            <w14:solidFill>
              <w14:schemeClr w14:val="tx1"/>
            </w14:solidFill>
          </w14:textFill>
        </w:rPr>
        <w:t>具有良好的商业信誉和健全的财务会计制度：</w:t>
      </w:r>
      <w:r>
        <w:rPr>
          <w:rFonts w:hint="eastAsia" w:ascii="宋体" w:hAnsi="宋体"/>
          <w:color w:val="000000" w:themeColor="text1"/>
          <w:sz w:val="21"/>
          <w:szCs w:val="21"/>
          <w:highlight w:val="none"/>
          <w:lang w:val="en-US" w:eastAsia="zh-CN"/>
          <w14:textFill>
            <w14:solidFill>
              <w14:schemeClr w14:val="tx1"/>
            </w14:solidFill>
          </w14:textFill>
        </w:rPr>
        <w:t>投标人</w:t>
      </w:r>
      <w:r>
        <w:rPr>
          <w:rFonts w:hint="eastAsia" w:ascii="宋体" w:hAnsi="宋体"/>
          <w:color w:val="000000" w:themeColor="text1"/>
          <w:sz w:val="21"/>
          <w:szCs w:val="21"/>
          <w:highlight w:val="none"/>
          <w14:textFill>
            <w14:solidFill>
              <w14:schemeClr w14:val="tx1"/>
            </w14:solidFill>
          </w14:textFill>
        </w:rPr>
        <w:t>必须具有良好的商业信誉和健全的财务会计制度（提供202</w:t>
      </w:r>
      <w:r>
        <w:rPr>
          <w:rFonts w:hint="eastAsia" w:ascii="宋体" w:hAnsi="宋体"/>
          <w:color w:val="000000" w:themeColor="text1"/>
          <w:sz w:val="21"/>
          <w:szCs w:val="21"/>
          <w:highlight w:val="none"/>
          <w:lang w:val="en-US" w:eastAsia="zh-CN"/>
          <w14:textFill>
            <w14:solidFill>
              <w14:schemeClr w14:val="tx1"/>
            </w14:solidFill>
          </w14:textFill>
        </w:rPr>
        <w:t>5</w:t>
      </w:r>
      <w:r>
        <w:rPr>
          <w:rFonts w:hint="eastAsia" w:ascii="宋体" w:hAnsi="宋体"/>
          <w:color w:val="000000" w:themeColor="text1"/>
          <w:sz w:val="21"/>
          <w:szCs w:val="21"/>
          <w:highlight w:val="none"/>
          <w14:textFill>
            <w14:solidFill>
              <w14:schemeClr w14:val="tx1"/>
            </w14:solidFill>
          </w14:textFill>
        </w:rPr>
        <w:t>年度财务状况报告或202</w:t>
      </w:r>
      <w:r>
        <w:rPr>
          <w:rFonts w:hint="eastAsia" w:ascii="宋体" w:hAnsi="宋体"/>
          <w:color w:val="000000" w:themeColor="text1"/>
          <w:sz w:val="21"/>
          <w:szCs w:val="21"/>
          <w:highlight w:val="none"/>
          <w:lang w:val="en-US" w:eastAsia="zh-CN"/>
          <w14:textFill>
            <w14:solidFill>
              <w14:schemeClr w14:val="tx1"/>
            </w14:solidFill>
          </w14:textFill>
        </w:rPr>
        <w:t>6</w:t>
      </w:r>
      <w:r>
        <w:rPr>
          <w:rFonts w:hint="eastAsia" w:ascii="宋体" w:hAnsi="宋体"/>
          <w:color w:val="000000" w:themeColor="text1"/>
          <w:sz w:val="21"/>
          <w:szCs w:val="21"/>
          <w:highlight w:val="none"/>
          <w14:textFill>
            <w14:solidFill>
              <w14:schemeClr w14:val="tx1"/>
            </w14:solidFill>
          </w14:textFill>
        </w:rPr>
        <w:t>年至今任意一个月的财务报表或基本开户行出具的资信证明或出具《承诺函》）。</w:t>
      </w:r>
    </w:p>
    <w:p w14:paraId="38AF4050">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4）</w:t>
      </w:r>
      <w:r>
        <w:rPr>
          <w:rFonts w:hint="eastAsia" w:ascii="宋体" w:hAnsi="宋体"/>
          <w:color w:val="000000" w:themeColor="text1"/>
          <w:sz w:val="21"/>
          <w:szCs w:val="21"/>
          <w:highlight w:val="none"/>
          <w14:textFill>
            <w14:solidFill>
              <w14:schemeClr w14:val="tx1"/>
            </w14:solidFill>
          </w14:textFill>
        </w:rPr>
        <w:t>履行合同所必需的设备和专业技术能力：按投标（响应）文件格式填报设备及专业技术能力情况或出具《承诺函》。</w:t>
      </w:r>
    </w:p>
    <w:p w14:paraId="681AFC9A">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5）</w:t>
      </w:r>
      <w:r>
        <w:rPr>
          <w:rFonts w:hint="eastAsia" w:ascii="宋体" w:hAnsi="宋体"/>
          <w:color w:val="000000" w:themeColor="text1"/>
          <w:sz w:val="21"/>
          <w:szCs w:val="21"/>
          <w:highlight w:val="none"/>
          <w14:textFill>
            <w14:solidFill>
              <w14:schemeClr w14:val="tx1"/>
            </w14:solidFill>
          </w14:textFill>
        </w:rPr>
        <w:t>参加采购活动前3年内，在经营活动中没有重大违法记录：参照投标函相关承诺格式内容或出具《承诺函》。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1011585">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3EFC7425">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asciiTheme="minorEastAsia" w:hAnsiTheme="minorEastAsia" w:cstheme="minorEastAsia"/>
          <w:color w:val="000000" w:themeColor="text1"/>
          <w:sz w:val="21"/>
          <w:szCs w:val="21"/>
          <w:highlight w:val="none"/>
          <w14:textFill>
            <w14:solidFill>
              <w14:schemeClr w14:val="tx1"/>
            </w14:solidFill>
          </w14:textFill>
        </w:rPr>
        <w:t>本项目不属于专门面向中小企业采购的项目</w:t>
      </w:r>
      <w:r>
        <w:rPr>
          <w:rFonts w:hint="eastAsia" w:ascii="宋体" w:hAnsi="宋体" w:cs="宋体"/>
          <w:color w:val="000000" w:themeColor="text1"/>
          <w:highlight w:val="none"/>
          <w:lang w:val="en-US" w:eastAsia="zh-CN"/>
          <w14:textFill>
            <w14:solidFill>
              <w14:schemeClr w14:val="tx1"/>
            </w14:solidFill>
          </w14:textFill>
        </w:rPr>
        <w:t>。</w:t>
      </w:r>
    </w:p>
    <w:p w14:paraId="099BCB7A">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3898C1BB">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7BA692">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ED1781B">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单位负责人为同一人或者存在直接控股、管理关系的不同供应商，不得同时参加本采购项目（或采购包）投标（响应）。为本项目提供整体设计、规范编制或者项目管理、监理、检测等服务的供应商，不得再参与本项目投标（响应）。投标函相关承诺要求内容。</w:t>
      </w:r>
    </w:p>
    <w:p w14:paraId="102604FE">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若投标人以总公司参与投标的，须提供中国银行保险监督管理委员会（中国保险监督管理委员会）颁发的保险公司法人许可证或保险许可证；若投标人为经总公司授权的分支机构参与投标的，须提供中国银行保险监督管理委员会（中国保险监督管理委员会）颁发的经营保险业务许可证或保险许可证。</w:t>
      </w:r>
    </w:p>
    <w:p w14:paraId="61DC1287">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4）本项目不接受联合体投标。</w:t>
      </w:r>
    </w:p>
    <w:p w14:paraId="2447DDC6">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投标人须在招标代理机构登记并购买招标文件。</w:t>
      </w:r>
    </w:p>
    <w:p w14:paraId="607921E9">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三.购买招标文件的时间、地点、方式及招标文件售价</w:t>
      </w:r>
    </w:p>
    <w:p w14:paraId="663ECCF8">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315" w:hanging="315" w:hangingChars="15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2026年6月24日</w:t>
      </w:r>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2026年7月1日</w:t>
      </w:r>
      <w:r>
        <w:rPr>
          <w:rFonts w:hint="eastAsia" w:ascii="宋体" w:hAnsi="宋体" w:eastAsia="宋体" w:cs="宋体"/>
          <w:bCs/>
          <w:color w:val="000000" w:themeColor="text1"/>
          <w:highlight w:val="none"/>
          <w14:textFill>
            <w14:solidFill>
              <w14:schemeClr w14:val="tx1"/>
            </w14:solidFill>
          </w14:textFill>
        </w:rPr>
        <w:t>，上午9:00～12:00，下午2:30～5:30（节假日除外）（北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212D1108">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2.购买招标文件地点：阳江市江城区猫山四街33号A座2楼205室。</w:t>
      </w:r>
    </w:p>
    <w:p w14:paraId="42836859">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26162ED">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34AEE131">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22440D6C">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59" w:leftChars="164" w:hanging="315" w:hangingChars="15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79F23F04">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outlineLvl w:val="9"/>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1955268A">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36764E8F">
      <w:pPr>
        <w:keepNext w:val="0"/>
        <w:keepLines w:val="0"/>
        <w:pageBreakBefore w:val="0"/>
        <w:kinsoku/>
        <w:wordWrap/>
        <w:overflowPunct/>
        <w:topLinePunct w:val="0"/>
        <w:autoSpaceDE/>
        <w:autoSpaceDN/>
        <w:bidi w:val="0"/>
        <w:spacing w:line="360" w:lineRule="auto"/>
        <w:ind w:firstLine="210" w:firstLine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6-24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2026年6月24日</w:t>
          </w:r>
        </w:sdtContent>
      </w:sdt>
      <w:r>
        <w:rPr>
          <w:rFonts w:hint="eastAsia" w:ascii="宋体" w:hAnsi="宋体" w:eastAsia="宋体" w:cs="宋体"/>
          <w:color w:val="000000" w:themeColor="text1"/>
          <w:szCs w:val="21"/>
          <w:highlight w:val="none"/>
          <w14:textFill>
            <w14:solidFill>
              <w14:schemeClr w14:val="tx1"/>
            </w14:solidFill>
          </w14:textFill>
        </w:rPr>
        <w:t>至</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2026年7月1日</w:t>
      </w:r>
      <w:r>
        <w:rPr>
          <w:rFonts w:hint="eastAsia" w:ascii="宋体" w:hAnsi="宋体" w:eastAsia="宋体" w:cs="宋体"/>
          <w:bCs/>
          <w:color w:val="000000" w:themeColor="text1"/>
          <w:highlight w:val="none"/>
          <w14:textFill>
            <w14:solidFill>
              <w14:schemeClr w14:val="tx1"/>
            </w14:solidFill>
          </w14:textFill>
        </w:rPr>
        <w:t>。</w:t>
      </w:r>
    </w:p>
    <w:p w14:paraId="461B3135">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5815D0D2">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2026年7月16日</w:t>
      </w:r>
      <w:r>
        <w:rPr>
          <w:rFonts w:hint="eastAsia" w:ascii="宋体" w:hAnsi="宋体" w:eastAsia="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00</w:t>
      </w:r>
      <w:r>
        <w:rPr>
          <w:rFonts w:hint="eastAsia" w:ascii="宋体" w:hAnsi="宋体" w:eastAsia="宋体" w:cs="宋体"/>
          <w:color w:val="000000" w:themeColor="text1"/>
          <w:highlight w:val="none"/>
          <w14:textFill>
            <w14:solidFill>
              <w14:schemeClr w14:val="tx1"/>
            </w14:solidFill>
          </w14:textFill>
        </w:rPr>
        <w:t xml:space="preserve"> (北京时间)。</w:t>
      </w:r>
    </w:p>
    <w:p w14:paraId="36FAE56E">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2026年7月16日</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00</w:t>
      </w:r>
      <w:r>
        <w:rPr>
          <w:rFonts w:hint="eastAsia" w:ascii="宋体" w:hAnsi="宋体" w:eastAsia="宋体" w:cs="宋体"/>
          <w:color w:val="000000" w:themeColor="text1"/>
          <w:highlight w:val="none"/>
          <w14:textFill>
            <w14:solidFill>
              <w14:schemeClr w14:val="tx1"/>
            </w14:solidFill>
          </w14:textFill>
        </w:rPr>
        <w:t>(北京时间)。</w:t>
      </w:r>
    </w:p>
    <w:p w14:paraId="40DF13E0">
      <w:pPr>
        <w:pStyle w:val="19"/>
        <w:keepNext w:val="0"/>
        <w:keepLines w:val="0"/>
        <w:pageBreakBefore w:val="0"/>
        <w:kinsoku/>
        <w:wordWrap/>
        <w:overflowPunct/>
        <w:topLinePunct w:val="0"/>
        <w:autoSpaceDE/>
        <w:autoSpaceDN/>
        <w:bidi w:val="0"/>
        <w:adjustRightInd/>
        <w:snapToGrid/>
        <w:spacing w:line="360" w:lineRule="auto"/>
        <w:ind w:left="0" w:leftChars="0" w:firstLine="426" w:firstLineChars="203"/>
        <w:textAlignment w:val="auto"/>
        <w:outlineLvl w:val="9"/>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2EE6EB2C">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六.本项目联系方式：</w:t>
      </w:r>
    </w:p>
    <w:p w14:paraId="4AF82EC1">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762BDF3E">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阳江市江城区卫生健康局</w:t>
      </w:r>
    </w:p>
    <w:p w14:paraId="3F14AA92">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地    址：</w:t>
      </w:r>
      <w:r>
        <w:rPr>
          <w:rFonts w:hint="eastAsia" w:ascii="宋体" w:hAnsi="宋体" w:eastAsia="宋体" w:cs="宋体"/>
          <w:color w:val="000000" w:themeColor="text1"/>
          <w:sz w:val="21"/>
          <w:szCs w:val="21"/>
          <w:highlight w:val="none"/>
          <w:lang w:val="en-US" w:eastAsia="zh-CN"/>
          <w14:textFill>
            <w14:solidFill>
              <w14:schemeClr w14:val="tx1"/>
            </w14:solidFill>
          </w14:textFill>
        </w:rPr>
        <w:t>阳江市</w:t>
      </w:r>
      <w:r>
        <w:rPr>
          <w:rFonts w:hint="eastAsia" w:ascii="宋体" w:hAnsi="宋体" w:eastAsia="宋体" w:cs="宋体"/>
          <w:color w:val="000000" w:themeColor="text1"/>
          <w:sz w:val="21"/>
          <w:szCs w:val="21"/>
          <w:highlight w:val="none"/>
          <w:lang w:eastAsia="zh-CN"/>
          <w14:textFill>
            <w14:solidFill>
              <w14:schemeClr w14:val="tx1"/>
            </w14:solidFill>
          </w14:textFill>
        </w:rPr>
        <w:t>江城区新江北路347号行政服务中心</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号楼1楼</w:t>
      </w:r>
    </w:p>
    <w:p w14:paraId="0D9B3E3E">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 系 人：王志鹏</w:t>
      </w:r>
    </w:p>
    <w:p w14:paraId="663F5CD1">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联系电话：0662-2800302</w:t>
      </w:r>
    </w:p>
    <w:p w14:paraId="013F29A0">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2.采购代理机构信息</w:t>
      </w:r>
      <w:bookmarkStart w:id="120" w:name="_GoBack"/>
      <w:bookmarkEnd w:id="120"/>
    </w:p>
    <w:p w14:paraId="561A8027">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5EF78746">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33A9A7F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联系方式：</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0E91710D">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3.项目联系方式</w:t>
      </w:r>
    </w:p>
    <w:p w14:paraId="0E44FB77">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项目联系人：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谢小姐</w:t>
      </w:r>
    </w:p>
    <w:p w14:paraId="08E61D5A">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4FBDA04">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4E9DBEA">
      <w:pPr>
        <w:keepNext w:val="0"/>
        <w:keepLines w:val="0"/>
        <w:pageBreakBefore w:val="0"/>
        <w:kinsoku/>
        <w:wordWrap/>
        <w:overflowPunct/>
        <w:topLinePunct w:val="0"/>
        <w:autoSpaceDE/>
        <w:autoSpaceDN/>
        <w:bidi w:val="0"/>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p>
    <w:p w14:paraId="65B05208">
      <w:pPr>
        <w:keepNext w:val="0"/>
        <w:keepLines w:val="0"/>
        <w:pageBreakBefore w:val="0"/>
        <w:kinsoku/>
        <w:wordWrap/>
        <w:overflowPunct/>
        <w:topLinePunct w:val="0"/>
        <w:autoSpaceDE/>
        <w:autoSpaceDN/>
        <w:bidi w:val="0"/>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37B13D95">
      <w:pPr>
        <w:pStyle w:val="19"/>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2026年6月24日</w:t>
      </w:r>
    </w:p>
    <w:p w14:paraId="746705D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DB6FF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53B046C1">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bookmarkStart w:id="1" w:name="_Toc20138"/>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bookmarkEnd w:id="1"/>
    </w:p>
    <w:p w14:paraId="58810D6B">
      <w:pPr>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4B21E2B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E3A5E6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888"/>
        <w:gridCol w:w="6183"/>
      </w:tblGrid>
      <w:tr w14:paraId="7EDD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2CF43628">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标的提供的时间</w:t>
            </w:r>
          </w:p>
        </w:tc>
        <w:tc>
          <w:tcPr>
            <w:tcW w:w="6183" w:type="dxa"/>
            <w:vAlign w:val="top"/>
          </w:tcPr>
          <w:p w14:paraId="0FD68CEA">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自合同签订之日起至项目工程实际竣工验收合格之日止，具体以保险单约定的保险期为准。</w:t>
            </w:r>
            <w:r>
              <w:rPr>
                <w:rFonts w:hint="eastAsia" w:ascii="宋体" w:hAnsi="宋体" w:eastAsia="宋体" w:cs="宋体"/>
                <w:color w:val="000000" w:themeColor="text1"/>
                <w:sz w:val="21"/>
                <w:szCs w:val="21"/>
                <w:highlight w:val="none"/>
                <w:lang w:val="en-US" w:eastAsia="zh-CN"/>
                <w14:textFill>
                  <w14:solidFill>
                    <w14:schemeClr w14:val="tx1"/>
                  </w14:solidFill>
                </w14:textFill>
              </w:rPr>
              <w:t>（少于该服务期将作为无效投标处理）</w:t>
            </w:r>
          </w:p>
        </w:tc>
      </w:tr>
      <w:tr w14:paraId="548E1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41FEE26B">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标的提供的地点</w:t>
            </w:r>
          </w:p>
        </w:tc>
        <w:tc>
          <w:tcPr>
            <w:tcW w:w="6183" w:type="dxa"/>
            <w:vAlign w:val="top"/>
          </w:tcPr>
          <w:p w14:paraId="191200CA">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采购人指定地点。</w:t>
            </w:r>
          </w:p>
        </w:tc>
      </w:tr>
      <w:tr w14:paraId="3577C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5" w:hRule="atLeast"/>
          <w:jc w:val="center"/>
        </w:trPr>
        <w:tc>
          <w:tcPr>
            <w:tcW w:w="2888" w:type="dxa"/>
            <w:vAlign w:val="top"/>
          </w:tcPr>
          <w:p w14:paraId="5D615A93">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付款方式</w:t>
            </w:r>
          </w:p>
        </w:tc>
        <w:tc>
          <w:tcPr>
            <w:tcW w:w="6183" w:type="dxa"/>
            <w:vAlign w:val="top"/>
          </w:tcPr>
          <w:p w14:paraId="3C409D5B">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支付比例100%。</w:t>
            </w:r>
          </w:p>
          <w:p w14:paraId="4B17A9B8">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（1）中标供应商的保险费以人民币结算。</w:t>
            </w:r>
          </w:p>
          <w:p w14:paraId="170AD2B4">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（2）中标供应商凭以下材料向采购人办理支付手续：①合同；②中标供应商开具的请款函；③中标通知书。</w:t>
            </w:r>
          </w:p>
          <w:p w14:paraId="4B68AF03">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tc>
      </w:tr>
      <w:tr w14:paraId="64C5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124C4BB1">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履约保证金</w:t>
            </w:r>
          </w:p>
        </w:tc>
        <w:tc>
          <w:tcPr>
            <w:tcW w:w="6183" w:type="dxa"/>
            <w:vAlign w:val="top"/>
          </w:tcPr>
          <w:p w14:paraId="321C6542">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不收取</w:t>
            </w:r>
          </w:p>
        </w:tc>
      </w:tr>
      <w:tr w14:paraId="65527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26E84CA7">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投标报价包括</w:t>
            </w:r>
          </w:p>
        </w:tc>
        <w:tc>
          <w:tcPr>
            <w:tcW w:w="6183" w:type="dxa"/>
            <w:vAlign w:val="top"/>
          </w:tcPr>
          <w:p w14:paraId="0E97871D">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t>包括完成合同所有的工作内容、人员费用、各种税费及合同实施过程中的可预见或不可预见费用等全部费用，采购人不另行支付其他费用。</w:t>
            </w:r>
          </w:p>
        </w:tc>
      </w:tr>
      <w:tr w14:paraId="0534D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706FC031">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合同签订要求</w:t>
            </w:r>
          </w:p>
        </w:tc>
        <w:tc>
          <w:tcPr>
            <w:tcW w:w="6183" w:type="dxa"/>
            <w:vAlign w:val="top"/>
          </w:tcPr>
          <w:p w14:paraId="464463F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采购合同由中标供应商凭《中标通知书》与采购人双方签订，签订时间为《中标通知书》发出之日起30个日历日内。</w:t>
            </w:r>
          </w:p>
        </w:tc>
      </w:tr>
      <w:tr w14:paraId="4F42D1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78620337">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验收要求</w:t>
            </w:r>
          </w:p>
        </w:tc>
        <w:tc>
          <w:tcPr>
            <w:tcW w:w="6183" w:type="dxa"/>
            <w:vAlign w:val="top"/>
          </w:tcPr>
          <w:p w14:paraId="47F3490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根据中华人民共和国国家和履约地相关安全质量标准、行业技术规范标准、采购文件和响应承诺中各方共同认可的合理要求等进行验收。</w:t>
            </w:r>
          </w:p>
        </w:tc>
      </w:tr>
      <w:tr w14:paraId="1038BB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2888" w:type="dxa"/>
            <w:vAlign w:val="center"/>
          </w:tcPr>
          <w:p w14:paraId="7A790681">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保险服务</w:t>
            </w:r>
          </w:p>
        </w:tc>
        <w:tc>
          <w:tcPr>
            <w:tcW w:w="6183" w:type="dxa"/>
            <w:vAlign w:val="center"/>
          </w:tcPr>
          <w:p w14:paraId="20F3067B">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1.查勘时效：中标人专项服务小组成员在接报案后，要求在1个小时内派相关人员到达现场进行现场查勘清点、拍照（经被保险人和中标人双方协商，服务小组可以不到现场）；对于涉及第三方责任的案件，同时协助被保险人与受损方协调及解释理赔事宜，对受损第三方财产指引及时采取施救减损措施，尽量减少损失。 </w:t>
            </w:r>
          </w:p>
          <w:p w14:paraId="38004073">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2.定损时效：被保险人提供齐全索赔资料后，要求中标人在5个工作日内出具定损方案，若需要再取证调查的，应及时向被保险人说明，并能明确答复时限。 </w:t>
            </w:r>
          </w:p>
          <w:p w14:paraId="0EE46661">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3.谈判及法律服务支持：中标人专项服务小组成员在定损方案出具后，会协助被保险人与受损方进行谈判并就定损方案内容向受损方做好解释，根据受损方就定损方案所提出疑问、意见和建议在5个工作日内作出书面答复。对受损方索赔案件能提供免费法律顾问服务（费用已包含在保费中，采购人不另行支付），协助被保险人妥善处理第三者索赔纠纷。 </w:t>
            </w:r>
          </w:p>
          <w:p w14:paraId="61DB8B7B">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4.赔付时效：中标人在收到索赔材料后的3个工作日内以书面一次性向被保险人提出应补充的证明或材料。在被保险人提供齐全索赔资料且被保险人与保险人双方就赔付方案达成一致的书面意见后，最迟10个工作日内对案件进行赔付。 </w:t>
            </w:r>
          </w:p>
          <w:p w14:paraId="44AC1364">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5.定期组织案件清理、建立定期理赔案件沟通反馈制度：为加快案件理赔流程，建立流畅的案件沟通反馈机制，保证保险理赔服务水平，中标人应组织项目服务小组人员定期将已解决、未解决案件清单发送给被保险人，并定期组织案件的清理，避免积案，及时兑现理赔赔款。同时双方主要负责人或经办人员定期进行数据及案件的沟通、交流，及时协调解决服务过程中的问题。 </w:t>
            </w:r>
          </w:p>
          <w:p w14:paraId="0A0E99C1">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6.可归责于中标人原因造成中标人未按照上述时效完成相应工作的，采购人有权按照200元/日处以违约金直至中标人完成之日止，各时效违约金单独计算。 </w:t>
            </w:r>
          </w:p>
          <w:p w14:paraId="59020128">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7.风险管理与保险知识培训</w:t>
            </w:r>
          </w:p>
          <w:p w14:paraId="0363F418">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（1）每年至少一次由保险人负责聘请国内外专家对现场进行查勘，检查防损情况并提出进一步的防损措施，提交书面风险评估报告及解决措施。</w:t>
            </w:r>
          </w:p>
          <w:p w14:paraId="6B95DFE8">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（2）至少每半年一次由保险人派出有经验的专业人员与被保险人的有关部门配合，检查工程的安全防范体系，及时消除安全隐患，强化防范措施。</w:t>
            </w:r>
          </w:p>
          <w:p w14:paraId="69D2E487">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3）保险人配合被保险人根据项目实际需求，提供包括但不限于以下培训服务国内外培训调研、保险专业知识培训、重点节点工程培训、消防知识培训、自然灾害灾后重建讲座、施工引起的环境损失风险管理等讲座。 </w:t>
            </w:r>
          </w:p>
          <w:p w14:paraId="48525E50">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8.防灾防损服务</w:t>
            </w:r>
          </w:p>
          <w:p w14:paraId="05744F86">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保险人应协同国家气象、水文、地震等部门建立气象及地震灾害预警系统，定期或在被保险人需要时随时提供气象等自然灾害的年度趋势预报、汛期预报，提供火灾相关信息，并与投保人一起做好这些灾害的风险控制工作。在季节性、周期性灾害发生前，组织专家进行风险评估，提出风险管理建议。</w:t>
            </w:r>
          </w:p>
          <w:p w14:paraId="651336AA">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（2）保险人在关键节点、重点工程实施全过程监控，针对自然灾害、意外事故、第三者风险等进行定期风险查勘。</w:t>
            </w:r>
          </w:p>
          <w:p w14:paraId="6E050618">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（3）保险人建立日常巡视服务制度，通过口袋助理实行即时监控服务人员制定项目。</w:t>
            </w:r>
          </w:p>
          <w:p w14:paraId="0D27FFED">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（4）保险期限内承保人应足额提取防灾防损基金用于工程防灾防损服务，具体防灾防损工作方案由施工总承包方确定。</w:t>
            </w:r>
          </w:p>
        </w:tc>
      </w:tr>
      <w:tr w14:paraId="0B7B74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2888" w:type="dxa"/>
            <w:vAlign w:val="center"/>
          </w:tcPr>
          <w:p w14:paraId="3B81DD40">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保密要求</w:t>
            </w:r>
          </w:p>
        </w:tc>
        <w:tc>
          <w:tcPr>
            <w:tcW w:w="6183" w:type="dxa"/>
            <w:vAlign w:val="center"/>
          </w:tcPr>
          <w:p w14:paraId="6A49436A">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采购过程及在执行承保工作期间，中标人取得项目工程相关资料，有义务进行保密并不得向第三方泄露，否则采购人有权追究中标人的法律责任并要求其承担造成的一切损失。</w:t>
            </w:r>
          </w:p>
        </w:tc>
      </w:tr>
    </w:tbl>
    <w:p w14:paraId="2084656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B65CB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5"/>
        <w:tblW w:w="955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70"/>
        <w:gridCol w:w="1144"/>
        <w:gridCol w:w="1050"/>
        <w:gridCol w:w="1519"/>
        <w:gridCol w:w="547"/>
        <w:gridCol w:w="645"/>
        <w:gridCol w:w="1245"/>
        <w:gridCol w:w="1339"/>
        <w:gridCol w:w="705"/>
        <w:gridCol w:w="794"/>
      </w:tblGrid>
      <w:tr w14:paraId="4551E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70" w:type="dxa"/>
            <w:vAlign w:val="center"/>
          </w:tcPr>
          <w:p w14:paraId="77D7DC7E">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144" w:type="dxa"/>
            <w:vAlign w:val="center"/>
          </w:tcPr>
          <w:p w14:paraId="70AE6C5A">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1050" w:type="dxa"/>
            <w:vAlign w:val="center"/>
          </w:tcPr>
          <w:p w14:paraId="7360F94F">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519" w:type="dxa"/>
            <w:vAlign w:val="center"/>
          </w:tcPr>
          <w:p w14:paraId="78496AA2">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547" w:type="dxa"/>
            <w:vAlign w:val="center"/>
          </w:tcPr>
          <w:p w14:paraId="026703E6">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645" w:type="dxa"/>
            <w:vAlign w:val="center"/>
          </w:tcPr>
          <w:p w14:paraId="4AFCD6CF">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245" w:type="dxa"/>
            <w:vAlign w:val="center"/>
          </w:tcPr>
          <w:p w14:paraId="1D752AE7">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339" w:type="dxa"/>
            <w:vAlign w:val="center"/>
          </w:tcPr>
          <w:p w14:paraId="5E02BBC6">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705" w:type="dxa"/>
            <w:vAlign w:val="center"/>
          </w:tcPr>
          <w:p w14:paraId="1FAD587A">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71ABB8D6">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3B4D8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8" w:hRule="atLeast"/>
          <w:jc w:val="center"/>
        </w:trPr>
        <w:tc>
          <w:tcPr>
            <w:tcW w:w="570" w:type="dxa"/>
            <w:vAlign w:val="center"/>
          </w:tcPr>
          <w:p w14:paraId="7B9D5CBE">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144" w:type="dxa"/>
            <w:vAlign w:val="center"/>
          </w:tcPr>
          <w:p w14:paraId="4AA6B177">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50" w:type="dxa"/>
            <w:vAlign w:val="center"/>
          </w:tcPr>
          <w:p w14:paraId="2D0610B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其他保险服务</w:t>
            </w:r>
          </w:p>
        </w:tc>
        <w:tc>
          <w:tcPr>
            <w:tcW w:w="1519" w:type="dxa"/>
            <w:vAlign w:val="center"/>
          </w:tcPr>
          <w:p w14:paraId="714E3604">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 xml:space="preserve"> 阳江市江城区人民医院新院建设二期工程设计施工总承包项目工程保险</w:t>
            </w:r>
          </w:p>
        </w:tc>
        <w:tc>
          <w:tcPr>
            <w:tcW w:w="547" w:type="dxa"/>
            <w:vAlign w:val="center"/>
          </w:tcPr>
          <w:p w14:paraId="1C42777D">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p>
        </w:tc>
        <w:tc>
          <w:tcPr>
            <w:tcW w:w="645" w:type="dxa"/>
            <w:vAlign w:val="center"/>
          </w:tcPr>
          <w:p w14:paraId="6C384655">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1.00</w:t>
            </w:r>
          </w:p>
        </w:tc>
        <w:tc>
          <w:tcPr>
            <w:tcW w:w="1245" w:type="dxa"/>
            <w:vAlign w:val="center"/>
          </w:tcPr>
          <w:p w14:paraId="4B7F3960">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120000.00</w:t>
            </w:r>
          </w:p>
        </w:tc>
        <w:tc>
          <w:tcPr>
            <w:tcW w:w="1339" w:type="dxa"/>
            <w:vAlign w:val="center"/>
          </w:tcPr>
          <w:p w14:paraId="150D1B58">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120000.00</w:t>
            </w:r>
          </w:p>
        </w:tc>
        <w:tc>
          <w:tcPr>
            <w:tcW w:w="705" w:type="dxa"/>
            <w:shd w:val="clear" w:color="auto" w:fill="auto"/>
            <w:vAlign w:val="center"/>
          </w:tcPr>
          <w:p w14:paraId="28B1DD82">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color w:val="000000" w:themeColor="text1"/>
                <w:highlight w:val="none"/>
                <w14:textFill>
                  <w14:solidFill>
                    <w14:schemeClr w14:val="tx1"/>
                  </w14:solidFill>
                </w14:textFill>
              </w:rPr>
              <w:t>金融业</w:t>
            </w:r>
          </w:p>
        </w:tc>
        <w:tc>
          <w:tcPr>
            <w:tcW w:w="794" w:type="dxa"/>
            <w:shd w:val="clear" w:color="auto" w:fill="auto"/>
            <w:vAlign w:val="center"/>
          </w:tcPr>
          <w:p w14:paraId="6B007D03">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一</w:t>
            </w:r>
          </w:p>
        </w:tc>
      </w:tr>
    </w:tbl>
    <w:p w14:paraId="5BB863C8">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16BAF2">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DC641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p>
    <w:tbl>
      <w:tblPr>
        <w:tblStyle w:val="15"/>
        <w:tblW w:w="954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29"/>
        <w:gridCol w:w="750"/>
        <w:gridCol w:w="7564"/>
      </w:tblGrid>
      <w:tr w14:paraId="1F794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229" w:type="dxa"/>
            <w:vAlign w:val="top"/>
          </w:tcPr>
          <w:p w14:paraId="2E9D6568">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750" w:type="dxa"/>
            <w:vAlign w:val="top"/>
          </w:tcPr>
          <w:p w14:paraId="3790369B">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564" w:type="dxa"/>
            <w:vAlign w:val="top"/>
          </w:tcPr>
          <w:p w14:paraId="42FF3933">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19F01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7BDFDCFB">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50" w:type="dxa"/>
            <w:vAlign w:val="top"/>
          </w:tcPr>
          <w:p w14:paraId="2DBC09B8">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7564" w:type="dxa"/>
            <w:vAlign w:val="top"/>
          </w:tcPr>
          <w:p w14:paraId="01C710B8">
            <w:pPr>
              <w:numPr>
                <w:ilvl w:val="0"/>
                <w:numId w:val="0"/>
              </w:numPr>
              <w:spacing w:line="360" w:lineRule="auto"/>
              <w:rPr>
                <w:rFonts w:hint="eastAsia" w:ascii="宋体" w:hAnsi="宋体" w:cs="宋体"/>
                <w:b/>
                <w:bCs/>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bCs/>
                <w:color w:val="000000" w:themeColor="text1"/>
                <w:kern w:val="2"/>
                <w:sz w:val="21"/>
                <w:szCs w:val="24"/>
                <w:highlight w:val="none"/>
                <w:shd w:val="clear" w:fill="FFFFFF" w:themeFill="background1"/>
                <w:lang w:val="en-US" w:eastAsia="zh-CN" w:bidi="ar-SA"/>
                <w14:textFill>
                  <w14:solidFill>
                    <w14:schemeClr w14:val="tx1"/>
                  </w14:solidFill>
                </w14:textFill>
              </w:rPr>
              <w:t>一</w:t>
            </w:r>
            <w:r>
              <w:rPr>
                <w:rFonts w:hint="eastAsia" w:ascii="宋体" w:hAnsi="宋体" w:eastAsia="宋体" w:cs="宋体"/>
                <w:b/>
                <w:bCs/>
                <w:color w:val="000000" w:themeColor="text1"/>
                <w:kern w:val="2"/>
                <w:sz w:val="21"/>
                <w:szCs w:val="24"/>
                <w:highlight w:val="none"/>
                <w:shd w:val="clear" w:fill="FFFFFF" w:themeFill="background1"/>
                <w:lang w:val="en-US" w:eastAsia="zh-CN" w:bidi="ar-SA"/>
                <w14:textFill>
                  <w14:solidFill>
                    <w14:schemeClr w14:val="tx1"/>
                  </w14:solidFill>
                </w14:textFill>
              </w:rPr>
              <w:t>、</w:t>
            </w:r>
            <w:r>
              <w:rPr>
                <w:rFonts w:hint="eastAsia" w:ascii="宋体" w:hAnsi="宋体" w:cs="宋体"/>
                <w:b/>
                <w:bCs/>
                <w:color w:val="000000" w:themeColor="text1"/>
                <w:highlight w:val="none"/>
                <w:shd w:val="clear" w:color="auto" w:fill="FFFFFF" w:themeFill="background1"/>
                <w:lang w:val="en-US" w:eastAsia="zh-CN"/>
                <w14:textFill>
                  <w14:solidFill>
                    <w14:schemeClr w14:val="tx1"/>
                  </w14:solidFill>
                </w14:textFill>
              </w:rPr>
              <w:t>保险条款</w:t>
            </w:r>
          </w:p>
          <w:p w14:paraId="6B01FC70">
            <w:pPr>
              <w:numPr>
                <w:ilvl w:val="0"/>
                <w:numId w:val="0"/>
              </w:numPr>
              <w:spacing w:line="360" w:lineRule="auto"/>
              <w:ind w:firstLine="422"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bCs/>
                <w:color w:val="000000" w:themeColor="text1"/>
                <w:highlight w:val="none"/>
                <w:shd w:val="clear" w:color="auto" w:fill="FFFFFF" w:themeFill="background1"/>
                <w:lang w:val="en-US" w:eastAsia="zh-CN"/>
                <w14:textFill>
                  <w14:solidFill>
                    <w14:schemeClr w14:val="tx1"/>
                  </w14:solidFill>
                </w14:textFill>
              </w:rPr>
              <w:t>1.险种名称：</w:t>
            </w: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阳江市江城区人民医院新院建设二期工程一切险及第三者责任险</w:t>
            </w:r>
          </w:p>
          <w:p w14:paraId="733C5337">
            <w:pPr>
              <w:numPr>
                <w:ilvl w:val="0"/>
                <w:numId w:val="0"/>
              </w:numPr>
              <w:spacing w:line="360" w:lineRule="auto"/>
              <w:ind w:firstLine="422"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bCs/>
                <w:color w:val="000000" w:themeColor="text1"/>
                <w:highlight w:val="none"/>
                <w:shd w:val="clear" w:color="auto" w:fill="FFFFFF" w:themeFill="background1"/>
                <w:lang w:val="en-US" w:eastAsia="zh-CN"/>
                <w14:textFill>
                  <w14:solidFill>
                    <w14:schemeClr w14:val="tx1"/>
                  </w14:solidFill>
                </w14:textFill>
              </w:rPr>
              <w:t>2.投保人：</w:t>
            </w:r>
            <w:r>
              <w:rPr>
                <w:rFonts w:hint="eastAsia"/>
                <w:color w:val="000000" w:themeColor="text1"/>
                <w:sz w:val="21"/>
                <w:szCs w:val="21"/>
                <w:highlight w:val="none"/>
                <w:u w:val="none"/>
                <w:lang w:val="en-US" w:eastAsia="zh-CN"/>
                <w14:textFill>
                  <w14:solidFill>
                    <w14:schemeClr w14:val="tx1"/>
                  </w14:solidFill>
                </w14:textFill>
              </w:rPr>
              <w:t>阳</w:t>
            </w:r>
            <w:r>
              <w:rPr>
                <w:rFonts w:hint="eastAsia" w:ascii="宋体" w:hAnsi="宋体"/>
                <w:color w:val="000000" w:themeColor="text1"/>
                <w:sz w:val="21"/>
                <w:szCs w:val="21"/>
                <w:highlight w:val="none"/>
                <w:u w:val="none"/>
                <w:lang w:val="en-US" w:eastAsia="zh-CN"/>
                <w14:textFill>
                  <w14:solidFill>
                    <w14:schemeClr w14:val="tx1"/>
                  </w14:solidFill>
                </w14:textFill>
              </w:rPr>
              <w:t>江市江城区卫生健康局</w:t>
            </w:r>
          </w:p>
          <w:p w14:paraId="3F4CAB5E">
            <w:pPr>
              <w:numPr>
                <w:ilvl w:val="0"/>
                <w:numId w:val="0"/>
              </w:numPr>
              <w:spacing w:line="360" w:lineRule="auto"/>
              <w:ind w:firstLine="422"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bCs/>
                <w:color w:val="000000" w:themeColor="text1"/>
                <w:highlight w:val="none"/>
                <w:shd w:val="clear" w:color="auto" w:fill="FFFFFF" w:themeFill="background1"/>
                <w:lang w:val="en-US" w:eastAsia="zh-CN"/>
                <w14:textFill>
                  <w14:solidFill>
                    <w14:schemeClr w14:val="tx1"/>
                  </w14:solidFill>
                </w14:textFill>
              </w:rPr>
              <w:t>3.被保险人：</w:t>
            </w: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是指阳江市江城区卫生健康局、阳江市江城区人民医院新院建设二期工程设计施工总承包项目的相关方。</w:t>
            </w:r>
          </w:p>
          <w:p w14:paraId="7E17C988">
            <w:pPr>
              <w:numPr>
                <w:ilvl w:val="0"/>
                <w:numId w:val="0"/>
              </w:numPr>
              <w:spacing w:line="360" w:lineRule="auto"/>
              <w:ind w:firstLine="422"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bCs/>
                <w:color w:val="000000" w:themeColor="text1"/>
                <w:highlight w:val="none"/>
                <w:shd w:val="clear" w:color="auto" w:fill="FFFFFF" w:themeFill="background1"/>
                <w:lang w:val="en-US" w:eastAsia="zh-CN"/>
                <w14:textFill>
                  <w14:solidFill>
                    <w14:schemeClr w14:val="tx1"/>
                  </w14:solidFill>
                </w14:textFill>
              </w:rPr>
              <w:t>4.投保工程及保险金额：</w:t>
            </w: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投保工程为阳江市江城区人民医院新院建设二期工程设计施工总承包项目；保险金额为单个施工合同（含设备安装、货物采购）签约合同价，不因物价波动、规范更新而调整，具体以采购人下达的出具单个施工合同保险单通知为准。</w:t>
            </w:r>
          </w:p>
          <w:p w14:paraId="65D4CA71">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5.出具保单时限：于采购人下达出具施工合同保险单通知之日起10个工作日内出具。</w:t>
            </w:r>
          </w:p>
          <w:p w14:paraId="6144DC51">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6.保险期：计划工期570日历日，实际保险期限自保险工程首个保单签订之日起，至阳江市江城区人民医院新院建设二期工程设计施工总承包项目全部竣工验收合格之日止。</w:t>
            </w:r>
          </w:p>
          <w:p w14:paraId="4D5390C5">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若计划工期期满时，工程尚未竣工验收，经被保险人书面通知，保险人免费延展保险期限至竣工验收或6个月（以时间先到达点为准），延展期间保险责任不变。保险责任期限内该项工程任何已经完工的部分工程项目应仍处于本保单保障范围以内。</w:t>
            </w:r>
          </w:p>
          <w:p w14:paraId="1701FEA5">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注：中标人须在保单中另附加24个月保证期，即保证期为工程颁发交工验收证书或验收合格或实际投入使用之日后24个月。</w:t>
            </w:r>
          </w:p>
          <w:p w14:paraId="6A18B9FD">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7.保险标的：保险合同明细表中分项列明的在列明工地范围内，与实施工程合同相关的财产或费用，包括但不限于该项目的建筑工程、机电设备及金属结构安装工程、施工临时工程、水土保持工程和环境保护工程、材料、物料设备、机具、服务设施及相关配套设施等；包含在施工图纸（含变更）、工程量清单的一切在建及已建成的永久性工程、临时工程和辅助工程等内容。</w:t>
            </w:r>
          </w:p>
          <w:p w14:paraId="67F78B71">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8.保险工程地址：阳江市江城区中洲大道 108号</w:t>
            </w:r>
          </w:p>
          <w:p w14:paraId="2C849403">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9.主要保险责任：</w:t>
            </w:r>
          </w:p>
          <w:p w14:paraId="5CE46BFA">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（1）第一部分物质损失</w:t>
            </w:r>
          </w:p>
          <w:p w14:paraId="507343BA">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在保险期间内，保险合同分项列明的保险财产在列明的工地范围内，因保险合同责任免除以外的任何自然灾害或意外事故造成的物质损坏或灭失（以下简称“损失”），保险人按保险合同的约定负责赔偿。</w:t>
            </w:r>
          </w:p>
          <w:p w14:paraId="2D874A73">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（2）第二部分第三者责任</w:t>
            </w:r>
          </w:p>
          <w:p w14:paraId="56E00349">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在保险期间内，因发生与保险合同所承保工程直接相关的意外事故引起工地内及邻近区域的第三者人身伤亡、疾病或财产损失，依法应由被保险人承担的经济赔偿责任，保险人按照保险合同约定负责赔偿。</w:t>
            </w:r>
          </w:p>
          <w:p w14:paraId="4BF0FD23">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10.责任限额：</w:t>
            </w:r>
          </w:p>
          <w:p w14:paraId="54C5C897">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（1）</w:t>
            </w:r>
            <w:r>
              <w:rPr>
                <w:rFonts w:ascii="宋体" w:hAnsi="宋体" w:eastAsia="宋体" w:cs="宋体"/>
                <w:color w:val="000000" w:themeColor="text1"/>
                <w:spacing w:val="-2"/>
                <w:sz w:val="20"/>
                <w:szCs w:val="20"/>
                <w:highlight w:val="none"/>
                <w14:textFill>
                  <w14:solidFill>
                    <w14:schemeClr w14:val="tx1"/>
                  </w14:solidFill>
                </w14:textFill>
              </w:rPr>
              <w:t>物质部分</w:t>
            </w:r>
          </w:p>
          <w:p w14:paraId="3CCC8636">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保险金额：126920934.68元（按建设工程施工合同额投保）。</w:t>
            </w:r>
          </w:p>
          <w:p w14:paraId="1DD07504">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（2）第三者责任</w:t>
            </w:r>
          </w:p>
          <w:p w14:paraId="50EC30CD">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累计赔偿限额：10000000.00元。</w:t>
            </w:r>
          </w:p>
          <w:p w14:paraId="2525FEB9">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default"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每次事故赔偿限额</w:t>
            </w: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：5000000.00元。</w:t>
            </w:r>
          </w:p>
          <w:p w14:paraId="4683E9D2">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default"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财产损失每次限额</w:t>
            </w: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：5000000.00元。</w:t>
            </w:r>
          </w:p>
          <w:p w14:paraId="69FA4529">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default"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人身伤亡每次限额</w:t>
            </w: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：5000000.00元。</w:t>
            </w:r>
          </w:p>
          <w:p w14:paraId="7D536D6B">
            <w:pPr>
              <w:numPr>
                <w:ilvl w:val="0"/>
                <w:numId w:val="0"/>
              </w:numPr>
              <w:spacing w:line="360" w:lineRule="auto"/>
              <w:ind w:firstLine="420" w:firstLineChars="200"/>
              <w:rPr>
                <w:rFonts w:hint="default"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default"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每人每次伤亡限额</w:t>
            </w: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：800000.00元</w:t>
            </w:r>
          </w:p>
          <w:p w14:paraId="6036CA6E">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（3）主险限额（建筑工程一切险及第三者责任险）</w:t>
            </w:r>
          </w:p>
          <w:p w14:paraId="18712EDC">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每次赔偿限额:131920934.68元</w:t>
            </w:r>
          </w:p>
          <w:p w14:paraId="76422585">
            <w:pPr>
              <w:numPr>
                <w:ilvl w:val="0"/>
                <w:numId w:val="0"/>
              </w:numPr>
              <w:spacing w:line="360" w:lineRule="auto"/>
              <w:ind w:firstLine="420" w:firstLineChars="200"/>
              <w:rPr>
                <w:rFonts w:hint="default"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default"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累计责任限额:136920934.68</w:t>
            </w: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元</w:t>
            </w:r>
          </w:p>
          <w:p w14:paraId="5C606FEA">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（4）附加险限额</w:t>
            </w:r>
          </w:p>
          <w:p w14:paraId="3CA5545A">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①保险期间自动延长条款</w:t>
            </w:r>
          </w:p>
          <w:p w14:paraId="7761A032">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每次赔偿限额:131920934.68</w:t>
            </w:r>
          </w:p>
          <w:p w14:paraId="0985B8B4">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累计责任限额:136920934.68</w:t>
            </w:r>
          </w:p>
          <w:p w14:paraId="78F19712">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②有限责任保证期扩展条款A</w:t>
            </w:r>
          </w:p>
          <w:p w14:paraId="05EC03C3">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每次赔偿限额:131920934.68</w:t>
            </w:r>
          </w:p>
          <w:p w14:paraId="45862DCB">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累计责任限额:136920934.68</w:t>
            </w:r>
          </w:p>
          <w:p w14:paraId="0B23BCBC">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③清除残骸费用附加险</w:t>
            </w:r>
          </w:p>
          <w:p w14:paraId="6D9AEEA2">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每次赔偿限额:136920934.68</w:t>
            </w:r>
          </w:p>
          <w:p w14:paraId="2EA91604">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累计责任限额:136920934.68</w:t>
            </w:r>
          </w:p>
          <w:p w14:paraId="12C2DE70">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④工程完工或交付使用部分扩展条款</w:t>
            </w:r>
          </w:p>
          <w:p w14:paraId="16AE2649">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每次赔偿限额:136920934.68</w:t>
            </w:r>
          </w:p>
          <w:p w14:paraId="79FEE1CE">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累计责任限额:136920934.68</w:t>
            </w:r>
          </w:p>
          <w:p w14:paraId="205C1556">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⑤火灾及爆炸条款</w:t>
            </w:r>
          </w:p>
          <w:p w14:paraId="729C0624">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每次赔偿限额:136920934.68</w:t>
            </w:r>
          </w:p>
          <w:p w14:paraId="11377A64">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累计责任限额:136920934.68</w:t>
            </w:r>
          </w:p>
          <w:p w14:paraId="768EAA7B">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注：所有附加险的保额均包含在主险保额内，并不单独计算。附加险的赔偿限额以该附加险的保额/赔偿限额为限。</w:t>
            </w:r>
          </w:p>
          <w:p w14:paraId="6B5F743C">
            <w:pPr>
              <w:numPr>
                <w:ilvl w:val="0"/>
                <w:numId w:val="0"/>
              </w:numPr>
              <w:spacing w:line="360" w:lineRule="auto"/>
              <w:ind w:firstLine="420" w:firstLineChars="200"/>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11.免赔额：</w:t>
            </w:r>
          </w:p>
          <w:p w14:paraId="02DB2D5F">
            <w:pPr>
              <w:numPr>
                <w:ilvl w:val="0"/>
                <w:numId w:val="0"/>
              </w:numPr>
              <w:spacing w:line="360" w:lineRule="auto"/>
              <w:ind w:firstLine="420" w:firstLineChars="200"/>
              <w:rPr>
                <w:rFonts w:hint="eastAsia" w:ascii="宋体" w:hAnsi="宋体" w:eastAsia="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（1）</w:t>
            </w:r>
            <w:r>
              <w:rPr>
                <w:rFonts w:hint="eastAsia" w:ascii="宋体" w:hAnsi="宋体" w:eastAsia="宋体" w:cs="宋体"/>
                <w:b w:val="0"/>
                <w:bCs w:val="0"/>
                <w:color w:val="000000" w:themeColor="text1"/>
                <w:highlight w:val="none"/>
                <w:shd w:val="clear" w:color="auto" w:fill="FFFFFF" w:themeFill="background1"/>
                <w:lang w:val="en-US" w:eastAsia="zh-CN"/>
                <w14:textFill>
                  <w14:solidFill>
                    <w14:schemeClr w14:val="tx1"/>
                  </w14:solidFill>
                </w14:textFill>
              </w:rPr>
              <w:t>本保险对地震、海啸的物质损失每次事故绝对免赔人民币200000元或损失金额的20%，以高者为准。</w:t>
            </w:r>
          </w:p>
          <w:p w14:paraId="698B9AFB">
            <w:pPr>
              <w:numPr>
                <w:ilvl w:val="0"/>
                <w:numId w:val="0"/>
              </w:numPr>
              <w:spacing w:line="360" w:lineRule="auto"/>
              <w:ind w:firstLine="420" w:firstLineChars="200"/>
              <w:rPr>
                <w:rFonts w:hint="eastAsia" w:ascii="宋体" w:hAnsi="宋体" w:eastAsia="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（2）</w:t>
            </w:r>
            <w:r>
              <w:rPr>
                <w:rFonts w:hint="eastAsia" w:ascii="宋体" w:hAnsi="宋体" w:eastAsia="宋体" w:cs="宋体"/>
                <w:b w:val="0"/>
                <w:bCs w:val="0"/>
                <w:color w:val="000000" w:themeColor="text1"/>
                <w:highlight w:val="none"/>
                <w:shd w:val="clear" w:color="auto" w:fill="FFFFFF" w:themeFill="background1"/>
                <w:lang w:val="en-US" w:eastAsia="zh-CN"/>
                <w14:textFill>
                  <w14:solidFill>
                    <w14:schemeClr w14:val="tx1"/>
                  </w14:solidFill>
                </w14:textFill>
              </w:rPr>
              <w:t>本保险对台风、暴雨、洪水、泥石流等自然灾害以及火灾爆炸的物质损失每次事故绝对免赔人民币150000元或损失金额的20%，以高者为准。</w:t>
            </w:r>
          </w:p>
          <w:p w14:paraId="5F0F8562">
            <w:pPr>
              <w:numPr>
                <w:ilvl w:val="0"/>
                <w:numId w:val="0"/>
              </w:numPr>
              <w:spacing w:line="360" w:lineRule="auto"/>
              <w:ind w:firstLine="420" w:firstLineChars="200"/>
              <w:rPr>
                <w:rFonts w:hint="eastAsia" w:ascii="宋体" w:hAnsi="宋体" w:eastAsia="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（3）</w:t>
            </w:r>
            <w:r>
              <w:rPr>
                <w:rFonts w:hint="eastAsia" w:ascii="宋体" w:hAnsi="宋体" w:eastAsia="宋体" w:cs="宋体"/>
                <w:b w:val="0"/>
                <w:bCs w:val="0"/>
                <w:color w:val="000000" w:themeColor="text1"/>
                <w:highlight w:val="none"/>
                <w:shd w:val="clear" w:color="auto" w:fill="FFFFFF" w:themeFill="background1"/>
                <w:lang w:val="en-US" w:eastAsia="zh-CN"/>
                <w14:textFill>
                  <w14:solidFill>
                    <w14:schemeClr w14:val="tx1"/>
                  </w14:solidFill>
                </w14:textFill>
              </w:rPr>
              <w:t>本保险对物质损失每次事故绝对免赔人民币10000元或损失金额的10%，以高者为准。</w:t>
            </w:r>
          </w:p>
          <w:p w14:paraId="7E4DD9C9">
            <w:pPr>
              <w:numPr>
                <w:ilvl w:val="0"/>
                <w:numId w:val="0"/>
              </w:numPr>
              <w:spacing w:line="360" w:lineRule="auto"/>
              <w:ind w:firstLine="420" w:firstLineChars="200"/>
              <w:rPr>
                <w:rFonts w:hint="eastAsia" w:ascii="宋体" w:hAnsi="宋体" w:eastAsia="宋体" w:cs="宋体"/>
                <w:b w:val="0"/>
                <w:bCs w:val="0"/>
                <w:color w:val="000000" w:themeColor="text1"/>
                <w:highlight w:val="none"/>
                <w:shd w:val="clear" w:color="auto" w:fill="FFFFFF" w:themeFill="background1"/>
                <w:lang w:val="en-US" w:eastAsia="zh-CN"/>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（4）</w:t>
            </w:r>
            <w:r>
              <w:rPr>
                <w:rFonts w:hint="eastAsia" w:ascii="宋体" w:hAnsi="宋体" w:eastAsia="宋体" w:cs="宋体"/>
                <w:b w:val="0"/>
                <w:bCs w:val="0"/>
                <w:color w:val="000000" w:themeColor="text1"/>
                <w:highlight w:val="none"/>
                <w:shd w:val="clear" w:color="auto" w:fill="FFFFFF" w:themeFill="background1"/>
                <w:lang w:val="en-US" w:eastAsia="zh-CN"/>
                <w14:textFill>
                  <w14:solidFill>
                    <w14:schemeClr w14:val="tx1"/>
                  </w14:solidFill>
                </w14:textFill>
              </w:rPr>
              <w:t>本保险对第三者财产损失每次事故绝对免赔人民币5000元或损失金额的10%，以高者为准。</w:t>
            </w:r>
          </w:p>
          <w:p w14:paraId="147C11D3">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highlight w:val="none"/>
                <w:shd w:val="clear" w:color="auto" w:fill="FFFFFF" w:themeFill="background1"/>
                <w:lang w:val="en-US" w:eastAsia="zh-CN"/>
                <w14:textFill>
                  <w14:solidFill>
                    <w14:schemeClr w14:val="tx1"/>
                  </w14:solidFill>
                </w14:textFill>
              </w:rPr>
              <w:t>（5）</w:t>
            </w:r>
            <w:r>
              <w:rPr>
                <w:rFonts w:hint="eastAsia" w:ascii="宋体" w:hAnsi="宋体" w:eastAsia="宋体" w:cs="宋体"/>
                <w:b w:val="0"/>
                <w:bCs w:val="0"/>
                <w:color w:val="000000" w:themeColor="text1"/>
                <w:highlight w:val="none"/>
                <w:shd w:val="clear" w:color="auto" w:fill="FFFFFF" w:themeFill="background1"/>
                <w:lang w:val="en-US" w:eastAsia="zh-CN"/>
                <w14:textFill>
                  <w14:solidFill>
                    <w14:schemeClr w14:val="tx1"/>
                  </w14:solidFill>
                </w14:textFill>
              </w:rPr>
              <w:t>本保险对第三者人伤损失每次事故绝对免赔人民币1000元或损失金额的10%，以高者为准。</w:t>
            </w:r>
          </w:p>
        </w:tc>
      </w:tr>
    </w:tbl>
    <w:p w14:paraId="6B021AC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D652F2F">
      <w:pPr>
        <w:rPr>
          <w:rFonts w:hint="eastAsia"/>
          <w:color w:val="000000" w:themeColor="text1"/>
          <w:highlight w:val="none"/>
          <w14:textFill>
            <w14:solidFill>
              <w14:schemeClr w14:val="tx1"/>
            </w14:solidFill>
          </w14:textFill>
        </w:rPr>
      </w:pPr>
    </w:p>
    <w:p w14:paraId="7782DC7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A367F16">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bookmarkStart w:id="2" w:name="_Toc23184"/>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bookmarkEnd w:id="2"/>
    </w:p>
    <w:p w14:paraId="1A1716A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3" w:name="_Toc609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bookmarkEnd w:id="3"/>
    </w:p>
    <w:p w14:paraId="32277ED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0AA3F1E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阳江市江城区卫生健康局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7FB6F8C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315863E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5D872EA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0EAEECF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6AEE3B4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7B388CD">
      <w:pPr>
        <w:rPr>
          <w:rFonts w:hint="eastAsia"/>
          <w:color w:val="000000" w:themeColor="text1"/>
          <w:highlight w:val="none"/>
          <w14:textFill>
            <w14:solidFill>
              <w14:schemeClr w14:val="tx1"/>
            </w14:solidFill>
          </w14:textFill>
        </w:rPr>
      </w:pPr>
    </w:p>
    <w:p w14:paraId="0298AE41">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4" w:name="_Toc1405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bookmarkEnd w:id="4"/>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003D0818">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A25C70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7498AAA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56B2386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本项目共1个采购包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0A6624D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296CBE0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8B23CD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2BADFC6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112B1307">
            <w:pPr>
              <w:pStyle w:val="19"/>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683C743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2F6F03B">
            <w:pPr>
              <w:pStyle w:val="19"/>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0A7693C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采购包1：总价</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7D0D673">
            <w:pPr>
              <w:pStyle w:val="19"/>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4BDC887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各采购包报价不超过预算总价</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3BFFC81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724780C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08A4DE1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A692F2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F4F6BF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213701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60A91E1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46349FE">
            <w:pPr>
              <w:pStyle w:val="19"/>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1739D59C">
            <w:pPr>
              <w:pStyle w:val="19"/>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45232A0D">
            <w:pPr>
              <w:pStyle w:val="19"/>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（内含“开标一览表”、“法定代表人（负责人）证明书”和“法定代表人（负责人）授权书”）</w:t>
            </w:r>
          </w:p>
          <w:p w14:paraId="591705EC">
            <w:pPr>
              <w:pStyle w:val="19"/>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21E12104">
            <w:pPr>
              <w:pStyle w:val="19"/>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E4F746E">
            <w:pPr>
              <w:pStyle w:val="19"/>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74201334">
            <w:pPr>
              <w:pStyle w:val="19"/>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2879BBB8">
            <w:pPr>
              <w:pStyle w:val="19"/>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00C4ED2B">
            <w:pPr>
              <w:pStyle w:val="19"/>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774CA95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3C0F950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08621D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0A5E581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0A83C2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54237B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23A4B97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431780E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63240E2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5C3C3DF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57E563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17A7FCB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24BB464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收取。</w:t>
            </w:r>
          </w:p>
          <w:p w14:paraId="59CC8D1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机构代理服务收费标准：招标代理服务费按差额定率累进法计算。收费标准参照原国家发展计划委员会颁发的计价格[2002]1980号文《招标代理服务收费管理暂行办法》及国家发改委[2003]857号文及发改价格[2011]534号文规定，当招标代理服务费计算不足</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00元按定额</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00元收取。</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中标服务费由中标人在领取中标通知书前以银行转账方式一次性支付。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560D427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90E0C2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666C3ABA">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1FC6D0E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36B85003">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广东业信采购招标有限公司</w:t>
            </w:r>
          </w:p>
          <w:p w14:paraId="6649E2F5">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44547801040002249</w:t>
            </w:r>
          </w:p>
          <w:p w14:paraId="6BA88892">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71F0E914">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7753587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asciiTheme="minorEastAsia" w:hAnsiTheme="minorEastAsia" w:cstheme="minorEastAsia"/>
                <w:color w:val="000000" w:themeColor="text1"/>
                <w:sz w:val="21"/>
                <w:szCs w:val="21"/>
                <w:highlight w:val="none"/>
                <w14:textFill>
                  <w14:solidFill>
                    <w14:schemeClr w14:val="tx1"/>
                  </w14:solidFill>
                </w14:textFill>
              </w:rPr>
              <w:t>本项目不属于专门面向中小企业采购的项目</w:t>
            </w:r>
            <w:r>
              <w:rPr>
                <w:rFonts w:hint="eastAsia" w:ascii="宋体" w:hAnsi="宋体" w:cs="宋体"/>
                <w:color w:val="000000" w:themeColor="text1"/>
                <w:highlight w:val="none"/>
                <w:lang w:val="en-US" w:eastAsia="zh-CN"/>
                <w14:textFill>
                  <w14:solidFill>
                    <w14:schemeClr w14:val="tx1"/>
                  </w14:solidFill>
                </w14:textFill>
              </w:rPr>
              <w:t>。</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7B0754A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352F5F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271A37C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10DE389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6F52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D098B6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5A52239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0D3BA4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6EB908E9">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"http://www.gdgpo.gov.cn"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http://www.gdgpo.com.cn</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r>
      <w:tr w14:paraId="64380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6317163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068391B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7016DC9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4530A8BD">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http://www.yjcg.cc</w:t>
            </w:r>
          </w:p>
        </w:tc>
      </w:tr>
    </w:tbl>
    <w:p w14:paraId="79E1CFCF">
      <w:pPr>
        <w:rPr>
          <w:rFonts w:hint="eastAsia"/>
          <w:color w:val="000000" w:themeColor="text1"/>
          <w:highlight w:val="none"/>
          <w14:textFill>
            <w14:solidFill>
              <w14:schemeClr w14:val="tx1"/>
            </w14:solidFill>
          </w14:textFill>
        </w:rPr>
      </w:pPr>
    </w:p>
    <w:p w14:paraId="327CE6C0">
      <w:pPr>
        <w:rPr>
          <w:rFonts w:hint="eastAsia"/>
          <w:color w:val="000000" w:themeColor="text1"/>
          <w:highlight w:val="none"/>
          <w14:textFill>
            <w14:solidFill>
              <w14:schemeClr w14:val="tx1"/>
            </w14:solidFill>
          </w14:textFill>
        </w:rPr>
      </w:pPr>
    </w:p>
    <w:p w14:paraId="5C028B5A">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5" w:name="_Toc1024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bookmarkEnd w:id="5"/>
    </w:p>
    <w:p w14:paraId="7CD36959">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76447BD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4D5D812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5E57798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7ACC7B4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481D2AC0">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6F48B10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2EA4E0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94375A6">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4040BC8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D9A9438">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38DB834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7FFA9C0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28DBC92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1B4825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4B36684">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0209A8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1FC389B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6A4AF10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79643BE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484ACC5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7D1A37C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A99F59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0BFC01A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1E7C3A6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39E27D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849317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77E9C962">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463A8BA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4D22F07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60CEBEA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430FC3E3">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6" w:name="_Toc1245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bookmarkEnd w:id="6"/>
    </w:p>
    <w:p w14:paraId="180ADBD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613AD7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FF7F03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5007A26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7" w:name="_Toc2797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bookmarkEnd w:id="7"/>
    </w:p>
    <w:p w14:paraId="3B575A99">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5948DFA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B5ED82A">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5DC7B997">
      <w:pPr>
        <w:pStyle w:val="19"/>
        <w:keepNext w:val="0"/>
        <w:keepLines w:val="0"/>
        <w:pageBreakBefore w:val="0"/>
        <w:kinsoku/>
        <w:wordWrap/>
        <w:overflowPunct/>
        <w:topLinePunct w:val="0"/>
        <w:autoSpaceDE/>
        <w:autoSpaceDN/>
        <w:bidi w:val="0"/>
        <w:adjustRightInd/>
        <w:snapToGrid/>
        <w:spacing w:line="360" w:lineRule="auto"/>
        <w:ind w:firstLine="630" w:firstLineChars="3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4611890A">
      <w:pPr>
        <w:pStyle w:val="19"/>
        <w:keepNext w:val="0"/>
        <w:keepLines w:val="0"/>
        <w:pageBreakBefore w:val="0"/>
        <w:kinsoku/>
        <w:wordWrap/>
        <w:overflowPunct/>
        <w:topLinePunct w:val="0"/>
        <w:autoSpaceDE/>
        <w:autoSpaceDN/>
        <w:bidi w:val="0"/>
        <w:adjustRightInd/>
        <w:snapToGrid/>
        <w:spacing w:line="360" w:lineRule="auto"/>
        <w:ind w:firstLine="630" w:firstLineChars="3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5D15734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73C4DBF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9E8A34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2ED2B7B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1620F0C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30898B9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32AA46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2.7投标人必须按招标文件指定的格式填写各种报价，各报价应计算正确。除在招标文件另有规定外（如：报折扣、报优惠率等），计量单位应使用中华人民共和国法定计量单位，以人民币填报所有报价。</w:t>
      </w:r>
    </w:p>
    <w:p w14:paraId="4A8112B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019643D8">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 xml:space="preserve"> 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0C2061FB">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30148371">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8" w:name="_Toc342296751"/>
      <w:bookmarkStart w:id="9" w:name="_Toc330459976"/>
      <w:bookmarkStart w:id="10" w:name="_Toc342060365"/>
      <w:bookmarkStart w:id="11" w:name="_Toc339019880"/>
      <w:bookmarkStart w:id="12" w:name="_Toc374454591"/>
      <w:bookmarkStart w:id="13" w:name="_Toc350438740"/>
      <w:bookmarkStart w:id="14" w:name="_Toc333237779"/>
      <w:bookmarkStart w:id="15" w:name="_Toc497224218"/>
      <w:bookmarkStart w:id="16" w:name="_Toc345513858"/>
      <w:bookmarkStart w:id="17" w:name="_Toc349127617"/>
      <w:bookmarkStart w:id="18" w:name="_Toc333237668"/>
      <w:bookmarkStart w:id="19" w:name="_Toc503785420"/>
      <w:bookmarkStart w:id="20" w:name="_Toc332270337"/>
      <w:bookmarkStart w:id="21" w:name="_Toc339020006"/>
      <w:bookmarkStart w:id="22" w:name="_Toc350756441"/>
      <w:bookmarkStart w:id="23" w:name="_Toc333935678"/>
      <w:bookmarkStart w:id="24" w:name="_Toc366072519"/>
      <w:bookmarkStart w:id="25" w:name="_Toc340507433"/>
      <w:bookmarkStart w:id="26" w:name="_Toc336681926"/>
      <w:bookmarkStart w:id="27" w:name="_Toc341348329"/>
      <w:bookmarkStart w:id="28" w:name="_Toc331684029"/>
      <w:bookmarkStart w:id="29" w:name="_Toc333238624"/>
      <w:bookmarkStart w:id="30" w:name="_Toc349143580"/>
      <w:bookmarkStart w:id="31" w:name="_Toc331512889"/>
      <w:bookmarkStart w:id="32" w:name="_Toc339441078"/>
      <w:bookmarkStart w:id="33" w:name="_Toc340672860"/>
      <w:bookmarkStart w:id="34" w:name="_Toc339362291"/>
      <w:bookmarkStart w:id="35" w:name="_Toc337632349"/>
      <w:bookmarkStart w:id="36" w:name="_Toc340677061"/>
      <w:bookmarkStart w:id="37" w:name="_Toc333935337"/>
      <w:bookmarkStart w:id="38" w:name="_Toc339020224"/>
      <w:bookmarkStart w:id="39" w:name="_Toc336681571"/>
      <w:bookmarkStart w:id="40" w:name="_Toc339020086"/>
      <w:bookmarkStart w:id="41" w:name="_Toc365985170"/>
      <w:bookmarkStart w:id="42" w:name="_Toc365967064"/>
      <w:bookmarkStart w:id="43" w:name="_Toc332206699"/>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17C55406">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14:paraId="024B039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61F25C02">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071434E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 xml:space="preserve"> 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2670982A">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0EBBB92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342F31F5">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7A3B9FB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20291D0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48837277">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0C6AEA43">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44" w:name="_Toc339019883"/>
      <w:bookmarkStart w:id="45" w:name="_Toc333935340"/>
      <w:bookmarkStart w:id="46" w:name="_Toc330459979"/>
      <w:bookmarkStart w:id="47" w:name="_Toc349127620"/>
      <w:bookmarkStart w:id="48" w:name="_Toc339441081"/>
      <w:bookmarkStart w:id="49" w:name="_Toc333237671"/>
      <w:bookmarkStart w:id="50" w:name="_Toc333935681"/>
      <w:bookmarkStart w:id="51" w:name="_Toc331684032"/>
      <w:bookmarkStart w:id="52" w:name="_Toc331512892"/>
      <w:bookmarkStart w:id="53" w:name="_Toc336681929"/>
      <w:bookmarkStart w:id="54" w:name="_Toc339020089"/>
      <w:bookmarkStart w:id="55" w:name="_Toc337632352"/>
      <w:bookmarkStart w:id="56" w:name="_Toc339020009"/>
      <w:bookmarkStart w:id="57" w:name="_Toc339362294"/>
      <w:bookmarkStart w:id="58" w:name="_Toc345513861"/>
      <w:bookmarkStart w:id="59" w:name="_Toc350756444"/>
      <w:bookmarkStart w:id="60" w:name="_Toc17227"/>
      <w:bookmarkStart w:id="61" w:name="_Toc333237782"/>
      <w:bookmarkStart w:id="62" w:name="_Toc350438743"/>
      <w:bookmarkStart w:id="63" w:name="_Toc340507436"/>
      <w:bookmarkStart w:id="64" w:name="_Toc374454594"/>
      <w:bookmarkStart w:id="65" w:name="_Toc497224221"/>
      <w:bookmarkStart w:id="66" w:name="_Toc342296754"/>
      <w:bookmarkStart w:id="67" w:name="_Toc365967067"/>
      <w:bookmarkStart w:id="68" w:name="_Toc349143583"/>
      <w:bookmarkStart w:id="69" w:name="_Toc333238627"/>
      <w:bookmarkStart w:id="70" w:name="_Toc503785423"/>
      <w:bookmarkStart w:id="71" w:name="_Toc332270340"/>
      <w:bookmarkStart w:id="72" w:name="_Toc341348332"/>
      <w:bookmarkStart w:id="73" w:name="_Toc336681574"/>
      <w:bookmarkStart w:id="74" w:name="_Toc340672863"/>
      <w:bookmarkStart w:id="75" w:name="_Toc342060368"/>
      <w:bookmarkStart w:id="76" w:name="_Toc332206702"/>
      <w:bookmarkStart w:id="77" w:name="_Toc339020227"/>
      <w:bookmarkStart w:id="78" w:name="_Toc366072522"/>
      <w:bookmarkStart w:id="79" w:name="_Toc340677064"/>
      <w:bookmarkStart w:id="80" w:name="_Toc365985173"/>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03046E34">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5E559A18">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58BCD76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6.1投标保证金的缴纳</w:t>
      </w:r>
    </w:p>
    <w:p w14:paraId="209C074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2B6E318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7A32FF2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6CDAF4C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6.2投标保证金的退还：</w:t>
      </w:r>
    </w:p>
    <w:p w14:paraId="21688BB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146E7E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2FA68E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B30F2A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77A959B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3A24125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328566C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F2DF08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7E2CDF4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0C08BF7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333463B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062B61C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33A8352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56C17A7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6F4701D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4EFB9EE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0CC0843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4A6694A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EE474B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4BC4B4C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A524C32">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1" w:name="_Toc1345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bookmarkEnd w:id="81"/>
    </w:p>
    <w:p w14:paraId="161C8DFB">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45B23A5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4FA75EB4">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5FEDFD5D">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2B988DD">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C2A3F32">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22797C57">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09C920D4">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566D7CFB">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B650B2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54D4B53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55F9B84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1797A0A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06C7488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0912D06">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1E2F713F">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1EA8C93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3C484CD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32FEC6F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1083F1E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7691CEC5">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2" w:name="_Toc955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bookmarkEnd w:id="82"/>
    </w:p>
    <w:p w14:paraId="6586F6C9">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5171751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2A9F525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4C3A485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1E3D9DD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1C3C04C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75EE0AE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C5B76A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0D458D5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230042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30CA1F1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5FF2DFC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0334685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1D94DC8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70A2493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D5C5B2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7D6BDF4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35180B8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001644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27DB1FD0">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3" w:name="_Toc133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bookmarkEnd w:id="83"/>
    </w:p>
    <w:p w14:paraId="78BC0CC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4709A11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2DCFE98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0898EA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2477806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694F73A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580C085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A25B8F">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0B24A5D">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4" w:name="_Toc31869"/>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bookmarkEnd w:id="84"/>
    </w:p>
    <w:p w14:paraId="4D6611C0">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5" w:name="_Toc245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bookmarkEnd w:id="85"/>
    </w:p>
    <w:p w14:paraId="301AE487">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03D4712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6CCD39B4">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508BAF5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5B6C3C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3508884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7A9723C6">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3FB024D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41FCA6D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7F34939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2B382AB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4261691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7B56967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23F57C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20526E2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3BADEDC7">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365E45C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64779C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025A02A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4FA85CC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622C78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0CA0A1B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1FD8D7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287D7AD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5280A8B7">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268A728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0896760F">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0499ADF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632D8517">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6055094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514920D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4BDBE32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09873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3ADFD32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6E15D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6BFAB384">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6" w:name="_Toc881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政府采购政策落实</w:t>
      </w:r>
      <w:bookmarkEnd w:id="86"/>
    </w:p>
    <w:p w14:paraId="7690B820">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3C1723D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B6D76A3">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39F14CB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A5D6E68">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17F1254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4301602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43730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7B31CB2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4F3C482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120C9FF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50B3F22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59E5265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23435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04AAF07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top"/>
          </w:tcPr>
          <w:p w14:paraId="53B4FEC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top"/>
          </w:tcPr>
          <w:p w14:paraId="058CB88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w:t>
            </w:r>
          </w:p>
        </w:tc>
        <w:tc>
          <w:tcPr>
            <w:tcW w:w="859" w:type="dxa"/>
            <w:vAlign w:val="top"/>
          </w:tcPr>
          <w:p w14:paraId="53E0D43D">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top"/>
          </w:tcPr>
          <w:p w14:paraId="78278CB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3D10F5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091E704A">
            <w:pPr>
              <w:pStyle w:val="19"/>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4A30B27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4CFB3889">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0D7CB30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5339E74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31D9B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13BCDFB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5AA1178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271599C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F6BF3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6684A5A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0485FF0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4CCBA2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7" w:name="_Toc327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评审程序</w:t>
      </w:r>
      <w:bookmarkEnd w:id="87"/>
    </w:p>
    <w:p w14:paraId="0877031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3511106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C9CFB7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3A60A4F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42DCFB2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1BA771B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4776FA0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4836E58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88B50B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18991B3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03D3DCA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52A0DED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698FFBE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vAlign w:val="top"/>
          </w:tcPr>
          <w:p w14:paraId="0B5FB8B0">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vAlign w:val="top"/>
          </w:tcPr>
          <w:p w14:paraId="7D81274E">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1009C0C">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4A4B94E8">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vAlign w:val="top"/>
          </w:tcPr>
          <w:p w14:paraId="32E55402">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F18955E">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6F0E634F">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vAlign w:val="top"/>
          </w:tcPr>
          <w:p w14:paraId="3A321888">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B114EC4">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4D0A1858">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vAlign w:val="top"/>
          </w:tcPr>
          <w:p w14:paraId="70ACC952">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必须具有良好的商业信誉和健全的财务会计制度（提供202</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年度财务状况报告或202</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EEF0D3F">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4E027860">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vAlign w:val="top"/>
          </w:tcPr>
          <w:p w14:paraId="14176511">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按投标（响应）文件格式填报设备及专业技术能力情况或出具《承诺函》。</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065FDB1">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2714BA69">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vAlign w:val="top"/>
          </w:tcPr>
          <w:p w14:paraId="1413FCA8">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参照投标函相关承诺格式内容或出具《承诺函》。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CDF0B2">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7F80A966">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772" w:type="dxa"/>
            <w:vAlign w:val="top"/>
          </w:tcPr>
          <w:p w14:paraId="0B27F42B">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367624D">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63095433">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780A899B">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管理关系的不同供应商，不得同时参加本采购项目（或采购包）投标（响应）。为本项目提供整体设计、规范编制或者项目管理、监理、检测等服务的供应商，不得再参与本项目投标（响应）。投标函相关承诺要求内容。</w:t>
            </w:r>
          </w:p>
        </w:tc>
      </w:tr>
      <w:tr w14:paraId="68FB39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0B803E9">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p>
        </w:tc>
        <w:tc>
          <w:tcPr>
            <w:tcW w:w="2327" w:type="dxa"/>
            <w:vAlign w:val="center"/>
          </w:tcPr>
          <w:p w14:paraId="703695B6">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特定资格要求</w:t>
            </w:r>
          </w:p>
        </w:tc>
        <w:tc>
          <w:tcPr>
            <w:tcW w:w="5772" w:type="dxa"/>
            <w:vAlign w:val="top"/>
          </w:tcPr>
          <w:p w14:paraId="264B01EE">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若投标人以总公司参与投标的，须提供中国银行保险监督管理委员会（中国保险监督管理委员会）颁发的保险公司法人许可证或保险许可证；若投标人为经总公司授权的分支机构参与投标的，须提供中国银行保险监督管理委员会（中国保险监督管理委员会）颁发的经营保险业务许可证或保险许可证。</w:t>
            </w:r>
          </w:p>
        </w:tc>
      </w:tr>
      <w:tr w14:paraId="2189E8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5E4E0823">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9</w:t>
            </w:r>
          </w:p>
        </w:tc>
        <w:tc>
          <w:tcPr>
            <w:tcW w:w="2327" w:type="dxa"/>
            <w:vAlign w:val="center"/>
          </w:tcPr>
          <w:p w14:paraId="4644F90B">
            <w:pPr>
              <w:pStyle w:val="19"/>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本项目不接受联合体投标</w:t>
            </w:r>
          </w:p>
        </w:tc>
        <w:tc>
          <w:tcPr>
            <w:tcW w:w="5772" w:type="dxa"/>
            <w:vAlign w:val="top"/>
          </w:tcPr>
          <w:p w14:paraId="7203A06F">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本项目不接受联合体投标</w:t>
            </w:r>
          </w:p>
        </w:tc>
      </w:tr>
    </w:tbl>
    <w:p w14:paraId="15B116F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65CF1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6FFA922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2BB47D41">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序号</w:t>
            </w:r>
          </w:p>
        </w:tc>
        <w:tc>
          <w:tcPr>
            <w:tcW w:w="2342" w:type="dxa"/>
            <w:vAlign w:val="top"/>
          </w:tcPr>
          <w:p w14:paraId="0C08A8BF">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top"/>
          </w:tcPr>
          <w:p w14:paraId="51898E1C">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2EF3C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8475FD3">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center"/>
          </w:tcPr>
          <w:p w14:paraId="1C769C7B">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vAlign w:val="top"/>
          </w:tcPr>
          <w:p w14:paraId="7E753EAF">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自合同签订之日起至项目工程实际竣工验收合格之日止，具体以保险单约定的保险期为准。（少于该服务期将作为无效投标处理）</w:t>
            </w:r>
          </w:p>
        </w:tc>
      </w:tr>
      <w:tr w14:paraId="627A7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C712CB0">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798F4D64">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vAlign w:val="top"/>
          </w:tcPr>
          <w:p w14:paraId="0525E0E4">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人民币</w:t>
            </w:r>
            <w:r>
              <w:rPr>
                <w:rFonts w:hint="eastAsia" w:ascii="宋体" w:hAnsi="宋体" w:eastAsia="宋体" w:cs="宋体"/>
                <w:color w:val="000000" w:themeColor="text1"/>
                <w:sz w:val="21"/>
                <w:szCs w:val="21"/>
                <w:highlight w:val="none"/>
                <w:lang w:eastAsia="zh-CN"/>
                <w14:textFill>
                  <w14:solidFill>
                    <w14:schemeClr w14:val="tx1"/>
                  </w14:solidFill>
                </w14:textFill>
              </w:rPr>
              <w:t>120000.00</w:t>
            </w:r>
            <w:r>
              <w:rPr>
                <w:rFonts w:hint="eastAsia" w:ascii="宋体" w:hAnsi="宋体" w:eastAsia="宋体" w:cs="宋体"/>
                <w:color w:val="000000" w:themeColor="text1"/>
                <w:sz w:val="21"/>
                <w:szCs w:val="21"/>
                <w:highlight w:val="none"/>
                <w14:textFill>
                  <w14:solidFill>
                    <w14:schemeClr w14:val="tx1"/>
                  </w14:solidFill>
                </w14:textFill>
              </w:rPr>
              <w:t>元（超出该上限的投标报价将作为无效投标处理）</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F2EB742">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5DB4DDB2">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vAlign w:val="top"/>
          </w:tcPr>
          <w:p w14:paraId="2342A390">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872C613">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50FF4EA4">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vAlign w:val="top"/>
          </w:tcPr>
          <w:p w14:paraId="1D98FD60">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17A0B365">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076E4B1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58573AB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311E22C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2DB6408">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1E3E99B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16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3"/>
        <w:gridCol w:w="1642"/>
        <w:gridCol w:w="6425"/>
      </w:tblGrid>
      <w:tr w14:paraId="64608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Align w:val="center"/>
          </w:tcPr>
          <w:p w14:paraId="6F7A09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8067" w:type="dxa"/>
            <w:gridSpan w:val="2"/>
            <w:vAlign w:val="center"/>
          </w:tcPr>
          <w:p w14:paraId="4895C6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0EB7AD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tcPr>
          <w:p w14:paraId="08F673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分值构成</w:t>
            </w:r>
          </w:p>
        </w:tc>
        <w:tc>
          <w:tcPr>
            <w:tcW w:w="8067" w:type="dxa"/>
            <w:gridSpan w:val="2"/>
          </w:tcPr>
          <w:p w14:paraId="3BE91BD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cs="宋体"/>
                <w:color w:val="000000" w:themeColor="text1"/>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sz w:val="21"/>
                <w:szCs w:val="21"/>
                <w:highlight w:val="none"/>
                <w14:textFill>
                  <w14:solidFill>
                    <w14:schemeClr w14:val="tx1"/>
                  </w14:solidFill>
                </w14:textFill>
              </w:rPr>
              <w:t>.0分</w:t>
            </w:r>
          </w:p>
          <w:p w14:paraId="7D46FCD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cs="宋体"/>
                <w:color w:val="000000" w:themeColor="text1"/>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0分</w:t>
            </w:r>
          </w:p>
          <w:p w14:paraId="3CBBA47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.0分</w:t>
            </w:r>
          </w:p>
        </w:tc>
      </w:tr>
      <w:tr w14:paraId="02A03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restart"/>
          </w:tcPr>
          <w:p w14:paraId="15E691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p>
        </w:tc>
        <w:tc>
          <w:tcPr>
            <w:tcW w:w="1642" w:type="dxa"/>
            <w:shd w:val="clear" w:color="auto" w:fill="auto"/>
            <w:vAlign w:val="top"/>
          </w:tcPr>
          <w:p w14:paraId="72C5254A">
            <w:pPr>
              <w:keepNext w:val="0"/>
              <w:keepLines w:val="0"/>
              <w:pageBreakBefore w:val="0"/>
              <w:widowControl/>
              <w:suppressLineNumbers w:val="0"/>
              <w:kinsoku/>
              <w:wordWrap/>
              <w:overflowPunct/>
              <w:topLinePunct w:val="0"/>
              <w:autoSpaceDE/>
              <w:autoSpaceDN/>
              <w:bidi w:val="0"/>
              <w:spacing w:line="320" w:lineRule="exact"/>
              <w:jc w:val="both"/>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承保服务方案</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(15.0分)</w:t>
            </w:r>
          </w:p>
        </w:tc>
        <w:tc>
          <w:tcPr>
            <w:tcW w:w="6425" w:type="dxa"/>
            <w:shd w:val="clear" w:color="auto" w:fill="FFFFFF"/>
            <w:vAlign w:val="top"/>
          </w:tcPr>
          <w:p w14:paraId="38E54132">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根据投标人针对项目需求制定的承保服务方案进行评审，方案应包括但不仅限于（投标文件中方案标题应以对应内容名称命名）： ①保险方案； ②项目实施管理目标； ③项目实施计划； ④承保服务实施方案； ⑤服务质量管理及监督措施。</w:t>
            </w:r>
          </w:p>
          <w:p w14:paraId="35C75586">
            <w:pPr>
              <w:keepNext w:val="0"/>
              <w:keepLines w:val="0"/>
              <w:pageBreakBefore w:val="0"/>
              <w:numPr>
                <w:ilvl w:val="0"/>
                <w:numId w:val="2"/>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上述5项内容，每提供一项的得1分，总分5分。（注：以上基本项计分点缺任意一点或没有单独列章节进行说明的，对应项不得分。） </w:t>
            </w:r>
          </w:p>
          <w:p w14:paraId="52E31266">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（2）对投标人提供上述方案的详细内容进行评审： </w:t>
            </w:r>
          </w:p>
          <w:p w14:paraId="6317B682">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①服务方案完整详尽，服务承诺内容对本项目有实际指导意义或优化效果，具备完整的质量控制措施及完备的特殊情况处理措施，内容满足且优于采购需求，得10分；</w:t>
            </w:r>
          </w:p>
          <w:p w14:paraId="3A54CBE1">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②服务方案较详实，具备较完整的质量控制措施及完备的特殊情况处理措施，内容较能满足采购需求，得7分；</w:t>
            </w:r>
          </w:p>
          <w:p w14:paraId="6BAA03A6">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③服务方案完整，具备较完整的质量控制措施及完备的特殊情况处理措施，内容基本满足采购需求，得4分； </w:t>
            </w:r>
          </w:p>
          <w:p w14:paraId="24EDFC47">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④提供了服务方案，但存在内容有缺漏，或难以满足采购需求的，得1分。 </w:t>
            </w:r>
          </w:p>
          <w:p w14:paraId="4B9720FF">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未提供服务方案不得分。</w:t>
            </w:r>
          </w:p>
        </w:tc>
      </w:tr>
      <w:tr w14:paraId="6FE69A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continue"/>
          </w:tcPr>
          <w:p w14:paraId="6CBC3E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42" w:type="dxa"/>
            <w:shd w:val="clear" w:color="auto" w:fill="auto"/>
            <w:vAlign w:val="top"/>
          </w:tcPr>
          <w:p w14:paraId="3B05BD09">
            <w:pPr>
              <w:keepNext w:val="0"/>
              <w:keepLines w:val="0"/>
              <w:pageBreakBefore w:val="0"/>
              <w:widowControl/>
              <w:suppressLineNumbers w:val="0"/>
              <w:kinsoku/>
              <w:wordWrap/>
              <w:overflowPunct/>
              <w:topLinePunct w:val="0"/>
              <w:autoSpaceDE/>
              <w:autoSpaceDN/>
              <w:bidi w:val="0"/>
              <w:spacing w:line="320" w:lineRule="exact"/>
              <w:jc w:val="both"/>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理赔服务方案</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.0分)</w:t>
            </w:r>
          </w:p>
        </w:tc>
        <w:tc>
          <w:tcPr>
            <w:tcW w:w="6425" w:type="dxa"/>
            <w:shd w:val="clear" w:color="auto" w:fill="FFFFFF"/>
            <w:vAlign w:val="top"/>
          </w:tcPr>
          <w:p w14:paraId="49984114">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根据投标人针对项目需求的理赔服务方案进行评审，方案应包括但不仅限于（投标文件中方案标题应以对应内容名称命名）： ①理赔工作内容及理赔工作流程、档案管理、相关理赔管理制度； ②线上理赔和线下理赔模式操作的便捷程度和理赔程序清晰程度； ③小额案件和特殊案件处理流程及理赔时效； ④重大事故应急预案； ⑤赔偿解决方案。 </w:t>
            </w:r>
          </w:p>
          <w:p w14:paraId="537175EA">
            <w:pPr>
              <w:keepNext w:val="0"/>
              <w:keepLines w:val="0"/>
              <w:pageBreakBefore w:val="0"/>
              <w:numPr>
                <w:ilvl w:val="0"/>
                <w:numId w:val="3"/>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上述</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项内容，每提供一项的得</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分，总分</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分。（注：以上基本项计分点缺任意一点或没有单独列章节进行说明的，对应项不得分。） </w:t>
            </w:r>
          </w:p>
          <w:p w14:paraId="5AFAA013">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（2）对投标人提供上述方案的详细内容进行评审：</w:t>
            </w:r>
          </w:p>
          <w:p w14:paraId="21396F9F">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①理赔服务方案非常完整，理赔程序清晰，有线上和线下理赔模式，内容非常详细，小额案件和特殊案件处理流程及理赔时效高效，重大事故应急方案详细完善，有利于项目的实施，完全满足且优于采购需求的，得</w:t>
            </w:r>
            <w:r>
              <w:rPr>
                <w:rFonts w:hint="eastAsia" w:ascii="宋体" w:hAnsi="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p w14:paraId="231FC586">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②理赔服务方案完整，有线上和线下理赔模式，内容较为详细，小额案件和特殊案件处理流程及理赔时效较为高效，重大事故应急方案较完善合理，较为有利于项目的实施，能满足采购需求的，得</w:t>
            </w: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分； </w:t>
            </w:r>
          </w:p>
          <w:p w14:paraId="47CDEBD7">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③理赔服务方案基本完整，有线上和线下理赔模式，内容基本详细，小额案件和特殊案件处理流程及理赔时效合理，重大事故应急方案基本完善，能确保项目的实施，基本满足采购需求的，得</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p w14:paraId="360CC0D1">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④理赔服务方案不完整，仅有线上或线下理赔模式，内容简单，小额案件和特殊案件处理流程及理赔时效低下，重大事故应急方案较差，不能确保项目的实施，部分满足采购需求的，得1分。</w:t>
            </w:r>
          </w:p>
          <w:p w14:paraId="77008D7A">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未提供服务方案不得分。</w:t>
            </w:r>
          </w:p>
        </w:tc>
      </w:tr>
      <w:tr w14:paraId="517D4F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continue"/>
          </w:tcPr>
          <w:p w14:paraId="4A1F94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42" w:type="dxa"/>
            <w:shd w:val="clear" w:color="auto" w:fill="auto"/>
            <w:vAlign w:val="top"/>
          </w:tcPr>
          <w:p w14:paraId="3DF3745F">
            <w:pPr>
              <w:keepNext w:val="0"/>
              <w:keepLines w:val="0"/>
              <w:pageBreakBefore w:val="0"/>
              <w:widowControl/>
              <w:suppressLineNumbers w:val="0"/>
              <w:kinsoku/>
              <w:wordWrap/>
              <w:overflowPunct/>
              <w:topLinePunct w:val="0"/>
              <w:autoSpaceDE/>
              <w:autoSpaceDN/>
              <w:bidi w:val="0"/>
              <w:spacing w:line="320" w:lineRule="exact"/>
              <w:jc w:val="both"/>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cs="宋体"/>
                <w:color w:val="000000" w:themeColor="text1"/>
                <w:kern w:val="0"/>
                <w:sz w:val="21"/>
                <w:szCs w:val="21"/>
                <w:highlight w:val="none"/>
                <w:lang w:val="en-US" w:eastAsia="zh-CN" w:bidi="ar"/>
                <w14:textFill>
                  <w14:solidFill>
                    <w14:schemeClr w14:val="tx1"/>
                  </w14:solidFill>
                </w14:textFill>
              </w:rPr>
              <w:t>风险管控服务</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（10.0分）</w:t>
            </w:r>
          </w:p>
        </w:tc>
        <w:tc>
          <w:tcPr>
            <w:tcW w:w="6425" w:type="dxa"/>
            <w:shd w:val="clear" w:color="auto" w:fill="FFFFFF"/>
            <w:vAlign w:val="top"/>
          </w:tcPr>
          <w:p w14:paraId="2B771D7C">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根据对本项目技术要求所提供的</w:t>
            </w:r>
            <w:r>
              <w:rPr>
                <w:rFonts w:hint="eastAsia" w:cs="宋体"/>
                <w:color w:val="000000" w:themeColor="text1"/>
                <w:kern w:val="0"/>
                <w:sz w:val="21"/>
                <w:szCs w:val="21"/>
                <w:highlight w:val="none"/>
                <w:lang w:val="en-US" w:eastAsia="zh-CN" w:bidi="ar"/>
                <w14:textFill>
                  <w14:solidFill>
                    <w14:schemeClr w14:val="tx1"/>
                  </w14:solidFill>
                </w14:textFill>
              </w:rPr>
              <w:t>风险管控服务</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等进行评审: </w:t>
            </w:r>
          </w:p>
          <w:p w14:paraId="4FEBE3EB">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提出有效风控建议、措施方案具体、科学、可行性高</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，完全满足或优于采购需求的，得10分； </w:t>
            </w:r>
          </w:p>
          <w:p w14:paraId="68BD6F5B">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提出风控建议、措施方案较具体、科学、可行性较高</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，基本满足采购需求的，得</w:t>
            </w: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p w14:paraId="3E1687A3">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提出风控建议、措施方案不够具体、有一定可行性但不足</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，部分满足采购需求的，得</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p w14:paraId="3FB9EAB3">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提出风控建议但不足、措施方案不具体、可行性差</w:t>
            </w:r>
            <w:r>
              <w:rPr>
                <w:rFonts w:hint="eastAsia" w:ascii="宋体" w:hAnsi="宋体" w:eastAsia="宋体" w:cs="宋体"/>
                <w:color w:val="000000" w:themeColor="text1"/>
                <w:sz w:val="21"/>
                <w:szCs w:val="21"/>
                <w:highlight w:val="none"/>
                <w:lang w:val="en-US" w:eastAsia="zh-CN"/>
                <w14:textFill>
                  <w14:solidFill>
                    <w14:schemeClr w14:val="tx1"/>
                  </w14:solidFill>
                </w14:textFill>
              </w:rPr>
              <w:t>，未能满足采购需求的，得1分；</w:t>
            </w:r>
          </w:p>
          <w:p w14:paraId="4E475806">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未提供服务方案不得分。</w:t>
            </w:r>
          </w:p>
        </w:tc>
      </w:tr>
      <w:tr w14:paraId="75FC2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restart"/>
          </w:tcPr>
          <w:p w14:paraId="1D7D93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p>
        </w:tc>
        <w:tc>
          <w:tcPr>
            <w:tcW w:w="1642" w:type="dxa"/>
            <w:shd w:val="clear" w:color="auto" w:fill="auto"/>
            <w:vAlign w:val="top"/>
          </w:tcPr>
          <w:p w14:paraId="0940EC19">
            <w:pPr>
              <w:keepNext w:val="0"/>
              <w:keepLines w:val="0"/>
              <w:pageBreakBefore w:val="0"/>
              <w:widowControl/>
              <w:suppressLineNumbers w:val="0"/>
              <w:kinsoku/>
              <w:wordWrap/>
              <w:overflowPunct/>
              <w:topLinePunct w:val="0"/>
              <w:autoSpaceDE/>
              <w:autoSpaceDN/>
              <w:bidi w:val="0"/>
              <w:spacing w:line="320" w:lineRule="exact"/>
              <w:jc w:val="both"/>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风险综合评级</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(10.0分)</w:t>
            </w:r>
          </w:p>
        </w:tc>
        <w:tc>
          <w:tcPr>
            <w:tcW w:w="6425" w:type="dxa"/>
            <w:shd w:val="clear" w:color="auto" w:fill="auto"/>
            <w:vAlign w:val="center"/>
          </w:tcPr>
          <w:p w14:paraId="3ADAF09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根据投标人总公司2025年第一，二季度风险综合评级(分类监管)结果数据进行评分：</w:t>
            </w:r>
          </w:p>
          <w:p w14:paraId="7819598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(1)季度评级均为A类(含AAA,AA,A)的得5分；(2)季度评级为B类(含BBB,BB,B)的得2.5分；(3)B类以下不得分。本项得分为2025年两个季度得分之和，满分10分。</w:t>
            </w:r>
          </w:p>
          <w:p w14:paraId="71C6416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注：1</w:t>
            </w: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提供投标人总公司季度偿付能力报告摘要并加盖投标人盖章，且相应的季度偿付能力报告摘要需体现2025年第一季度和第二季度风险综合评级(分类监管)结果数据。2</w:t>
            </w: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提供虚假材料谋取中标的，依法移送相关部门处理。</w:t>
            </w:r>
          </w:p>
        </w:tc>
      </w:tr>
      <w:tr w14:paraId="066E34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continue"/>
          </w:tcPr>
          <w:p w14:paraId="4A0097B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42" w:type="dxa"/>
            <w:shd w:val="clear" w:color="auto" w:fill="auto"/>
            <w:vAlign w:val="top"/>
          </w:tcPr>
          <w:p w14:paraId="2B3B1EE6">
            <w:pPr>
              <w:pStyle w:val="19"/>
              <w:keepNext w:val="0"/>
              <w:keepLines w:val="0"/>
              <w:pageBreakBefore w:val="0"/>
              <w:kinsoku/>
              <w:wordWrap/>
              <w:overflowPunct/>
              <w:topLinePunct w:val="0"/>
              <w:autoSpaceDE/>
              <w:autoSpaceDN/>
              <w:bidi w:val="0"/>
              <w:spacing w:line="320" w:lineRule="exact"/>
              <w:jc w:val="both"/>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综合偿付能力</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 (20.0分)</w:t>
            </w:r>
          </w:p>
        </w:tc>
        <w:tc>
          <w:tcPr>
            <w:tcW w:w="6425" w:type="dxa"/>
            <w:shd w:val="clear" w:color="auto" w:fill="auto"/>
            <w:vAlign w:val="top"/>
          </w:tcPr>
          <w:p w14:paraId="55F23602">
            <w:pPr>
              <w:pStyle w:val="19"/>
              <w:keepNext w:val="0"/>
              <w:keepLines w:val="0"/>
              <w:pageBreakBefore w:val="0"/>
              <w:kinsoku/>
              <w:wordWrap/>
              <w:overflowPunct/>
              <w:topLinePunct w:val="0"/>
              <w:autoSpaceDE/>
              <w:autoSpaceDN/>
              <w:bidi w:val="0"/>
              <w:spacing w:line="320" w:lineRule="exact"/>
              <w:jc w:val="left"/>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t>提供2025年三季度综合偿付能力充足率：</w:t>
            </w:r>
          </w:p>
          <w:p w14:paraId="685EF5CB">
            <w:pPr>
              <w:pStyle w:val="19"/>
              <w:keepNext w:val="0"/>
              <w:keepLines w:val="0"/>
              <w:pageBreakBefore w:val="0"/>
              <w:kinsoku/>
              <w:wordWrap/>
              <w:overflowPunct/>
              <w:topLinePunct w:val="0"/>
              <w:autoSpaceDE/>
              <w:autoSpaceDN/>
              <w:bidi w:val="0"/>
              <w:spacing w:line="320" w:lineRule="exact"/>
              <w:jc w:val="left"/>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t>(1)综合偿付能力充足率(%)≥210,得20分；</w:t>
            </w:r>
          </w:p>
          <w:p w14:paraId="299E2A2F">
            <w:pPr>
              <w:pStyle w:val="19"/>
              <w:keepNext w:val="0"/>
              <w:keepLines w:val="0"/>
              <w:pageBreakBefore w:val="0"/>
              <w:kinsoku/>
              <w:wordWrap/>
              <w:overflowPunct/>
              <w:topLinePunct w:val="0"/>
              <w:autoSpaceDE/>
              <w:autoSpaceDN/>
              <w:bidi w:val="0"/>
              <w:spacing w:line="320" w:lineRule="exact"/>
              <w:jc w:val="left"/>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t>(2)综合偿付能力充足率(%)在180(含)-210（不含）范围内，得15分；</w:t>
            </w:r>
          </w:p>
          <w:p w14:paraId="515B2FDD">
            <w:pPr>
              <w:pStyle w:val="19"/>
              <w:keepNext w:val="0"/>
              <w:keepLines w:val="0"/>
              <w:pageBreakBefore w:val="0"/>
              <w:kinsoku/>
              <w:wordWrap/>
              <w:overflowPunct/>
              <w:topLinePunct w:val="0"/>
              <w:autoSpaceDE/>
              <w:autoSpaceDN/>
              <w:bidi w:val="0"/>
              <w:spacing w:line="320" w:lineRule="exact"/>
              <w:jc w:val="left"/>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t>(3)综合偿付能力充足率(%)在150(含)-180（不含）范围内，得10分；</w:t>
            </w:r>
          </w:p>
          <w:p w14:paraId="6022FBF6">
            <w:pPr>
              <w:pStyle w:val="19"/>
              <w:keepNext w:val="0"/>
              <w:keepLines w:val="0"/>
              <w:pageBreakBefore w:val="0"/>
              <w:kinsoku/>
              <w:wordWrap/>
              <w:overflowPunct/>
              <w:topLinePunct w:val="0"/>
              <w:autoSpaceDE/>
              <w:autoSpaceDN/>
              <w:bidi w:val="0"/>
              <w:spacing w:line="320" w:lineRule="exact"/>
              <w:jc w:val="left"/>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t>(4)综合偿付能力充足率(%)&lt;150,不得分。</w:t>
            </w:r>
          </w:p>
          <w:p w14:paraId="74582CC3">
            <w:pPr>
              <w:pStyle w:val="19"/>
              <w:keepNext w:val="0"/>
              <w:keepLines w:val="0"/>
              <w:pageBreakBefore w:val="0"/>
              <w:kinsoku/>
              <w:wordWrap/>
              <w:overflowPunct/>
              <w:topLinePunct w:val="0"/>
              <w:autoSpaceDE/>
              <w:autoSpaceDN/>
              <w:bidi w:val="0"/>
              <w:spacing w:line="320" w:lineRule="exact"/>
              <w:jc w:val="left"/>
              <w:rPr>
                <w:rFonts w:hint="default"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t>注：本项得分须提供中国保险行业协会网站2025年三季度的披露文件中体现的主要指标中本季度的综合偿付能力充足率截图并加盖公章为准，未提供者不计分。(按照查询路径每步截图：中国保险行业协会-信息披露-偿付能力信息披露-财产险公司的单位名称-2025年第三季度偿付能力报告摘要）。</w:t>
            </w:r>
          </w:p>
        </w:tc>
      </w:tr>
      <w:tr w14:paraId="74F64A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continue"/>
          </w:tcPr>
          <w:p w14:paraId="73CFDD9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42" w:type="dxa"/>
            <w:shd w:val="clear" w:color="auto" w:fill="auto"/>
            <w:vAlign w:val="top"/>
          </w:tcPr>
          <w:p w14:paraId="28573D82">
            <w:pPr>
              <w:pStyle w:val="19"/>
              <w:keepNext w:val="0"/>
              <w:keepLines w:val="0"/>
              <w:pageBreakBefore w:val="0"/>
              <w:kinsoku/>
              <w:wordWrap/>
              <w:overflowPunct/>
              <w:topLinePunct w:val="0"/>
              <w:autoSpaceDE/>
              <w:autoSpaceDN/>
              <w:bidi w:val="0"/>
              <w:spacing w:line="320" w:lineRule="exact"/>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cs="宋体"/>
                <w:color w:val="000000" w:themeColor="text1"/>
                <w:kern w:val="0"/>
                <w:sz w:val="21"/>
                <w:szCs w:val="21"/>
                <w:highlight w:val="none"/>
                <w:lang w:val="en-US" w:eastAsia="zh-CN" w:bidi="ar"/>
                <w14:textFill>
                  <w14:solidFill>
                    <w14:schemeClr w14:val="tx1"/>
                  </w14:solidFill>
                </w14:textFill>
              </w:rPr>
              <w:t>理赔经验</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(5.0分)</w:t>
            </w:r>
          </w:p>
        </w:tc>
        <w:tc>
          <w:tcPr>
            <w:tcW w:w="6425" w:type="dxa"/>
            <w:shd w:val="clear" w:color="auto" w:fill="auto"/>
            <w:vAlign w:val="top"/>
          </w:tcPr>
          <w:p w14:paraId="10CEB0D0">
            <w:pPr>
              <w:pStyle w:val="19"/>
              <w:keepNext w:val="0"/>
              <w:keepLines w:val="0"/>
              <w:pageBreakBefore w:val="0"/>
              <w:kinsoku/>
              <w:wordWrap/>
              <w:overflowPunct/>
              <w:topLinePunct w:val="0"/>
              <w:autoSpaceDE/>
              <w:autoSpaceDN/>
              <w:bidi w:val="0"/>
              <w:spacing w:line="320" w:lineRule="exact"/>
              <w:jc w:val="left"/>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t>2022年1月1日至今，投标人参与理赔的建筑工程一切险的保险项目进行评审，每提供一个类似理赔项目得1分，累计最高得5分。</w:t>
            </w:r>
          </w:p>
          <w:p w14:paraId="63C7BAA2">
            <w:pPr>
              <w:pStyle w:val="19"/>
              <w:keepNext w:val="0"/>
              <w:keepLines w:val="0"/>
              <w:pageBreakBefore w:val="0"/>
              <w:kinsoku/>
              <w:wordWrap/>
              <w:overflowPunct/>
              <w:topLinePunct w:val="0"/>
              <w:autoSpaceDE/>
              <w:autoSpaceDN/>
              <w:bidi w:val="0"/>
              <w:spacing w:line="320" w:lineRule="exact"/>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SA"/>
                <w14:textFill>
                  <w14:solidFill>
                    <w14:schemeClr w14:val="tx1"/>
                  </w14:solidFill>
                </w14:textFill>
              </w:rPr>
              <w:t>注：1.理赔经验应附承保项目的保险合同或保单、理赔计算书、支付凭证等证明文件。2.理赔经验时间以实际付款时间为准。3.投标人及下属公司业绩纳入经验计算，其余不得分。须提供保险协议或保险单扫描件/复印件，时间以合同为准；4.类似理赔项目是指：房屋建筑或市政工程一切险的保险项目。</w:t>
            </w:r>
          </w:p>
        </w:tc>
      </w:tr>
      <w:tr w14:paraId="440D19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093" w:type="dxa"/>
            <w:vMerge w:val="continue"/>
          </w:tcPr>
          <w:p w14:paraId="5001639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42" w:type="dxa"/>
            <w:shd w:val="clear" w:color="auto" w:fill="auto"/>
            <w:vAlign w:val="top"/>
          </w:tcPr>
          <w:p w14:paraId="37E9DF46">
            <w:pPr>
              <w:pStyle w:val="19"/>
              <w:keepNext w:val="0"/>
              <w:keepLines w:val="0"/>
              <w:pageBreakBefore w:val="0"/>
              <w:kinsoku/>
              <w:wordWrap/>
              <w:overflowPunct/>
              <w:topLinePunct w:val="0"/>
              <w:autoSpaceDE/>
              <w:autoSpaceDN/>
              <w:bidi w:val="0"/>
              <w:spacing w:line="320" w:lineRule="exact"/>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cs="宋体"/>
                <w:color w:val="000000" w:themeColor="text1"/>
                <w:kern w:val="0"/>
                <w:sz w:val="21"/>
                <w:szCs w:val="21"/>
                <w:highlight w:val="none"/>
                <w:lang w:val="en-US" w:eastAsia="zh-CN" w:bidi="ar"/>
                <w14:textFill>
                  <w14:solidFill>
                    <w14:schemeClr w14:val="tx1"/>
                  </w14:solidFill>
                </w14:textFill>
              </w:rPr>
              <w:t>承保经验</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(15.0分)</w:t>
            </w:r>
          </w:p>
        </w:tc>
        <w:tc>
          <w:tcPr>
            <w:tcW w:w="6425" w:type="dxa"/>
            <w:shd w:val="clear" w:color="auto" w:fill="auto"/>
            <w:vAlign w:val="top"/>
          </w:tcPr>
          <w:p w14:paraId="54276876">
            <w:pPr>
              <w:rPr>
                <w:rFonts w:hint="eastAsia" w:ascii="宋体" w:hAnsi="宋体" w:eastAsia="宋体" w:cs="宋体"/>
                <w:i w:val="0"/>
                <w:iCs w:val="0"/>
                <w:color w:val="000000" w:themeColor="text1"/>
                <w:kern w:val="0"/>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SA"/>
                <w14:textFill>
                  <w14:solidFill>
                    <w14:schemeClr w14:val="tx1"/>
                  </w14:solidFill>
                </w14:textFill>
              </w:rPr>
              <w:t>2022年1月1日至今，投标人参与承保的建筑工程一切险的保险项目业绩进行评审，每提供一个类似项目合同得5分，最高得15分。</w:t>
            </w:r>
          </w:p>
          <w:p w14:paraId="175FD8C5">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SA"/>
                <w14:textFill>
                  <w14:solidFill>
                    <w14:schemeClr w14:val="tx1"/>
                  </w14:solidFill>
                </w14:textFill>
              </w:rPr>
              <w:t>注：1.附上合同作为证明资料，以合同的签订日期或正在实施的项目合同为准，不提供不得分；2.类似项目是指：房屋建筑或市政工程一切险的保险项目。</w:t>
            </w:r>
          </w:p>
        </w:tc>
      </w:tr>
      <w:tr w14:paraId="582DFF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30" w:hRule="atLeast"/>
        </w:trPr>
        <w:tc>
          <w:tcPr>
            <w:tcW w:w="1093" w:type="dxa"/>
          </w:tcPr>
          <w:p w14:paraId="7478E4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tc>
        <w:tc>
          <w:tcPr>
            <w:tcW w:w="1642" w:type="dxa"/>
            <w:vAlign w:val="top"/>
          </w:tcPr>
          <w:p w14:paraId="57A61581">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 (10.0分)</w:t>
            </w:r>
          </w:p>
        </w:tc>
        <w:tc>
          <w:tcPr>
            <w:tcW w:w="6425" w:type="dxa"/>
            <w:vAlign w:val="top"/>
          </w:tcPr>
          <w:p w14:paraId="5FDCF134">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1BF54002">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7ABD188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4C3750AE">
      <w:pPr>
        <w:pStyle w:val="19"/>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51F66E09">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5F2844F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5B56DCA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4D3CC12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4670F02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4DDA656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6655DCC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DC00B4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EFB9CB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47B0277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A79AE8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585744">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390FAEA">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8" w:name="_Toc3976"/>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bookmarkEnd w:id="88"/>
    </w:p>
    <w:p w14:paraId="394825B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18403ACD">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0497923">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497606F9">
      <w:pPr>
        <w:pStyle w:val="19"/>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A29001">
      <w:pPr>
        <w:pStyle w:val="19"/>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7A59B">
      <w:pPr>
        <w:pStyle w:val="19"/>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683E29E5">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7763F208">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44FB8C7">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C332AC">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819311">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EC5F0E">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36A794">
      <w:pPr>
        <w:pStyle w:val="19"/>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BB0B23C">
      <w:pPr>
        <w:pStyle w:val="19"/>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0BB764C6">
      <w:pPr>
        <w:pStyle w:val="19"/>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8A1D3">
      <w:pPr>
        <w:pStyle w:val="19"/>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4E0E203">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9195DC">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0C32DCB">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EFE97C6">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DB46F2">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0B61CB">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B6AE423">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06F65F5D">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7FF74961">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CD38092">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1DAB7EEF">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传真 ：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6A712F23">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乙方：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44C4D873">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传真：</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1795ECC2">
      <w:pPr>
        <w:pStyle w:val="19"/>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06FD348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根据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项目 </w:t>
      </w:r>
      <w:r>
        <w:rPr>
          <w:rFonts w:hint="eastAsia" w:ascii="宋体" w:hAnsi="宋体" w:eastAsia="宋体" w:cs="宋体"/>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的采购结果，按照《中华人民共和国政府采购法》，《中华人民共和国民法典(合同编)》的规定，经双方协商，本着平等互利和诚实信用的原则，一致同意遵守本合同如下。</w:t>
      </w:r>
    </w:p>
    <w:p w14:paraId="2324F150">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一、合同金额</w:t>
      </w:r>
    </w:p>
    <w:p w14:paraId="12F1A9F9">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合同金额为（大写）：_____________元（￥_________元）人民币。</w:t>
      </w:r>
    </w:p>
    <w:p w14:paraId="6F8E236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二、服务范围</w:t>
      </w:r>
    </w:p>
    <w:p w14:paraId="6F4026F5">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甲方聘请乙方提供以下服务：</w:t>
      </w:r>
    </w:p>
    <w:p w14:paraId="49C5CB8C">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w:t>
      </w:r>
      <w:r>
        <w:rPr>
          <w:rFonts w:hint="eastAsia" w:ascii="宋体" w:hAnsi="宋体" w:eastAsia="宋体" w:cs="宋体"/>
          <w:color w:val="000000" w:themeColor="text1"/>
          <w:sz w:val="21"/>
          <w:szCs w:val="21"/>
          <w:highlight w:val="none"/>
          <w:u w:val="single"/>
          <w14:textFill>
            <w14:solidFill>
              <w14:schemeClr w14:val="tx1"/>
            </w14:solidFill>
          </w14:textFill>
        </w:rPr>
        <w:t>　　　　　　　　　　　</w:t>
      </w:r>
      <w:r>
        <w:rPr>
          <w:rFonts w:hint="eastAsia" w:ascii="宋体" w:hAnsi="宋体" w:eastAsia="宋体" w:cs="宋体"/>
          <w:color w:val="000000" w:themeColor="text1"/>
          <w:sz w:val="21"/>
          <w:szCs w:val="21"/>
          <w:highlight w:val="none"/>
          <w14:textFill>
            <w14:solidFill>
              <w14:schemeClr w14:val="tx1"/>
            </w14:solidFill>
          </w14:textFill>
        </w:rPr>
        <w:t>。</w:t>
      </w:r>
    </w:p>
    <w:p w14:paraId="6A8EC229">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w:t>
      </w:r>
      <w:r>
        <w:rPr>
          <w:rFonts w:hint="eastAsia" w:ascii="宋体" w:hAnsi="宋体" w:eastAsia="宋体" w:cs="宋体"/>
          <w:color w:val="000000" w:themeColor="text1"/>
          <w:sz w:val="21"/>
          <w:szCs w:val="21"/>
          <w:highlight w:val="none"/>
          <w:u w:val="single"/>
          <w14:textFill>
            <w14:solidFill>
              <w14:schemeClr w14:val="tx1"/>
            </w14:solidFill>
          </w14:textFill>
        </w:rPr>
        <w:t>　　　　　　　　　　　</w:t>
      </w:r>
    </w:p>
    <w:p w14:paraId="6035AABA">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p w14:paraId="2CBEAFCF">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三、甲方乙方的权利和义务</w:t>
      </w:r>
    </w:p>
    <w:p w14:paraId="5382EE8E">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1.甲方的权利和义务</w:t>
      </w:r>
    </w:p>
    <w:p w14:paraId="71AE3183">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2.乙方的权利和义务</w:t>
      </w:r>
    </w:p>
    <w:p w14:paraId="3F901FCD">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四、服务期间（项目完成期限）</w:t>
      </w:r>
    </w:p>
    <w:p w14:paraId="5742BF0E">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1.委托服务期间自______年______月至______年______月止。</w:t>
      </w:r>
    </w:p>
    <w:p w14:paraId="47DE0186">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五、付款方式</w:t>
      </w:r>
    </w:p>
    <w:p w14:paraId="5B08178E">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由甲方按下列程序在</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内付款：</w:t>
      </w:r>
    </w:p>
    <w:p w14:paraId="6FA0145E">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1.在合同实施及服务人员到达服务地后__天内，甲方应将第一次付　　款总服务费的__(-%)付给乙方。</w:t>
      </w:r>
    </w:p>
    <w:p w14:paraId="19109C31">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2.第二次付款额应为总服务费的__(-%)，甲方应在乙方已经准备好，并递交了服务报告及其它相关文件，而这些报告和文件符合合同附件上的要求并被甲方验收后付给乙方。</w:t>
      </w:r>
    </w:p>
    <w:p w14:paraId="4F2487BE">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3.最后一次付款额应为总服务费的__(-%)，甲方应在乙方递交了服务总结报告和说明并完全履行合同完毕_________日内付给乙方。</w:t>
      </w:r>
    </w:p>
    <w:p w14:paraId="3BE844F2">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0EEF401C">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六、知识产权归属</w:t>
      </w:r>
    </w:p>
    <w:p w14:paraId="34F13E19">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七、保密</w:t>
      </w:r>
    </w:p>
    <w:p w14:paraId="37C63FC3">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八、违约责任与赔偿损失</w:t>
      </w:r>
    </w:p>
    <w:p w14:paraId="7F86E75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1.乙方提供的服务不符合本合同规定的，甲方有权拒收，并且乙方须向甲方方支付本合同总价5%的违约金。</w:t>
      </w:r>
    </w:p>
    <w:p w14:paraId="4CEC236A">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2.乙方未能按本合同规定的交货时间提供服务，从逾期之日起每日按本合同总价3‰的数额向甲方支付违约金；逾期半个月以上的，甲方有权终止合同，由此造成的甲方经济损失由乙方承担。</w:t>
      </w:r>
    </w:p>
    <w:p w14:paraId="73476790">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3.甲方无正当理由拒收接受服务，到期拒付服务款项的，甲方向乙方偿付本合同总的5%的违约金。甲方人逾期付款，则每日按本合同总价的3‰向乙方偿付违约金。</w:t>
      </w:r>
    </w:p>
    <w:p w14:paraId="182A9AE2">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4.对于因甲方原因导致变更、中止或者终止政府采购合同的，甲方应当依照以下合同约定对供应商受到的损失予以赔偿或者补偿：</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1B092939">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5.其它违约责任按《中华人民共和国民法典(合同编)》处理。</w:t>
      </w:r>
    </w:p>
    <w:p w14:paraId="70B7673F">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九、争议的解决</w:t>
      </w:r>
    </w:p>
    <w:p w14:paraId="51D9FA4D">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firstLine="40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合同执行过程中发生的任何争议，如双方不能通过友好协商解决，按相关法律法规处理。     </w:t>
      </w:r>
    </w:p>
    <w:p w14:paraId="65B74F9C">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十、不可抗力</w:t>
      </w:r>
    </w:p>
    <w:p w14:paraId="7D49E1F2">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0F418010">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十一、税费</w:t>
      </w:r>
    </w:p>
    <w:p w14:paraId="1955D3E5">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在中国境内、外发生的与本合同执行有关的一切税费均由乙方负担。</w:t>
      </w:r>
    </w:p>
    <w:p w14:paraId="620A70A1">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十二、其它</w:t>
      </w:r>
    </w:p>
    <w:p w14:paraId="23902ED4">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1.本合同所有附件、招标文件、投标文件、中标通知书均为合同的有效组成部分，与本合同具有同等法律效力。</w:t>
      </w:r>
    </w:p>
    <w:p w14:paraId="76BD4835">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2.在执行本合同的过程中，所有经双方签署确认的文件（包括会议纪要、补充协议、往来信函）即成为本合同的有效组成部分。</w:t>
      </w:r>
    </w:p>
    <w:p w14:paraId="2BA0FC86">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3.如一方地址、电话、传真号码有变更，应在变更当日内书面通知对方，否则，应承担相应责任。</w:t>
      </w:r>
    </w:p>
    <w:p w14:paraId="0F2F4687">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4.除甲方事先书面同意外，乙方不得部分或全部转让其应履行的合同项下的义务。</w:t>
      </w:r>
    </w:p>
    <w:p w14:paraId="1A49E2FA">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十三、合同生效</w:t>
      </w:r>
    </w:p>
    <w:p w14:paraId="7E6D7563">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1.本合同在甲乙双方法人代表或其授权代表签字盖章后生效。</w:t>
      </w:r>
    </w:p>
    <w:p w14:paraId="55A5689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2.合同一式</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份。</w:t>
      </w:r>
    </w:p>
    <w:p w14:paraId="037F7ECA">
      <w:pPr>
        <w:pStyle w:val="19"/>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6BFC5027">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甲方（盖章）：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乙方（盖章）：</w:t>
      </w:r>
    </w:p>
    <w:p w14:paraId="531CA014">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代表：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代表：</w:t>
      </w:r>
    </w:p>
    <w:p w14:paraId="5D83F21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签订地点：</w:t>
      </w:r>
    </w:p>
    <w:p w14:paraId="428FEB9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签订日期：　　　年　　月　　日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签订日期：　　　年　　月　　日</w:t>
      </w:r>
    </w:p>
    <w:p w14:paraId="6344F802">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开户名称：</w:t>
      </w:r>
    </w:p>
    <w:p w14:paraId="785E5D1D">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银行帐号：</w:t>
      </w:r>
    </w:p>
    <w:p w14:paraId="3AFAF099">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 户 行：</w:t>
      </w:r>
    </w:p>
    <w:p w14:paraId="1D26F66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F09875B">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0B60BD1B">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9" w:name="_Toc24684"/>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bookmarkEnd w:id="89"/>
    </w:p>
    <w:p w14:paraId="59B65CA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5250715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341DFB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75C3E5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89B0BD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1E23D19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11D365D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0E59593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69C4EEA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2447CF4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0ACEEA1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52F7002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1811C776">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3762191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2E230EA7">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bookmarkStart w:id="90" w:name="_Toc17975"/>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bookmarkEnd w:id="90"/>
    </w:p>
    <w:p w14:paraId="207F05C8">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581D03B8">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4CA4AA58">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2C30717E">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45D736D4">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YXCG-202600624</w:t>
      </w:r>
    </w:p>
    <w:p w14:paraId="7DF91495">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21D3472F">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3B29383D">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1AE1559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56A603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64F73D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BD54478">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1" w:name="_Toc8097"/>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bookmarkEnd w:id="91"/>
    </w:p>
    <w:p w14:paraId="74FFEE6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2312AC0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64F5FA0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13AC119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08140FE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2B4D583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1D45EC9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03ECA84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46B63BA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77B46A9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3566B3F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7779079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6C3F54D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55754EE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5E38791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54D3976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1E5D1C9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2528062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35AAEDA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0EF70B7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0F49F83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5B27CE0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76F293A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04DFD32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1E9216E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25D72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F8892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C506B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603A62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AFA925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60F86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00FD7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8A1016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E42DA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2" w:name="_Toc3032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格式一：投标函</w:t>
      </w:r>
      <w:bookmarkEnd w:id="92"/>
    </w:p>
    <w:p w14:paraId="76A39A0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FB71F5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505DE0B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1342630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YXCG-202600624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258D776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74E347C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4F5C30B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70E44C7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710DC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AF3AA1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49006BB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54107C9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04BF31E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1B55791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8D8932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0F2DC86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4DF2E18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C4AF6E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777C68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5183801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6357B6F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77FE5DE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507CF36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5C65754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6E6A319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626DD04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2F5E4C5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30CD4C1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B1ACAA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2742A57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3A72D0B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D0453C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499545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A7110E4">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3192CDAE">
      <w:pPr>
        <w:rPr>
          <w:rFonts w:hint="eastAsia"/>
          <w:color w:val="000000" w:themeColor="text1"/>
          <w:highlight w:val="none"/>
          <w14:textFill>
            <w14:solidFill>
              <w14:schemeClr w14:val="tx1"/>
            </w14:solidFill>
          </w14:textFill>
        </w:rPr>
      </w:pPr>
    </w:p>
    <w:p w14:paraId="40707F08">
      <w:pPr>
        <w:rPr>
          <w:rFonts w:hint="eastAsia"/>
          <w:color w:val="000000" w:themeColor="text1"/>
          <w:highlight w:val="none"/>
          <w14:textFill>
            <w14:solidFill>
              <w14:schemeClr w14:val="tx1"/>
            </w14:solidFill>
          </w14:textFill>
        </w:rPr>
      </w:pPr>
    </w:p>
    <w:p w14:paraId="6D305A8F">
      <w:pPr>
        <w:rPr>
          <w:rFonts w:hint="eastAsia"/>
          <w:color w:val="000000" w:themeColor="text1"/>
          <w:highlight w:val="none"/>
          <w14:textFill>
            <w14:solidFill>
              <w14:schemeClr w14:val="tx1"/>
            </w14:solidFill>
          </w14:textFill>
        </w:rPr>
      </w:pPr>
    </w:p>
    <w:p w14:paraId="701D9689">
      <w:pPr>
        <w:rPr>
          <w:rFonts w:hint="eastAsia"/>
          <w:color w:val="000000" w:themeColor="text1"/>
          <w:highlight w:val="none"/>
          <w14:textFill>
            <w14:solidFill>
              <w14:schemeClr w14:val="tx1"/>
            </w14:solidFill>
          </w14:textFill>
        </w:rPr>
      </w:pPr>
    </w:p>
    <w:p w14:paraId="5FCF5025">
      <w:pPr>
        <w:rPr>
          <w:rFonts w:hint="eastAsia"/>
          <w:color w:val="000000" w:themeColor="text1"/>
          <w:highlight w:val="none"/>
          <w14:textFill>
            <w14:solidFill>
              <w14:schemeClr w14:val="tx1"/>
            </w14:solidFill>
          </w14:textFill>
        </w:rPr>
      </w:pPr>
    </w:p>
    <w:p w14:paraId="73BD6DEC">
      <w:pPr>
        <w:rPr>
          <w:rFonts w:hint="eastAsia"/>
          <w:color w:val="000000" w:themeColor="text1"/>
          <w:highlight w:val="none"/>
          <w14:textFill>
            <w14:solidFill>
              <w14:schemeClr w14:val="tx1"/>
            </w14:solidFill>
          </w14:textFill>
        </w:rPr>
      </w:pPr>
    </w:p>
    <w:p w14:paraId="261C1F62">
      <w:pPr>
        <w:rPr>
          <w:rFonts w:hint="eastAsia"/>
          <w:color w:val="000000" w:themeColor="text1"/>
          <w:highlight w:val="none"/>
          <w14:textFill>
            <w14:solidFill>
              <w14:schemeClr w14:val="tx1"/>
            </w14:solidFill>
          </w14:textFill>
        </w:rPr>
      </w:pPr>
    </w:p>
    <w:p w14:paraId="08BA5173">
      <w:pPr>
        <w:rPr>
          <w:rFonts w:hint="eastAsia"/>
          <w:color w:val="000000" w:themeColor="text1"/>
          <w:highlight w:val="none"/>
          <w14:textFill>
            <w14:solidFill>
              <w14:schemeClr w14:val="tx1"/>
            </w14:solidFill>
          </w14:textFill>
        </w:rPr>
      </w:pPr>
    </w:p>
    <w:p w14:paraId="62E74CD5">
      <w:pPr>
        <w:rPr>
          <w:rFonts w:hint="eastAsia"/>
          <w:color w:val="000000" w:themeColor="text1"/>
          <w:highlight w:val="none"/>
          <w14:textFill>
            <w14:solidFill>
              <w14:schemeClr w14:val="tx1"/>
            </w14:solidFill>
          </w14:textFill>
        </w:rPr>
      </w:pPr>
    </w:p>
    <w:p w14:paraId="25C4A467">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5E15902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3" w:name="_Toc3237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格式二：开标一览表</w:t>
      </w:r>
      <w:bookmarkEnd w:id="93"/>
    </w:p>
    <w:p w14:paraId="6C181EC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B6CB39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7C4FADF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AF0BC8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6113A8E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7631E8F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2FE8CE3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298FC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302CC1A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10" w:type="dxa"/>
            <w:vAlign w:val="center"/>
          </w:tcPr>
          <w:p w14:paraId="5DA1C134">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2899" w:type="dxa"/>
            <w:vAlign w:val="center"/>
          </w:tcPr>
          <w:p w14:paraId="44A3EEA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00D957B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080" w:type="dxa"/>
            <w:vAlign w:val="center"/>
          </w:tcPr>
          <w:p w14:paraId="4AB2223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w:t>
            </w:r>
          </w:p>
          <w:p w14:paraId="43A41DA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服务期</w:t>
            </w:r>
          </w:p>
        </w:tc>
        <w:tc>
          <w:tcPr>
            <w:tcW w:w="1230" w:type="dxa"/>
            <w:vAlign w:val="center"/>
          </w:tcPr>
          <w:p w14:paraId="223E8D44">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776" w:type="dxa"/>
            <w:vAlign w:val="center"/>
          </w:tcPr>
          <w:p w14:paraId="00B67F4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72585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5248791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010" w:type="dxa"/>
          </w:tcPr>
          <w:p w14:paraId="5102FB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2A22D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5C252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1522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899" w:type="dxa"/>
          </w:tcPr>
          <w:p w14:paraId="5A36E837">
            <w:pPr>
              <w:spacing w:line="360" w:lineRule="auto"/>
              <w:rPr>
                <w:rFonts w:hint="eastAsia" w:ascii="宋体" w:hAnsi="宋体"/>
                <w:bCs/>
                <w:color w:val="000000" w:themeColor="text1"/>
                <w:highlight w:val="none"/>
                <w14:textFill>
                  <w14:solidFill>
                    <w14:schemeClr w14:val="tx1"/>
                  </w14:solidFill>
                </w14:textFill>
              </w:rPr>
            </w:pPr>
          </w:p>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3A2CF109">
            <w:pPr>
              <w:spacing w:line="360" w:lineRule="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080" w:type="dxa"/>
          </w:tcPr>
          <w:p w14:paraId="4D3CA14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30" w:type="dxa"/>
          </w:tcPr>
          <w:p w14:paraId="671C077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76" w:type="dxa"/>
          </w:tcPr>
          <w:p w14:paraId="11EBA2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B8EF32F">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C6F0EE3">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2262AA0D">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2C43B35C">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5C142DA">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“开标一览表”，一份单独密封于一信封内，一份装订入投标文件正本。</w:t>
      </w:r>
    </w:p>
    <w:p w14:paraId="5BD009C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BF292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39DC8A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8D8E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A9D15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DD118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190DC31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D5F644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FD495A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E5060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8F2C0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DE8CF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1108C8">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2B08A">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7A8A58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4" w:name="_Toc2455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格式三：分项报价表</w:t>
      </w:r>
      <w:bookmarkEnd w:id="94"/>
    </w:p>
    <w:p w14:paraId="5EE9D84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10D23A">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3F3B137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588169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1E3DE2E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22540ED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7821629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5BB1283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30A4D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7F2D6F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315F194">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1193062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w:t>
            </w:r>
          </w:p>
          <w:p w14:paraId="74809B0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6A31C9A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规格</w:t>
            </w:r>
          </w:p>
          <w:p w14:paraId="4A4C0F8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20382DF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4915826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5BA30CB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制造商</w:t>
            </w:r>
          </w:p>
          <w:p w14:paraId="2BCED8D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3E7E8E7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560690E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1494613D">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281E7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3E3417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18C6542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16468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C8A5C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20CE46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29E584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14625B1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F01D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9449A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6A0540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9A2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A63403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6CF2A8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4F0923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D9EE36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6B276E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1EEB411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04EEB65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26F7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B894B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55EBD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6820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D97C71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CDB048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D2E79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CED783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7DA0F3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65D7181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2475E90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FF69D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8A2B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2972E43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4934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A4B748">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26A2CD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54FE1C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21A6B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CAD8D9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6025674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2984970">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7333C6A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AD6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0A16FF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2519F56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0CEA5E6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7F65296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3DB53A1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F716F8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1078C75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225049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4FC4602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0498883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6457DE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4C3A274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6B3B1D6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0BE587B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75887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9B42B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667A42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85898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9F7763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6A76F3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4F60F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C8FCE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7CA27F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6CC8E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7EFBD79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048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79C3E9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3C61CC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56C050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A78C21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477A0B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02BCD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15A7267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8B4A96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C5529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9007AE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1107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8ADB2A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88F22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7D6C0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04BCD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19471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DB5BE0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490F8A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60654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935EC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C814FC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91F2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BB92B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7C24AF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206884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6331618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634BA60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7496768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1E56F916">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0217A39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FF5189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B0D79E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ABAAF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CE28D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5A8923C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CB41F6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FF21B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C64944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2F8EC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5" w:name="_Toc1286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格式四：政策适用性说明</w:t>
      </w:r>
      <w:bookmarkEnd w:id="95"/>
    </w:p>
    <w:p w14:paraId="10E51DD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94194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35D1C30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134"/>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29FB75A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038" w:type="dxa"/>
            <w:vAlign w:val="top"/>
          </w:tcPr>
          <w:p w14:paraId="0DAF407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038" w:type="dxa"/>
            <w:vAlign w:val="top"/>
          </w:tcPr>
          <w:p w14:paraId="5231385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038" w:type="dxa"/>
            <w:vAlign w:val="top"/>
          </w:tcPr>
          <w:p w14:paraId="1EA245E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038" w:type="dxa"/>
            <w:vAlign w:val="top"/>
          </w:tcPr>
          <w:p w14:paraId="4EEF859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038" w:type="dxa"/>
            <w:vAlign w:val="top"/>
          </w:tcPr>
          <w:p w14:paraId="7EC28D7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038" w:type="dxa"/>
            <w:vAlign w:val="top"/>
          </w:tcPr>
          <w:p w14:paraId="6E3BE31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038" w:type="dxa"/>
            <w:vAlign w:val="top"/>
          </w:tcPr>
          <w:p w14:paraId="2D71ABA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DF1C23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038" w:type="dxa"/>
            <w:vAlign w:val="top"/>
          </w:tcPr>
          <w:p w14:paraId="505E6A2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0D213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F83985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E1C8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9A590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321A1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881D2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46F81A3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038" w:type="dxa"/>
            <w:vAlign w:val="top"/>
          </w:tcPr>
          <w:p w14:paraId="7DB2F7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395701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4B28FC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3A858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37C06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5A193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97267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B27F58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038" w:type="dxa"/>
            <w:vAlign w:val="top"/>
          </w:tcPr>
          <w:p w14:paraId="103BB7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26523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DD20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D251B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D12E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99D7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72462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B3FBDF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038" w:type="dxa"/>
            <w:vAlign w:val="top"/>
          </w:tcPr>
          <w:p w14:paraId="53F9F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97F84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40718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64701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194BF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88E73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F6593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69D053E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038" w:type="dxa"/>
            <w:vAlign w:val="top"/>
          </w:tcPr>
          <w:p w14:paraId="62CF4E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F9E3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AD515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36606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7442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DBD846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7954D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06F5DAF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038" w:type="dxa"/>
            <w:vAlign w:val="top"/>
          </w:tcPr>
          <w:p w14:paraId="18F6A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90E1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BA7C2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667B06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2BDBC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437CC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9CB7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1ED359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3CF4B4A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5F79B48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01022CC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079D75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2259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EC89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3D526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4DBEF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F4765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3714B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22AC9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1E34C6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5DD96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9BA808">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6" w:name="_Toc2805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bookmarkEnd w:id="96"/>
    </w:p>
    <w:p w14:paraId="29AEDC4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24C64BBC">
      <w:pPr>
        <w:pStyle w:val="19"/>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19"/>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2FE3DB4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31E1C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98273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9432F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B45E5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22439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95D74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F9261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45D78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06D9E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802E9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2979D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62DCC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9CCCAC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2BDF0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2E520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7F4E2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88DA1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900E4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FB0D9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49CD3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B8718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04517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90471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2108A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3D7C4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692840CC">
      <w:pPr>
        <w:pStyle w:val="19"/>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6F7C472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E82E612">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7D5567BA">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3D470070">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51E5AE4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D4472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66D4F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71B3D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92AC5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DA872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AB997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D1DE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3C4CE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CAAB6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F5649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A495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AA626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29F5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B3C14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A5A8A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6F0815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0B734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0E4E7">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2C90222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5A417AAF">
      <w:pPr>
        <w:pStyle w:val="19"/>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0807FB0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4E6CC4">
      <w:pPr>
        <w:pStyle w:val="19"/>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7CA04A87">
      <w:pPr>
        <w:pStyle w:val="19"/>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21A4EC71">
      <w:pPr>
        <w:pStyle w:val="19"/>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0204E61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2F42D20E">
      <w:pPr>
        <w:pStyle w:val="19"/>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13727404">
      <w:pPr>
        <w:pStyle w:val="19"/>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2B5FF3F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70756702">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54B8F90">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1DA666FD">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7961092A">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54854190">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00CDD3F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8CE31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7D65A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5A30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9F0F0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BEACE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1328A733">
      <w:pPr>
        <w:pStyle w:val="19"/>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68E901EE">
      <w:pPr>
        <w:pStyle w:val="19"/>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19"/>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063C4090">
      <w:pPr>
        <w:pStyle w:val="19"/>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00FC25">
      <w:pPr>
        <w:pStyle w:val="19"/>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200B4201">
      <w:pPr>
        <w:pStyle w:val="19"/>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4FE752F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06D7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C46F0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54AFF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AC45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24716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BDC21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02CE9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5B8D7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25EA5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103C7F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F161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2CA7D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C4A41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BCF0A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19E4B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6386B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C7FA0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5109E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737ED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3EB8E87F">
      <w:pPr>
        <w:pStyle w:val="19"/>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4A0B93DC">
      <w:pPr>
        <w:pStyle w:val="19"/>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F76FDD">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610A9504">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001F5FA6">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C28580">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2482FB">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3216AAB">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203A98">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7BDDC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EECC4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8870A4">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AF2596">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10D042">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E9632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AA2989">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EB1E48">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1490A8">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BA1820">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5BF3C">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1E0F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4F3DBB">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1FB63">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CFEFA2">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75AF1E">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8446E9">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FE9B8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7B0D7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62A5BE">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FD036F">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F780BE">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5153F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7" w:name="_Toc849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证明书</w:t>
      </w:r>
      <w:bookmarkEnd w:id="97"/>
    </w:p>
    <w:p w14:paraId="1907FBA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E8601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EF3D3E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5572478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60315CB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6459E46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1ACFCA8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57C2B25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092DBC5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10D354C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2A1BDA8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2BAB97E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751FC1D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4A542A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C59251">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3AA5191">
      <w:pPr>
        <w:spacing w:line="480" w:lineRule="exact"/>
        <w:ind w:firstLine="420" w:firstLineChars="200"/>
        <w:rPr>
          <w:rFonts w:ascii="宋体" w:hAnsi="宋体"/>
          <w:color w:val="000000" w:themeColor="text1"/>
          <w:highlight w:val="none"/>
          <w14:textFill>
            <w14:solidFill>
              <w14:schemeClr w14:val="tx1"/>
            </w14:solidFill>
          </w14:textFill>
        </w:rPr>
      </w:pPr>
    </w:p>
    <w:p w14:paraId="033D00DE">
      <w:pPr>
        <w:pStyle w:val="4"/>
        <w:rPr>
          <w:rFonts w:hAnsi="宋体"/>
          <w:color w:val="000000" w:themeColor="text1"/>
          <w:sz w:val="21"/>
          <w:highlight w:val="none"/>
          <w14:textFill>
            <w14:solidFill>
              <w14:schemeClr w14:val="tx1"/>
            </w14:solidFill>
          </w14:textFill>
        </w:rPr>
      </w:pPr>
    </w:p>
    <w:p w14:paraId="3B3AC4AB">
      <w:pPr>
        <w:pStyle w:val="4"/>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50E9449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8" w:name="_Toc803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授权书</w:t>
      </w:r>
      <w:bookmarkEnd w:id="98"/>
    </w:p>
    <w:p w14:paraId="09A847A8">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6ECB4C8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1BF3FC8">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58AD744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0FA6FD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YXCG-202600624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A0A0D5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51214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29615F8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4582433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4B9F6E1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1822B01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0375031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A665BE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8B0494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13BAA14">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rPr>
          <w:color w:val="000000" w:themeColor="text1"/>
          <w:highlight w:val="none"/>
          <w14:textFill>
            <w14:solidFill>
              <w14:schemeClr w14:val="tx1"/>
            </w14:solidFill>
          </w14:textFill>
        </w:rPr>
      </w:pPr>
    </w:p>
    <w:p w14:paraId="15B53DA7">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1270</wp:posOffset>
                </wp:positionV>
                <wp:extent cx="4933950" cy="2294255"/>
                <wp:effectExtent l="4445" t="5080" r="14605" b="571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0.1pt;height:180.65pt;width:388.5pt;z-index:251661312;mso-width-relative:page;mso-height-relative:page;" fillcolor="#FFFFFF" filled="t" stroked="t" coordsize="21600,21600" o:gfxdata="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2+frPUAAAABwEA&#10;AA8AAAAAAAAAAQAgAAAAIgAAAGRycy9kb3ducmV2LnhtbFBLAQIUABQAAAAIAIdO4kAZT6w0VwIA&#10;AKQEAAAOAAAAAAAAAAEAIAAAACMBAABkcnMvZTJvRG9jLnhtbFBLBQYAAAAABgAGAFkBAADsBQAA&#10;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7BB6F9F7">
      <w:pPr>
        <w:rPr>
          <w:color w:val="000000" w:themeColor="text1"/>
          <w:highlight w:val="none"/>
          <w14:textFill>
            <w14:solidFill>
              <w14:schemeClr w14:val="tx1"/>
            </w14:solidFill>
          </w14:textFill>
        </w:rPr>
      </w:pPr>
    </w:p>
    <w:p w14:paraId="4B046B1A">
      <w:pPr>
        <w:rPr>
          <w:color w:val="000000" w:themeColor="text1"/>
          <w:highlight w:val="none"/>
          <w14:textFill>
            <w14:solidFill>
              <w14:schemeClr w14:val="tx1"/>
            </w14:solidFill>
          </w14:textFill>
        </w:rPr>
      </w:pPr>
    </w:p>
    <w:p w14:paraId="5387BD6C">
      <w:pPr>
        <w:rPr>
          <w:color w:val="000000" w:themeColor="text1"/>
          <w:highlight w:val="none"/>
          <w14:textFill>
            <w14:solidFill>
              <w14:schemeClr w14:val="tx1"/>
            </w14:solidFill>
          </w14:textFill>
        </w:rPr>
      </w:pPr>
    </w:p>
    <w:p w14:paraId="0792B6E5">
      <w:pPr>
        <w:rPr>
          <w:color w:val="000000" w:themeColor="text1"/>
          <w:highlight w:val="none"/>
          <w14:textFill>
            <w14:solidFill>
              <w14:schemeClr w14:val="tx1"/>
            </w14:solidFill>
          </w14:textFill>
        </w:rPr>
      </w:pPr>
    </w:p>
    <w:p w14:paraId="7855A2DE">
      <w:pPr>
        <w:rPr>
          <w:color w:val="000000" w:themeColor="text1"/>
          <w:highlight w:val="none"/>
          <w14:textFill>
            <w14:solidFill>
              <w14:schemeClr w14:val="tx1"/>
            </w14:solidFill>
          </w14:textFill>
        </w:rPr>
      </w:pPr>
    </w:p>
    <w:p w14:paraId="2371E52F">
      <w:pPr>
        <w:rPr>
          <w:color w:val="000000" w:themeColor="text1"/>
          <w:highlight w:val="none"/>
          <w14:textFill>
            <w14:solidFill>
              <w14:schemeClr w14:val="tx1"/>
            </w14:solidFill>
          </w14:textFill>
        </w:rPr>
      </w:pPr>
    </w:p>
    <w:p w14:paraId="56CF39DD">
      <w:pPr>
        <w:rPr>
          <w:color w:val="000000" w:themeColor="text1"/>
          <w:highlight w:val="none"/>
          <w14:textFill>
            <w14:solidFill>
              <w14:schemeClr w14:val="tx1"/>
            </w14:solidFill>
          </w14:textFill>
        </w:rPr>
      </w:pPr>
    </w:p>
    <w:p w14:paraId="4CB46427">
      <w:pPr>
        <w:rPr>
          <w:color w:val="000000" w:themeColor="text1"/>
          <w:highlight w:val="none"/>
          <w14:textFill>
            <w14:solidFill>
              <w14:schemeClr w14:val="tx1"/>
            </w14:solidFill>
          </w14:textFill>
        </w:rPr>
      </w:pPr>
    </w:p>
    <w:p w14:paraId="7615FAB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9" w:name="_Toc1540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格式八：投标保证金</w:t>
      </w:r>
      <w:bookmarkEnd w:id="99"/>
    </w:p>
    <w:p w14:paraId="6AEE07B4">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BA277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11ED82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598F2FE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45F88A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2C320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1D7D34">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0" w:name="_Toc1463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格式九：提供具有独立承担民事责任的能力的证明材料</w:t>
      </w:r>
      <w:bookmarkEnd w:id="100"/>
    </w:p>
    <w:p w14:paraId="69BB158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4E89DF6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64CE26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95184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63171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1" w:name="_Toc1527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格式十：资格性审查要求的其他资质证明文件</w:t>
      </w:r>
      <w:bookmarkEnd w:id="101"/>
    </w:p>
    <w:p w14:paraId="659E221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9E0ADD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55518FA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75DBADC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DFBC0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EB6BD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B4CD7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FDF2B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4561C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C8E6B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EDCDD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99EEB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52709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49B7F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BA88678">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A5C16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CBA44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2" w:name="_Toc1144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格式十一：承诺函</w:t>
      </w:r>
      <w:bookmarkEnd w:id="102"/>
    </w:p>
    <w:p w14:paraId="462DCA6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7F51F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5A558ED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38048E3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阳江市江城区卫生健康局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7D389E7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31599EB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6BC7486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560F0C6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6D3F299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075A431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75C3E6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A21091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3D7536E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2E4AAB3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2C2A62E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163426F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20672F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EE59C7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3322B15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4CDE3BD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3873C0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3A9F369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3B6C016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417C980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DF9205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3" w:name="_Toc28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格式十二：中小企业声明函</w:t>
      </w:r>
      <w:bookmarkEnd w:id="103"/>
    </w:p>
    <w:p w14:paraId="44FF4C1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6BDDD9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425EE5C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72A3B67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552D8E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3B9C54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5F6E0D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602955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F4AC98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460B0F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7B08A8D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2CF64D9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C95CF7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  </w:t>
      </w:r>
    </w:p>
    <w:p w14:paraId="62FE2572">
      <w:pP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page"/>
      </w:r>
    </w:p>
    <w:p w14:paraId="6DEE2D8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A3DABF7">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400D572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BAAA3C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8F73FF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231A06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F8A43B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34AF79E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422B80B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05E062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001642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5894684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0F9704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36F54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8F006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F7E5F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45C4B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C27AF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4" w:name="_Toc662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格式十三：监狱企业</w:t>
      </w:r>
      <w:bookmarkEnd w:id="104"/>
    </w:p>
    <w:p w14:paraId="74EFF51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77BB8C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124201E">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6AD5909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67F2631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5CC167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F8E0E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C4D4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18AAF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5D370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BB1AF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5" w:name="_Toc1030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格式十四：残疾人福利性单位声明函</w:t>
      </w:r>
      <w:bookmarkEnd w:id="105"/>
    </w:p>
    <w:p w14:paraId="0E3F77E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26C1E8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5766B78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6FB004D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674C9A9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0641F50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95A600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0AE0D74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8D8F16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53AB3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B07A2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AF5C2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6" w:name="_Toc2539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格式十五：联合体共同投标协议书</w:t>
      </w:r>
      <w:bookmarkEnd w:id="106"/>
    </w:p>
    <w:p w14:paraId="39CD9B4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5B84E5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EF75AE4">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5749025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48C04FB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D4C12A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0986236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208FB81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6779C30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6074623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7038DC7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222C44F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161BCDA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2CF18DB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0EE5278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727F6A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77B0297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3E86305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08A5D7E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02CA499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396A63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8CD737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ED75AE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29BEB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E2A4D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87A5F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CE9E8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24E0D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BB1B4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4210A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6979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97369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89E84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C6368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69C87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67E7D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64164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26FE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E7627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C1FDC1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526AA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7" w:name="_Toc2873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格式十六：投标人业绩情况表</w:t>
      </w:r>
      <w:bookmarkEnd w:id="107"/>
    </w:p>
    <w:p w14:paraId="1F96257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122D5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070A8D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5"/>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C14C41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03A7CA0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0510A9C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45C6348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671566C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7DA8597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5DA551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7CD97D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D9B77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B72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415082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9E1D0A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761FC3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089925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ADE0D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BAE9B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802E0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06375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4D28C7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4558FF3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26189D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FA2A6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7ECB3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9B945B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07F910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062579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2A4C4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59691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B58F4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BD1BC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C64A5D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7A4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ECBCE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9D2E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BAD3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22D5F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AF1758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79783F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E2C068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F2174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B11C1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7BA13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EFED6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59669D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74095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F9999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B2EF3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60BCF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1E95D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1AAA9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2E760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8E81C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561B1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58760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8" w:name="_Toc3252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格式十七：《技术和服务要求响应表》</w:t>
      </w:r>
      <w:bookmarkEnd w:id="108"/>
    </w:p>
    <w:p w14:paraId="70AFD61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B75D1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A05AAE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0260620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5E5058C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4A01D66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11344E4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69D8CF6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420F643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48F45EC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01787CE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52B1FE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7D07B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CD64C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0990C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00487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7EF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4F86A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0C8923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91CAD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8CF1E1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0EE801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47E0B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C6A0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F069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065C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2109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BB24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698CE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1C4FDA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0F61C6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9139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1B6D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A8E418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8ACCE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5A4790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DEE82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65BE83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40581F7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67CE6F3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7B92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E5ECB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9C67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F375D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064D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084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B44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4D9407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0F06BA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AFEAB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8B096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8EEA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FECD5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3FCAF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E1C62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744A8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05962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16E760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3AB49F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243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FD19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0480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6D5EC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5D9CC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9214E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3D2AC3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108A93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5D8A3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8B2A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D761B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6DC5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8E16B5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E667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8E5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6D2139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1838461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03E36E3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3EC6958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7B20544">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9" w:name="_Toc883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格式十八：《商务条件响应表》</w:t>
      </w:r>
      <w:bookmarkEnd w:id="109"/>
    </w:p>
    <w:p w14:paraId="518C213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C31EF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3F69855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296" w:type="dxa"/>
            <w:vAlign w:val="top"/>
          </w:tcPr>
          <w:p w14:paraId="641AF8D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296" w:type="dxa"/>
            <w:vAlign w:val="top"/>
          </w:tcPr>
          <w:p w14:paraId="7B18919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296" w:type="dxa"/>
            <w:vAlign w:val="top"/>
          </w:tcPr>
          <w:p w14:paraId="56D6A0F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296" w:type="dxa"/>
            <w:vAlign w:val="top"/>
          </w:tcPr>
          <w:p w14:paraId="17504B6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296" w:type="dxa"/>
            <w:vAlign w:val="top"/>
          </w:tcPr>
          <w:p w14:paraId="7F05847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296" w:type="dxa"/>
            <w:vAlign w:val="top"/>
          </w:tcPr>
          <w:p w14:paraId="461AC48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D67B32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296" w:type="dxa"/>
            <w:vAlign w:val="top"/>
          </w:tcPr>
          <w:p w14:paraId="46B8ED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1CF0F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AF30A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249F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009429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082B0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2F572F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296" w:type="dxa"/>
            <w:vAlign w:val="top"/>
          </w:tcPr>
          <w:p w14:paraId="391E69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FF04FE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9FEE6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0542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88528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A47E17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5B8F5D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296" w:type="dxa"/>
            <w:vAlign w:val="top"/>
          </w:tcPr>
          <w:p w14:paraId="18BF88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1ADC51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F88A4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18EA2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1C54C9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D2F65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6238325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296" w:type="dxa"/>
            <w:vAlign w:val="top"/>
          </w:tcPr>
          <w:p w14:paraId="5D9E275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8FD81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4C5D9E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A3C82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CF1CC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3FF1BF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4D95A4C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296" w:type="dxa"/>
            <w:vAlign w:val="top"/>
          </w:tcPr>
          <w:p w14:paraId="3D18DF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F0C7F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E252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0E13B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50385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973BE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F0902A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296" w:type="dxa"/>
            <w:vAlign w:val="top"/>
          </w:tcPr>
          <w:p w14:paraId="78C7047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CF21CC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70AB4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19601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E9D2D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88D86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5B401F3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296" w:type="dxa"/>
            <w:vAlign w:val="top"/>
          </w:tcPr>
          <w:p w14:paraId="106338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359F2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4E7AB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E62E21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39DA6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690EC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1A0671B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296" w:type="dxa"/>
            <w:vAlign w:val="top"/>
          </w:tcPr>
          <w:p w14:paraId="4697ED5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55CF9C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DB81C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EB043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9E54B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7C1F1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67B701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296" w:type="dxa"/>
            <w:vAlign w:val="top"/>
          </w:tcPr>
          <w:p w14:paraId="5EA89C0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B2C182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5E4A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3365C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764EB4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D3972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36A358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7CDC4AD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30DC17A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7F0D95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48459CF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0" w:name="_Toc1317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格式十九：履约进度计划表</w:t>
      </w:r>
      <w:bookmarkEnd w:id="110"/>
    </w:p>
    <w:p w14:paraId="11660AF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890D71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81CC64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58D1BD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1C97E9D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46A1238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36F40E3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277A56E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76828CA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5F90CF7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2E8D75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487F17C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5C2E52F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67695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4051E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193378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12FE7FE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D0D493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C2A65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05D1A83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54BAFAB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647645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4EB475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CA58DD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FFE975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EE14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BC263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6A417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F826E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1" w:name="_Toc351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格式二十：各类证明材料</w:t>
      </w:r>
      <w:bookmarkEnd w:id="111"/>
    </w:p>
    <w:p w14:paraId="1E8FC84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4CFF80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44E6E7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690C057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4C000BA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03BC0F9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DB9EAF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BFAC8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A6C88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569B0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88DDD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2" w:name="_Toc662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格式二十一：采购代理服务费支付承诺书</w:t>
      </w:r>
      <w:bookmarkEnd w:id="112"/>
    </w:p>
    <w:p w14:paraId="4896881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798B7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467F7B6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6C8C5A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阳江市江城区人民医院新院建设二期工程设计施工总承包项目工程保险</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YXCG-202600624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3528372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1480248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49C500A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36D1964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2CA0898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671934E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7462B3D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050E88E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44E8E64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5A70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0B32F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BE2235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7B13B9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CDCD4F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53832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DC448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FAE2DA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BF6B25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A74672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3" w:name="_Toc752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格式二十二：需要采购人提供的附加条件</w:t>
      </w:r>
      <w:bookmarkEnd w:id="113"/>
    </w:p>
    <w:p w14:paraId="6C678DB8">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892B8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6A0EBEF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FFE4CB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5E5AECF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01DA34F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0356A7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4BF4F3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2278FB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2B19BF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10BC87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342F17F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39BCE1E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F8D32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1F556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16194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096DB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169F5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293A54">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4FC1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B6676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758A2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EC137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9B8BB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7274E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05721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7F5AB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D340F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8E2C4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AF0D3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67A7D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4" w:name="_Toc2889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格式二十三：询问函、质疑函、投诉书格式</w:t>
      </w:r>
      <w:bookmarkEnd w:id="114"/>
    </w:p>
    <w:p w14:paraId="68D1F28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45FB1D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0643D9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6E4A486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B2C3D16">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0DCE386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3E34DEB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89A892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3435C8E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37D6828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2F159E5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0668558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10722D9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6BFAB9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074D945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6186A9A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3A0321E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2DBAC33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777FB67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44E94D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1F9BA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E3BAC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DA2A8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549E8F">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64F8B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6C8EA">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8851D6">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4B8C7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7E5B99F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0A671E7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7469D32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4CFC337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041073C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1A1BCCB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5940BAA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6515654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57E227F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4E94A4F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80BF71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548A5F3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0B7BC2B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47B7DC8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5F8F559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4E3EA1F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1730463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34382F3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F79725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6AA6DFA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40E11EB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1B48247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0B51D8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575A628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432D437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4C4A32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07EF5A8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2738688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AF9B3B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931245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CC14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8AF0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9E514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5723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3A9294">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EA16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356E5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84F9E0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5" w:name="_Toc682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格式二十四：项目实施方案、质量保证及售后服务承诺等内容和格式自拟</w:t>
      </w:r>
      <w:bookmarkEnd w:id="115"/>
    </w:p>
    <w:p w14:paraId="0E4751E3">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88286C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2D201C3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CD069BC">
      <w:pPr>
        <w:pStyle w:val="19"/>
        <w:rPr>
          <w:rFonts w:hint="eastAsia"/>
          <w:color w:val="000000" w:themeColor="text1"/>
          <w:highlight w:val="none"/>
          <w:lang w:val="en-US" w:eastAsia="zh-Hans"/>
          <w14:textFill>
            <w14:solidFill>
              <w14:schemeClr w14:val="tx1"/>
            </w14:solidFill>
          </w14:textFill>
        </w:rPr>
      </w:pPr>
    </w:p>
    <w:p w14:paraId="708D0FA9">
      <w:pPr>
        <w:pStyle w:val="19"/>
        <w:rPr>
          <w:rFonts w:hint="eastAsia"/>
          <w:color w:val="000000" w:themeColor="text1"/>
          <w:highlight w:val="none"/>
          <w:lang w:val="en-US" w:eastAsia="zh-Hans"/>
          <w14:textFill>
            <w14:solidFill>
              <w14:schemeClr w14:val="tx1"/>
            </w14:solidFill>
          </w14:textFill>
        </w:rPr>
      </w:pPr>
    </w:p>
    <w:p w14:paraId="334AC9EE">
      <w:pPr>
        <w:pStyle w:val="19"/>
        <w:rPr>
          <w:rFonts w:hint="eastAsia"/>
          <w:color w:val="000000" w:themeColor="text1"/>
          <w:highlight w:val="none"/>
          <w:lang w:val="en-US" w:eastAsia="zh-Hans"/>
          <w14:textFill>
            <w14:solidFill>
              <w14:schemeClr w14:val="tx1"/>
            </w14:solidFill>
          </w14:textFill>
        </w:rPr>
      </w:pPr>
    </w:p>
    <w:p w14:paraId="1CE47668">
      <w:pPr>
        <w:pStyle w:val="19"/>
        <w:rPr>
          <w:rFonts w:hint="eastAsia"/>
          <w:color w:val="000000" w:themeColor="text1"/>
          <w:highlight w:val="none"/>
          <w:lang w:val="en-US" w:eastAsia="zh-Hans"/>
          <w14:textFill>
            <w14:solidFill>
              <w14:schemeClr w14:val="tx1"/>
            </w14:solidFill>
          </w14:textFill>
        </w:rPr>
      </w:pPr>
    </w:p>
    <w:p w14:paraId="1BC77DC0">
      <w:pPr>
        <w:pStyle w:val="19"/>
        <w:rPr>
          <w:rFonts w:hint="eastAsia"/>
          <w:color w:val="000000" w:themeColor="text1"/>
          <w:highlight w:val="none"/>
          <w:lang w:val="en-US" w:eastAsia="zh-Hans"/>
          <w14:textFill>
            <w14:solidFill>
              <w14:schemeClr w14:val="tx1"/>
            </w14:solidFill>
          </w14:textFill>
        </w:rPr>
      </w:pPr>
    </w:p>
    <w:p w14:paraId="0DD684D0">
      <w:pPr>
        <w:pStyle w:val="19"/>
        <w:rPr>
          <w:rFonts w:hint="eastAsia"/>
          <w:color w:val="000000" w:themeColor="text1"/>
          <w:highlight w:val="none"/>
          <w:lang w:val="en-US" w:eastAsia="zh-Hans"/>
          <w14:textFill>
            <w14:solidFill>
              <w14:schemeClr w14:val="tx1"/>
            </w14:solidFill>
          </w14:textFill>
        </w:rPr>
      </w:pPr>
    </w:p>
    <w:p w14:paraId="23118824">
      <w:pPr>
        <w:pStyle w:val="19"/>
        <w:rPr>
          <w:rFonts w:hint="eastAsia"/>
          <w:color w:val="000000" w:themeColor="text1"/>
          <w:highlight w:val="none"/>
          <w:lang w:val="en-US" w:eastAsia="zh-Hans"/>
          <w14:textFill>
            <w14:solidFill>
              <w14:schemeClr w14:val="tx1"/>
            </w14:solidFill>
          </w14:textFill>
        </w:rPr>
      </w:pPr>
    </w:p>
    <w:p w14:paraId="39A3EB57">
      <w:pPr>
        <w:pStyle w:val="19"/>
        <w:rPr>
          <w:rFonts w:hint="eastAsia"/>
          <w:color w:val="000000" w:themeColor="text1"/>
          <w:highlight w:val="none"/>
          <w:lang w:val="en-US" w:eastAsia="zh-Hans"/>
          <w14:textFill>
            <w14:solidFill>
              <w14:schemeClr w14:val="tx1"/>
            </w14:solidFill>
          </w14:textFill>
        </w:rPr>
      </w:pPr>
    </w:p>
    <w:p w14:paraId="3A82B74E">
      <w:pPr>
        <w:pStyle w:val="19"/>
        <w:rPr>
          <w:rFonts w:hint="eastAsia"/>
          <w:color w:val="000000" w:themeColor="text1"/>
          <w:highlight w:val="none"/>
          <w:lang w:val="en-US" w:eastAsia="zh-Hans"/>
          <w14:textFill>
            <w14:solidFill>
              <w14:schemeClr w14:val="tx1"/>
            </w14:solidFill>
          </w14:textFill>
        </w:rPr>
      </w:pPr>
    </w:p>
    <w:p w14:paraId="5D04EF79">
      <w:pPr>
        <w:pStyle w:val="19"/>
        <w:rPr>
          <w:rFonts w:hint="eastAsia"/>
          <w:color w:val="000000" w:themeColor="text1"/>
          <w:highlight w:val="none"/>
          <w:lang w:val="en-US" w:eastAsia="zh-Hans"/>
          <w14:textFill>
            <w14:solidFill>
              <w14:schemeClr w14:val="tx1"/>
            </w14:solidFill>
          </w14:textFill>
        </w:rPr>
      </w:pPr>
    </w:p>
    <w:p w14:paraId="740D9E95">
      <w:pPr>
        <w:pStyle w:val="19"/>
        <w:rPr>
          <w:rFonts w:hint="eastAsia"/>
          <w:color w:val="000000" w:themeColor="text1"/>
          <w:highlight w:val="none"/>
          <w:lang w:val="en-US" w:eastAsia="zh-Hans"/>
          <w14:textFill>
            <w14:solidFill>
              <w14:schemeClr w14:val="tx1"/>
            </w14:solidFill>
          </w14:textFill>
        </w:rPr>
      </w:pPr>
    </w:p>
    <w:p w14:paraId="6F2EADD6">
      <w:pPr>
        <w:pStyle w:val="19"/>
        <w:rPr>
          <w:rFonts w:hint="eastAsia"/>
          <w:color w:val="000000" w:themeColor="text1"/>
          <w:highlight w:val="none"/>
          <w:lang w:val="en-US" w:eastAsia="zh-Hans"/>
          <w14:textFill>
            <w14:solidFill>
              <w14:schemeClr w14:val="tx1"/>
            </w14:solidFill>
          </w14:textFill>
        </w:rPr>
      </w:pPr>
    </w:p>
    <w:p w14:paraId="237296C9">
      <w:pPr>
        <w:pStyle w:val="19"/>
        <w:rPr>
          <w:rFonts w:hint="eastAsia"/>
          <w:color w:val="000000" w:themeColor="text1"/>
          <w:highlight w:val="none"/>
          <w:lang w:val="en-US" w:eastAsia="zh-Hans"/>
          <w14:textFill>
            <w14:solidFill>
              <w14:schemeClr w14:val="tx1"/>
            </w14:solidFill>
          </w14:textFill>
        </w:rPr>
      </w:pPr>
    </w:p>
    <w:p w14:paraId="6F7079CA">
      <w:pPr>
        <w:pStyle w:val="19"/>
        <w:rPr>
          <w:rFonts w:hint="eastAsia"/>
          <w:color w:val="000000" w:themeColor="text1"/>
          <w:highlight w:val="none"/>
          <w:lang w:val="en-US" w:eastAsia="zh-Hans"/>
          <w14:textFill>
            <w14:solidFill>
              <w14:schemeClr w14:val="tx1"/>
            </w14:solidFill>
          </w14:textFill>
        </w:rPr>
      </w:pPr>
    </w:p>
    <w:p w14:paraId="25E036EE">
      <w:pPr>
        <w:pStyle w:val="19"/>
        <w:rPr>
          <w:rFonts w:hint="eastAsia"/>
          <w:color w:val="000000" w:themeColor="text1"/>
          <w:highlight w:val="none"/>
          <w:lang w:val="en-US" w:eastAsia="zh-Hans"/>
          <w14:textFill>
            <w14:solidFill>
              <w14:schemeClr w14:val="tx1"/>
            </w14:solidFill>
          </w14:textFill>
        </w:rPr>
      </w:pPr>
    </w:p>
    <w:p w14:paraId="1AE79E39">
      <w:pPr>
        <w:pStyle w:val="19"/>
        <w:rPr>
          <w:rFonts w:hint="eastAsia"/>
          <w:color w:val="000000" w:themeColor="text1"/>
          <w:highlight w:val="none"/>
          <w:lang w:val="en-US" w:eastAsia="zh-Hans"/>
          <w14:textFill>
            <w14:solidFill>
              <w14:schemeClr w14:val="tx1"/>
            </w14:solidFill>
          </w14:textFill>
        </w:rPr>
      </w:pPr>
    </w:p>
    <w:p w14:paraId="2D455EC8">
      <w:pPr>
        <w:pStyle w:val="19"/>
        <w:rPr>
          <w:rFonts w:hint="eastAsia"/>
          <w:color w:val="000000" w:themeColor="text1"/>
          <w:highlight w:val="none"/>
          <w:lang w:val="en-US" w:eastAsia="zh-Hans"/>
          <w14:textFill>
            <w14:solidFill>
              <w14:schemeClr w14:val="tx1"/>
            </w14:solidFill>
          </w14:textFill>
        </w:rPr>
      </w:pPr>
    </w:p>
    <w:p w14:paraId="74F96EEC">
      <w:pPr>
        <w:keepNext w:val="0"/>
        <w:keepLines w:val="0"/>
        <w:pageBreakBefore w:val="0"/>
        <w:widowControl w:val="0"/>
        <w:kinsoku/>
        <w:wordWrap/>
        <w:overflowPunct/>
        <w:topLinePunct w:val="0"/>
        <w:autoSpaceDE/>
        <w:autoSpaceDN/>
        <w:bidi w:val="0"/>
        <w:adjustRightInd/>
        <w:snapToGrid/>
        <w:jc w:val="left"/>
        <w:textAlignment w:val="auto"/>
        <w:outlineLvl w:val="0"/>
        <w:rPr>
          <w:rFonts w:hint="eastAsia" w:ascii="宋体" w:hAnsi="宋体" w:eastAsia="宋体" w:cs="宋体"/>
          <w:b/>
          <w:bCs/>
          <w:color w:val="000000" w:themeColor="text1"/>
          <w:kern w:val="0"/>
          <w:sz w:val="28"/>
          <w:szCs w:val="28"/>
          <w:highlight w:val="none"/>
          <w14:textFill>
            <w14:solidFill>
              <w14:schemeClr w14:val="tx1"/>
            </w14:solidFill>
          </w14:textFill>
        </w:rPr>
      </w:pPr>
      <w:bookmarkStart w:id="116" w:name="_Toc13810"/>
      <w:r>
        <w:rPr>
          <w:rFonts w:hint="eastAsia" w:ascii="宋体" w:hAnsi="宋体" w:eastAsia="宋体" w:cs="宋体"/>
          <w:b/>
          <w:bCs/>
          <w:color w:val="000000" w:themeColor="text1"/>
          <w:kern w:val="0"/>
          <w:sz w:val="28"/>
          <w:szCs w:val="28"/>
          <w:highlight w:val="none"/>
          <w14:textFill>
            <w14:solidFill>
              <w14:schemeClr w14:val="tx1"/>
            </w14:solidFill>
          </w14:textFill>
        </w:rPr>
        <w:t>附件</w:t>
      </w:r>
      <w:bookmarkEnd w:id="116"/>
    </w:p>
    <w:p w14:paraId="29047022">
      <w:pPr>
        <w:keepNext w:val="0"/>
        <w:keepLines w:val="0"/>
        <w:pageBreakBefore w:val="0"/>
        <w:widowControl w:val="0"/>
        <w:kinsoku/>
        <w:wordWrap/>
        <w:overflowPunct/>
        <w:topLinePunct w:val="0"/>
        <w:autoSpaceDE/>
        <w:autoSpaceDN/>
        <w:bidi w:val="0"/>
        <w:adjustRightInd/>
        <w:snapToGrid/>
        <w:jc w:val="center"/>
        <w:textAlignment w:val="auto"/>
        <w:outlineLvl w:val="1"/>
        <w:rPr>
          <w:rFonts w:ascii="宋体" w:hAnsi="宋体" w:cs="宋体"/>
          <w:b/>
          <w:bCs/>
          <w:color w:val="000000" w:themeColor="text1"/>
          <w:kern w:val="0"/>
          <w:sz w:val="32"/>
          <w:szCs w:val="32"/>
          <w:highlight w:val="none"/>
          <w14:textFill>
            <w14:solidFill>
              <w14:schemeClr w14:val="tx1"/>
            </w14:solidFill>
          </w14:textFill>
        </w:rPr>
      </w:pPr>
      <w:bookmarkStart w:id="117" w:name="_Toc18889"/>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bookmarkEnd w:id="117"/>
    </w:p>
    <w:p w14:paraId="7B77D1B2">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6B00B6A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197968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CFD617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6A97A64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CB32EE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5E36436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405ED2E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75E8CE5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E913E2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8FEBD3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25536BC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22F7EC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4C2C2D7">
      <w:pPr>
        <w:rPr>
          <w:rFonts w:ascii="宋体" w:hAnsi="宋体"/>
          <w:color w:val="000000" w:themeColor="text1"/>
          <w:highlight w:val="none"/>
          <w14:textFill>
            <w14:solidFill>
              <w14:schemeClr w14:val="tx1"/>
            </w14:solidFill>
          </w14:textFill>
        </w:rPr>
      </w:pPr>
    </w:p>
    <w:p w14:paraId="0EF0C47A">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b/>
          <w:bCs/>
          <w:color w:val="000000" w:themeColor="text1"/>
          <w:sz w:val="44"/>
          <w:szCs w:val="44"/>
          <w:highlight w:val="none"/>
          <w14:textFill>
            <w14:solidFill>
              <w14:schemeClr w14:val="tx1"/>
            </w14:solidFill>
          </w14:textFill>
        </w:rPr>
      </w:pPr>
      <w:bookmarkStart w:id="118" w:name="_Toc3597"/>
      <w:bookmarkStart w:id="119" w:name="_Hlk534184791"/>
      <w:r>
        <w:rPr>
          <w:rFonts w:hint="eastAsia"/>
          <w:b/>
          <w:bCs/>
          <w:color w:val="000000" w:themeColor="text1"/>
          <w:sz w:val="44"/>
          <w:szCs w:val="44"/>
          <w:highlight w:val="none"/>
          <w14:textFill>
            <w14:solidFill>
              <w14:schemeClr w14:val="tx1"/>
            </w14:solidFill>
          </w14:textFill>
        </w:rPr>
        <w:t>购买标书登记表</w:t>
      </w:r>
      <w:bookmarkEnd w:id="118"/>
    </w:p>
    <w:p w14:paraId="359A8C7E">
      <w:pPr>
        <w:jc w:val="center"/>
        <w:rPr>
          <w:rFonts w:hint="eastAsia"/>
          <w:b/>
          <w:bCs/>
          <w:color w:val="000000" w:themeColor="text1"/>
          <w:sz w:val="44"/>
          <w:szCs w:val="44"/>
          <w:highlight w:val="none"/>
          <w14:textFill>
            <w14:solidFill>
              <w14:schemeClr w14:val="tx1"/>
            </w14:solidFill>
          </w14:textFill>
        </w:rPr>
      </w:pPr>
    </w:p>
    <w:p w14:paraId="3C975B75">
      <w:pPr>
        <w:jc w:val="center"/>
        <w:rPr>
          <w:color w:val="000000" w:themeColor="text1"/>
          <w:szCs w:val="21"/>
          <w:highlight w:val="none"/>
          <w14:textFill>
            <w14:solidFill>
              <w14:schemeClr w14:val="tx1"/>
            </w14:solidFill>
          </w14:textFill>
        </w:rPr>
      </w:pPr>
    </w:p>
    <w:tbl>
      <w:tblPr>
        <w:tblStyle w:val="15"/>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7C4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419F222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FE17FD7">
            <w:pPr>
              <w:rPr>
                <w:color w:val="000000" w:themeColor="text1"/>
                <w:sz w:val="28"/>
                <w:szCs w:val="28"/>
                <w:highlight w:val="none"/>
                <w14:textFill>
                  <w14:solidFill>
                    <w14:schemeClr w14:val="tx1"/>
                  </w14:solidFill>
                </w14:textFill>
              </w:rPr>
            </w:pPr>
          </w:p>
        </w:tc>
      </w:tr>
      <w:tr w14:paraId="2ABA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A26CF8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2971D77F">
            <w:pPr>
              <w:rPr>
                <w:color w:val="000000" w:themeColor="text1"/>
                <w:sz w:val="28"/>
                <w:szCs w:val="28"/>
                <w:highlight w:val="none"/>
                <w14:textFill>
                  <w14:solidFill>
                    <w14:schemeClr w14:val="tx1"/>
                  </w14:solidFill>
                </w14:textFill>
              </w:rPr>
            </w:pPr>
          </w:p>
        </w:tc>
        <w:tc>
          <w:tcPr>
            <w:tcW w:w="1940" w:type="dxa"/>
            <w:noWrap/>
            <w:vAlign w:val="center"/>
          </w:tcPr>
          <w:p w14:paraId="2A2B72A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0D06D1B3">
            <w:pPr>
              <w:rPr>
                <w:color w:val="000000" w:themeColor="text1"/>
                <w:sz w:val="28"/>
                <w:szCs w:val="28"/>
                <w:highlight w:val="none"/>
                <w14:textFill>
                  <w14:solidFill>
                    <w14:schemeClr w14:val="tx1"/>
                  </w14:solidFill>
                </w14:textFill>
              </w:rPr>
            </w:pPr>
          </w:p>
        </w:tc>
      </w:tr>
      <w:tr w14:paraId="49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C9168E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771427FC">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7BF9CC45">
            <w:pPr>
              <w:rPr>
                <w:color w:val="000000" w:themeColor="text1"/>
                <w:sz w:val="28"/>
                <w:szCs w:val="28"/>
                <w:highlight w:val="none"/>
                <w14:textFill>
                  <w14:solidFill>
                    <w14:schemeClr w14:val="tx1"/>
                  </w14:solidFill>
                </w14:textFill>
              </w:rPr>
            </w:pPr>
          </w:p>
        </w:tc>
      </w:tr>
      <w:tr w14:paraId="79D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55C348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5917F4B9">
            <w:pPr>
              <w:rPr>
                <w:color w:val="000000" w:themeColor="text1"/>
                <w:sz w:val="28"/>
                <w:szCs w:val="28"/>
                <w:highlight w:val="none"/>
                <w14:textFill>
                  <w14:solidFill>
                    <w14:schemeClr w14:val="tx1"/>
                  </w14:solidFill>
                </w14:textFill>
              </w:rPr>
            </w:pPr>
          </w:p>
        </w:tc>
      </w:tr>
      <w:tr w14:paraId="22D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B374AC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5CF72C9C">
            <w:pPr>
              <w:rPr>
                <w:color w:val="000000" w:themeColor="text1"/>
                <w:sz w:val="28"/>
                <w:szCs w:val="28"/>
                <w:highlight w:val="none"/>
                <w14:textFill>
                  <w14:solidFill>
                    <w14:schemeClr w14:val="tx1"/>
                  </w14:solidFill>
                </w14:textFill>
              </w:rPr>
            </w:pPr>
          </w:p>
        </w:tc>
        <w:tc>
          <w:tcPr>
            <w:tcW w:w="1940" w:type="dxa"/>
            <w:noWrap/>
            <w:vAlign w:val="center"/>
          </w:tcPr>
          <w:p w14:paraId="3397B5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6767A134">
            <w:pPr>
              <w:rPr>
                <w:color w:val="000000" w:themeColor="text1"/>
                <w:sz w:val="28"/>
                <w:szCs w:val="28"/>
                <w:highlight w:val="none"/>
                <w14:textFill>
                  <w14:solidFill>
                    <w14:schemeClr w14:val="tx1"/>
                  </w14:solidFill>
                </w14:textFill>
              </w:rPr>
            </w:pPr>
          </w:p>
        </w:tc>
      </w:tr>
      <w:tr w14:paraId="404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B0B4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4A227F16">
            <w:pPr>
              <w:rPr>
                <w:color w:val="000000" w:themeColor="text1"/>
                <w:sz w:val="28"/>
                <w:szCs w:val="28"/>
                <w:highlight w:val="none"/>
                <w14:textFill>
                  <w14:solidFill>
                    <w14:schemeClr w14:val="tx1"/>
                  </w14:solidFill>
                </w14:textFill>
              </w:rPr>
            </w:pPr>
          </w:p>
        </w:tc>
        <w:tc>
          <w:tcPr>
            <w:tcW w:w="1940" w:type="dxa"/>
            <w:noWrap/>
            <w:vAlign w:val="center"/>
          </w:tcPr>
          <w:p w14:paraId="5DEF7FE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2179FACC">
            <w:pPr>
              <w:rPr>
                <w:color w:val="000000" w:themeColor="text1"/>
                <w:sz w:val="28"/>
                <w:szCs w:val="28"/>
                <w:highlight w:val="none"/>
                <w14:textFill>
                  <w14:solidFill>
                    <w14:schemeClr w14:val="tx1"/>
                  </w14:solidFill>
                </w14:textFill>
              </w:rPr>
            </w:pPr>
          </w:p>
        </w:tc>
      </w:tr>
      <w:tr w14:paraId="1C7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C26389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0D5ACAD6">
            <w:pPr>
              <w:rPr>
                <w:color w:val="000000" w:themeColor="text1"/>
                <w:sz w:val="28"/>
                <w:szCs w:val="28"/>
                <w:highlight w:val="none"/>
                <w14:textFill>
                  <w14:solidFill>
                    <w14:schemeClr w14:val="tx1"/>
                  </w14:solidFill>
                </w14:textFill>
              </w:rPr>
            </w:pPr>
          </w:p>
        </w:tc>
        <w:tc>
          <w:tcPr>
            <w:tcW w:w="1940" w:type="dxa"/>
            <w:noWrap/>
            <w:vAlign w:val="center"/>
          </w:tcPr>
          <w:p w14:paraId="400AAAD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8AEF493">
            <w:pPr>
              <w:rPr>
                <w:color w:val="000000" w:themeColor="text1"/>
                <w:sz w:val="28"/>
                <w:szCs w:val="28"/>
                <w:highlight w:val="none"/>
                <w14:textFill>
                  <w14:solidFill>
                    <w14:schemeClr w14:val="tx1"/>
                  </w14:solidFill>
                </w14:textFill>
              </w:rPr>
            </w:pPr>
          </w:p>
        </w:tc>
      </w:tr>
      <w:tr w14:paraId="590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2D0222F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5DCB87D1">
            <w:pPr>
              <w:rPr>
                <w:color w:val="000000" w:themeColor="text1"/>
                <w:sz w:val="28"/>
                <w:szCs w:val="28"/>
                <w:highlight w:val="none"/>
                <w14:textFill>
                  <w14:solidFill>
                    <w14:schemeClr w14:val="tx1"/>
                  </w14:solidFill>
                </w14:textFill>
              </w:rPr>
            </w:pPr>
          </w:p>
        </w:tc>
      </w:tr>
    </w:tbl>
    <w:p w14:paraId="27C59503">
      <w:pPr>
        <w:spacing w:line="360" w:lineRule="auto"/>
        <w:jc w:val="center"/>
        <w:rPr>
          <w:rFonts w:ascii="宋体" w:hAnsi="宋体"/>
          <w:b/>
          <w:color w:val="000000" w:themeColor="text1"/>
          <w:sz w:val="24"/>
          <w:highlight w:val="none"/>
          <w14:textFill>
            <w14:solidFill>
              <w14:schemeClr w14:val="tx1"/>
            </w14:solidFill>
          </w14:textFill>
        </w:rPr>
      </w:pPr>
    </w:p>
    <w:bookmarkEnd w:id="119"/>
    <w:p w14:paraId="1FF65EEB">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9"/>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10"/>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1E51A5"/>
    <w:multiLevelType w:val="singleLevel"/>
    <w:tmpl w:val="991E51A5"/>
    <w:lvl w:ilvl="0" w:tentative="0">
      <w:start w:val="1"/>
      <w:numFmt w:val="decimal"/>
      <w:suff w:val="nothing"/>
      <w:lvlText w:val="（%1）"/>
      <w:lvlJc w:val="left"/>
    </w:lvl>
  </w:abstractNum>
  <w:abstractNum w:abstractNumId="1">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2">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pStyle w:val="3"/>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3">
    <w:nsid w:val="1210F9A6"/>
    <w:multiLevelType w:val="singleLevel"/>
    <w:tmpl w:val="1210F9A6"/>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661709"/>
    <w:rsid w:val="024261A6"/>
    <w:rsid w:val="024C5C84"/>
    <w:rsid w:val="025832D3"/>
    <w:rsid w:val="02D920DF"/>
    <w:rsid w:val="032327D6"/>
    <w:rsid w:val="038C2F8B"/>
    <w:rsid w:val="039D04CA"/>
    <w:rsid w:val="04161698"/>
    <w:rsid w:val="042172CF"/>
    <w:rsid w:val="04BA09A7"/>
    <w:rsid w:val="04D05CEB"/>
    <w:rsid w:val="0566160C"/>
    <w:rsid w:val="05F15F19"/>
    <w:rsid w:val="063D4CBA"/>
    <w:rsid w:val="06E1489A"/>
    <w:rsid w:val="06FA07EB"/>
    <w:rsid w:val="070E48A8"/>
    <w:rsid w:val="075838FA"/>
    <w:rsid w:val="078D7EC3"/>
    <w:rsid w:val="083D71F3"/>
    <w:rsid w:val="085E56AE"/>
    <w:rsid w:val="09EF276F"/>
    <w:rsid w:val="0A634F0B"/>
    <w:rsid w:val="0B3A5C6C"/>
    <w:rsid w:val="0B495EAF"/>
    <w:rsid w:val="0B9C568C"/>
    <w:rsid w:val="0C7A48B8"/>
    <w:rsid w:val="0C8C24F7"/>
    <w:rsid w:val="0CA57A2F"/>
    <w:rsid w:val="0CC41D6A"/>
    <w:rsid w:val="0D6604F6"/>
    <w:rsid w:val="0DDC74AE"/>
    <w:rsid w:val="0E464928"/>
    <w:rsid w:val="0E556903"/>
    <w:rsid w:val="0E7771D7"/>
    <w:rsid w:val="108865E6"/>
    <w:rsid w:val="11230F50"/>
    <w:rsid w:val="11A07096"/>
    <w:rsid w:val="1283439D"/>
    <w:rsid w:val="14467430"/>
    <w:rsid w:val="14C940E6"/>
    <w:rsid w:val="15BA4914"/>
    <w:rsid w:val="15D942D4"/>
    <w:rsid w:val="162163A6"/>
    <w:rsid w:val="177F50ED"/>
    <w:rsid w:val="18463EA2"/>
    <w:rsid w:val="18524138"/>
    <w:rsid w:val="18C617AF"/>
    <w:rsid w:val="190F698A"/>
    <w:rsid w:val="193E7F56"/>
    <w:rsid w:val="1A554870"/>
    <w:rsid w:val="1A917758"/>
    <w:rsid w:val="1AA66E7A"/>
    <w:rsid w:val="1B4D5548"/>
    <w:rsid w:val="1B882A24"/>
    <w:rsid w:val="1BF81957"/>
    <w:rsid w:val="1C101B3C"/>
    <w:rsid w:val="1C6A3ED7"/>
    <w:rsid w:val="1D0B1216"/>
    <w:rsid w:val="1D21234A"/>
    <w:rsid w:val="1D412F68"/>
    <w:rsid w:val="1D767D77"/>
    <w:rsid w:val="1D9B2B44"/>
    <w:rsid w:val="207B2D2A"/>
    <w:rsid w:val="207D242B"/>
    <w:rsid w:val="208539D6"/>
    <w:rsid w:val="21B21B9E"/>
    <w:rsid w:val="221943D6"/>
    <w:rsid w:val="22F10EAE"/>
    <w:rsid w:val="23156E23"/>
    <w:rsid w:val="234B69D8"/>
    <w:rsid w:val="23FB55E8"/>
    <w:rsid w:val="2499649D"/>
    <w:rsid w:val="24C30629"/>
    <w:rsid w:val="255F2A47"/>
    <w:rsid w:val="257007B0"/>
    <w:rsid w:val="26025181"/>
    <w:rsid w:val="26105AEF"/>
    <w:rsid w:val="26415CA9"/>
    <w:rsid w:val="26747E2C"/>
    <w:rsid w:val="2694227D"/>
    <w:rsid w:val="27167136"/>
    <w:rsid w:val="27C070A1"/>
    <w:rsid w:val="281E0CB9"/>
    <w:rsid w:val="287C121A"/>
    <w:rsid w:val="28DB23E5"/>
    <w:rsid w:val="29935E30"/>
    <w:rsid w:val="299747E3"/>
    <w:rsid w:val="29DB5F49"/>
    <w:rsid w:val="2AC67A36"/>
    <w:rsid w:val="2B2A092C"/>
    <w:rsid w:val="2B51698E"/>
    <w:rsid w:val="2BB313F7"/>
    <w:rsid w:val="2D346567"/>
    <w:rsid w:val="2D5C569C"/>
    <w:rsid w:val="2DB71F51"/>
    <w:rsid w:val="2E2747FA"/>
    <w:rsid w:val="2E7D5CEC"/>
    <w:rsid w:val="2ED51684"/>
    <w:rsid w:val="2EFC463E"/>
    <w:rsid w:val="2F1429B9"/>
    <w:rsid w:val="30C97B57"/>
    <w:rsid w:val="31E367AE"/>
    <w:rsid w:val="32C43EEA"/>
    <w:rsid w:val="32FE5EB6"/>
    <w:rsid w:val="335C05C6"/>
    <w:rsid w:val="337551E4"/>
    <w:rsid w:val="340B78F6"/>
    <w:rsid w:val="34FA4631"/>
    <w:rsid w:val="35270760"/>
    <w:rsid w:val="357A4D33"/>
    <w:rsid w:val="35FC0739"/>
    <w:rsid w:val="36A93B22"/>
    <w:rsid w:val="36EA7640"/>
    <w:rsid w:val="37555A58"/>
    <w:rsid w:val="37810484"/>
    <w:rsid w:val="378555CE"/>
    <w:rsid w:val="384855BD"/>
    <w:rsid w:val="38DD7AB3"/>
    <w:rsid w:val="3953684A"/>
    <w:rsid w:val="396226AE"/>
    <w:rsid w:val="398048E2"/>
    <w:rsid w:val="39D87235"/>
    <w:rsid w:val="3A83468A"/>
    <w:rsid w:val="3B1479D8"/>
    <w:rsid w:val="3BB56AC5"/>
    <w:rsid w:val="3C425ABB"/>
    <w:rsid w:val="3C77021F"/>
    <w:rsid w:val="3CBD0327"/>
    <w:rsid w:val="3D1B3AA0"/>
    <w:rsid w:val="3E2A590C"/>
    <w:rsid w:val="3E9C5D1B"/>
    <w:rsid w:val="3F035D9A"/>
    <w:rsid w:val="3F9A2A03"/>
    <w:rsid w:val="400E49F6"/>
    <w:rsid w:val="40774C91"/>
    <w:rsid w:val="409500FD"/>
    <w:rsid w:val="415428DD"/>
    <w:rsid w:val="42075BA1"/>
    <w:rsid w:val="429F5DD9"/>
    <w:rsid w:val="4301065E"/>
    <w:rsid w:val="43544E16"/>
    <w:rsid w:val="43CA332A"/>
    <w:rsid w:val="44435C86"/>
    <w:rsid w:val="450D7972"/>
    <w:rsid w:val="451C4E7E"/>
    <w:rsid w:val="45A54CE6"/>
    <w:rsid w:val="46690BD8"/>
    <w:rsid w:val="47F70466"/>
    <w:rsid w:val="491D5CAA"/>
    <w:rsid w:val="49B303BC"/>
    <w:rsid w:val="49BE157C"/>
    <w:rsid w:val="49D217F6"/>
    <w:rsid w:val="4A340EAF"/>
    <w:rsid w:val="4B086B5A"/>
    <w:rsid w:val="4B0D06CC"/>
    <w:rsid w:val="4B2772B4"/>
    <w:rsid w:val="4B3317B5"/>
    <w:rsid w:val="4DAB1AD6"/>
    <w:rsid w:val="4E0F475B"/>
    <w:rsid w:val="4F974A08"/>
    <w:rsid w:val="4FB56C3C"/>
    <w:rsid w:val="4FCB54A7"/>
    <w:rsid w:val="509B4084"/>
    <w:rsid w:val="51695B6B"/>
    <w:rsid w:val="51CB61A4"/>
    <w:rsid w:val="51F913E9"/>
    <w:rsid w:val="52927709"/>
    <w:rsid w:val="53B316E5"/>
    <w:rsid w:val="53B52B8D"/>
    <w:rsid w:val="5463135D"/>
    <w:rsid w:val="5488491F"/>
    <w:rsid w:val="55236D3E"/>
    <w:rsid w:val="568C47D3"/>
    <w:rsid w:val="56F75D8C"/>
    <w:rsid w:val="571D28A3"/>
    <w:rsid w:val="575925A3"/>
    <w:rsid w:val="57D460CD"/>
    <w:rsid w:val="58B02697"/>
    <w:rsid w:val="58C223CA"/>
    <w:rsid w:val="594F3C5E"/>
    <w:rsid w:val="5A0343A1"/>
    <w:rsid w:val="5A7E2464"/>
    <w:rsid w:val="5CF7615A"/>
    <w:rsid w:val="5EB90EE3"/>
    <w:rsid w:val="60562B7F"/>
    <w:rsid w:val="60A61B01"/>
    <w:rsid w:val="60AC0895"/>
    <w:rsid w:val="60BA7F29"/>
    <w:rsid w:val="62DE6052"/>
    <w:rsid w:val="63660521"/>
    <w:rsid w:val="63807109"/>
    <w:rsid w:val="63B079EF"/>
    <w:rsid w:val="63B76FCA"/>
    <w:rsid w:val="63D556A7"/>
    <w:rsid w:val="63DD630A"/>
    <w:rsid w:val="64F658D5"/>
    <w:rsid w:val="66613222"/>
    <w:rsid w:val="675F30F2"/>
    <w:rsid w:val="685E5C6B"/>
    <w:rsid w:val="68C33D20"/>
    <w:rsid w:val="68D0643D"/>
    <w:rsid w:val="68E465BF"/>
    <w:rsid w:val="693966D8"/>
    <w:rsid w:val="693E02A5"/>
    <w:rsid w:val="69F148BD"/>
    <w:rsid w:val="6AD4485B"/>
    <w:rsid w:val="6B7632CC"/>
    <w:rsid w:val="6BD64493"/>
    <w:rsid w:val="6C0703C8"/>
    <w:rsid w:val="6C9205D9"/>
    <w:rsid w:val="6CCB2A08"/>
    <w:rsid w:val="6CF546C4"/>
    <w:rsid w:val="6D0C2FBA"/>
    <w:rsid w:val="6D4A53DD"/>
    <w:rsid w:val="6E6733A0"/>
    <w:rsid w:val="6EA166FA"/>
    <w:rsid w:val="6EAD34A8"/>
    <w:rsid w:val="6F305E87"/>
    <w:rsid w:val="6F834209"/>
    <w:rsid w:val="6F857F81"/>
    <w:rsid w:val="6FD9207B"/>
    <w:rsid w:val="70544A29"/>
    <w:rsid w:val="70595806"/>
    <w:rsid w:val="705E7C0D"/>
    <w:rsid w:val="70C1148D"/>
    <w:rsid w:val="70D54F38"/>
    <w:rsid w:val="70F03B20"/>
    <w:rsid w:val="715B218C"/>
    <w:rsid w:val="717A70B8"/>
    <w:rsid w:val="71B96608"/>
    <w:rsid w:val="71CF3736"/>
    <w:rsid w:val="71E73175"/>
    <w:rsid w:val="725231E8"/>
    <w:rsid w:val="72701D1A"/>
    <w:rsid w:val="73027B3B"/>
    <w:rsid w:val="73FE47A6"/>
    <w:rsid w:val="75CC75E6"/>
    <w:rsid w:val="76143E0D"/>
    <w:rsid w:val="77F79321"/>
    <w:rsid w:val="78056103"/>
    <w:rsid w:val="78972AD3"/>
    <w:rsid w:val="78A56B5E"/>
    <w:rsid w:val="7A1E34AC"/>
    <w:rsid w:val="7A3C3932"/>
    <w:rsid w:val="7AD85D51"/>
    <w:rsid w:val="7AEA5A84"/>
    <w:rsid w:val="7B890DF9"/>
    <w:rsid w:val="7D345B87"/>
    <w:rsid w:val="7D743B77"/>
    <w:rsid w:val="7DAB18DF"/>
    <w:rsid w:val="7DB44158"/>
    <w:rsid w:val="7DB55F5E"/>
    <w:rsid w:val="7DEA3AE1"/>
    <w:rsid w:val="7E696CC0"/>
    <w:rsid w:val="7E7A7402"/>
    <w:rsid w:val="7EA81482"/>
    <w:rsid w:val="7EE011E6"/>
    <w:rsid w:val="7F412E62"/>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3">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Body Text Indent"/>
    <w:basedOn w:val="1"/>
    <w:qFormat/>
    <w:uiPriority w:val="0"/>
    <w:pPr>
      <w:spacing w:after="120" w:afterLines="0"/>
      <w:ind w:left="420" w:leftChars="200"/>
    </w:pPr>
    <w:rPr>
      <w:rFonts w:ascii="Times New Roman" w:hAnsi="Times New Roman" w:cs="Times New Roman"/>
    </w:rPr>
  </w:style>
  <w:style w:type="paragraph" w:styleId="7">
    <w:name w:val="toc 3"/>
    <w:basedOn w:val="1"/>
    <w:next w:val="1"/>
    <w:qFormat/>
    <w:uiPriority w:val="0"/>
    <w:pPr>
      <w:ind w:left="840" w:leftChars="400"/>
    </w:pPr>
  </w:style>
  <w:style w:type="paragraph" w:styleId="8">
    <w:name w:val="Plain Text"/>
    <w:basedOn w:val="1"/>
    <w:qFormat/>
    <w:uiPriority w:val="0"/>
    <w:rPr>
      <w:rFonts w:ascii="宋体" w:hAnsi="Courier New"/>
      <w:szCs w:val="20"/>
    </w:rPr>
  </w:style>
  <w:style w:type="paragraph" w:styleId="9">
    <w:name w:val="footer"/>
    <w:basedOn w:val="1"/>
    <w:next w:val="5"/>
    <w:qFormat/>
    <w:uiPriority w:val="0"/>
    <w:pPr>
      <w:tabs>
        <w:tab w:val="center" w:pos="4153"/>
        <w:tab w:val="right" w:pos="8306"/>
      </w:tabs>
      <w:snapToGrid w:val="0"/>
      <w:jc w:val="left"/>
    </w:pPr>
    <w:rPr>
      <w:sz w:val="18"/>
      <w:szCs w:val="20"/>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2"/>
    <w:basedOn w:val="6"/>
    <w:next w:val="1"/>
    <w:qFormat/>
    <w:uiPriority w:val="0"/>
    <w:pPr>
      <w:spacing w:after="0" w:afterLines="0"/>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paragraph" w:customStyle="1" w:styleId="19">
    <w:name w:val="null3"/>
    <w:hidden/>
    <w:qFormat/>
    <w:uiPriority w:val="0"/>
    <w:rPr>
      <w:rFonts w:hint="eastAsia" w:asciiTheme="minorHAnsi" w:hAnsiTheme="minorHAnsi" w:eastAsiaTheme="minorEastAsia" w:cstheme="minorBidi"/>
      <w:lang w:val="en-US" w:eastAsia="zh-Hans"/>
    </w:rPr>
  </w:style>
  <w:style w:type="character" w:styleId="20">
    <w:name w:val="Placeholder Text"/>
    <w:basedOn w:val="17"/>
    <w:semiHidden/>
    <w:qFormat/>
    <w:uiPriority w:val="99"/>
    <w:rPr>
      <w:color w:val="808080"/>
    </w:rPr>
  </w:style>
  <w:style w:type="paragraph" w:customStyle="1" w:styleId="21">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2">
    <w:name w:val="XU2"/>
    <w:basedOn w:val="1"/>
    <w:qFormat/>
    <w:uiPriority w:val="0"/>
    <w:pPr>
      <w:autoSpaceDE w:val="0"/>
      <w:autoSpaceDN w:val="0"/>
      <w:adjustRightInd w:val="0"/>
      <w:spacing w:before="120" w:after="120"/>
      <w:textAlignment w:val="baseline"/>
    </w:pPr>
    <w:rPr>
      <w:b/>
      <w:kern w:val="0"/>
      <w:sz w:val="24"/>
      <w:szCs w:val="20"/>
      <w:lang w:val="fr-FR"/>
    </w:rPr>
  </w:style>
  <w:style w:type="paragraph" w:customStyle="1" w:styleId="23">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styleId="25">
    <w:name w:val="List Paragraph"/>
    <w:basedOn w:val="1"/>
    <w:autoRedefine/>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5499F061">
          <w:pPr>
            <w:pStyle w:val="5"/>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 w:type="paragraph" w:customStyle="1" w:styleId="4">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67</Pages>
  <Words>3107</Words>
  <Characters>3409</Characters>
  <Lines>0</Lines>
  <Paragraphs>0</Paragraphs>
  <TotalTime>0</TotalTime>
  <ScaleCrop>false</ScaleCrop>
  <LinksUpToDate>false</LinksUpToDate>
  <CharactersWithSpaces>3541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Administrator</cp:lastModifiedBy>
  <dcterms:modified xsi:type="dcterms:W3CDTF">2026-06-24T10:19:18Z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84AAD3F223FF2AC521F59E68BCC7017B_42</vt:lpwstr>
  </property>
  <property fmtid="{D5CDD505-2E9C-101B-9397-08002B2CF9AE}" pid="4" name="KSOTemplateDocerSaveRecord">
    <vt:lpwstr>eyJoZGlkIjoiNjRhODA0MGJlYjkwYzhjNWY3NDVmZDZhNTM4ODVlZmIiLCJ1c2VySWQiOiI0MzkwMDY1NTEifQ==</vt:lpwstr>
  </property>
</Properties>
</file>