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DCA64">
      <w:pPr>
        <w:pStyle w:val="23"/>
        <w:widowControl/>
        <w:adjustRightInd w:val="0"/>
        <w:snapToGrid w:val="0"/>
        <w:spacing w:line="360" w:lineRule="auto"/>
        <w:rPr>
          <w:rFonts w:ascii="黑体" w:eastAsia="黑体"/>
          <w:bCs/>
          <w:color w:val="000000" w:themeColor="text1"/>
          <w:sz w:val="32"/>
          <w:highlight w:val="none"/>
        </w:rPr>
      </w:pPr>
      <w:bookmarkStart w:id="0" w:name="_Toc491658631"/>
    </w:p>
    <w:p w14:paraId="39CFB879">
      <w:pPr>
        <w:pStyle w:val="23"/>
        <w:widowControl/>
        <w:adjustRightInd w:val="0"/>
        <w:snapToGrid w:val="0"/>
        <w:spacing w:line="360" w:lineRule="auto"/>
        <w:jc w:val="left"/>
        <w:rPr>
          <w:rFonts w:ascii="黑体" w:eastAsia="黑体"/>
          <w:bCs/>
          <w:color w:val="000000" w:themeColor="text1"/>
          <w:sz w:val="32"/>
          <w:highlight w:val="none"/>
        </w:rPr>
      </w:pPr>
      <w:r>
        <w:rPr>
          <w:rFonts w:hint="eastAsia" w:ascii="黑体" w:eastAsia="黑体"/>
          <w:bCs/>
          <w:color w:val="000000" w:themeColor="text1"/>
          <w:sz w:val="32"/>
          <w:highlight w:val="none"/>
        </w:rPr>
        <w:drawing>
          <wp:inline distT="0" distB="0" distL="0" distR="0">
            <wp:extent cx="2320290" cy="37084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20290" cy="370840"/>
                    </a:xfrm>
                    <a:prstGeom prst="rect">
                      <a:avLst/>
                    </a:prstGeom>
                    <a:noFill/>
                    <a:ln>
                      <a:noFill/>
                    </a:ln>
                  </pic:spPr>
                </pic:pic>
              </a:graphicData>
            </a:graphic>
          </wp:inline>
        </w:drawing>
      </w:r>
    </w:p>
    <w:p w14:paraId="0A8E624C">
      <w:pPr>
        <w:pStyle w:val="23"/>
        <w:widowControl/>
        <w:adjustRightInd w:val="0"/>
        <w:snapToGrid w:val="0"/>
        <w:spacing w:line="360" w:lineRule="auto"/>
        <w:jc w:val="center"/>
        <w:rPr>
          <w:rFonts w:ascii="黑体" w:eastAsia="黑体"/>
          <w:bCs/>
          <w:color w:val="000000" w:themeColor="text1"/>
          <w:sz w:val="52"/>
          <w:szCs w:val="52"/>
          <w:highlight w:val="none"/>
        </w:rPr>
      </w:pPr>
    </w:p>
    <w:p w14:paraId="50C812C6">
      <w:pPr>
        <w:pStyle w:val="23"/>
        <w:widowControl/>
        <w:adjustRightInd w:val="0"/>
        <w:snapToGrid w:val="0"/>
        <w:spacing w:line="360" w:lineRule="auto"/>
        <w:jc w:val="center"/>
        <w:rPr>
          <w:rFonts w:ascii="黑体" w:eastAsia="黑体"/>
          <w:bCs/>
          <w:color w:val="000000" w:themeColor="text1"/>
          <w:sz w:val="52"/>
          <w:szCs w:val="52"/>
          <w:highlight w:val="none"/>
        </w:rPr>
      </w:pPr>
      <w:r>
        <w:rPr>
          <w:rFonts w:hint="eastAsia" w:ascii="黑体" w:eastAsia="黑体"/>
          <w:bCs/>
          <w:color w:val="000000" w:themeColor="text1"/>
          <w:sz w:val="52"/>
          <w:szCs w:val="52"/>
          <w:highlight w:val="none"/>
        </w:rPr>
        <w:t>公开招标</w:t>
      </w:r>
    </w:p>
    <w:p w14:paraId="24922C5E">
      <w:pPr>
        <w:pStyle w:val="23"/>
        <w:widowControl/>
        <w:adjustRightInd w:val="0"/>
        <w:snapToGrid w:val="0"/>
        <w:spacing w:line="360" w:lineRule="auto"/>
        <w:jc w:val="center"/>
        <w:rPr>
          <w:rFonts w:ascii="黑体" w:eastAsia="黑体"/>
          <w:bCs/>
          <w:color w:val="000000" w:themeColor="text1"/>
          <w:sz w:val="72"/>
          <w:szCs w:val="72"/>
          <w:highlight w:val="none"/>
        </w:rPr>
      </w:pPr>
    </w:p>
    <w:p w14:paraId="57C43380">
      <w:pPr>
        <w:pStyle w:val="23"/>
        <w:widowControl/>
        <w:adjustRightInd w:val="0"/>
        <w:snapToGrid w:val="0"/>
        <w:spacing w:line="360" w:lineRule="auto"/>
        <w:jc w:val="center"/>
        <w:rPr>
          <w:rFonts w:hint="eastAsia" w:ascii="黑体" w:eastAsia="黑体"/>
          <w:bCs/>
          <w:color w:val="000000" w:themeColor="text1"/>
          <w:sz w:val="72"/>
          <w:highlight w:val="none"/>
        </w:rPr>
      </w:pPr>
      <w:r>
        <w:rPr>
          <w:rFonts w:hint="eastAsia" w:ascii="黑体" w:eastAsia="黑体"/>
          <w:bCs/>
          <w:color w:val="000000" w:themeColor="text1"/>
          <w:sz w:val="72"/>
          <w:highlight w:val="none"/>
        </w:rPr>
        <w:t>招  标  文  件</w:t>
      </w:r>
    </w:p>
    <w:p w14:paraId="4581874F">
      <w:pPr>
        <w:pStyle w:val="23"/>
        <w:widowControl/>
        <w:adjustRightInd w:val="0"/>
        <w:snapToGrid w:val="0"/>
        <w:spacing w:line="360" w:lineRule="auto"/>
        <w:jc w:val="center"/>
        <w:rPr>
          <w:rFonts w:hint="eastAsia" w:ascii="黑体" w:eastAsia="黑体"/>
          <w:bCs/>
          <w:color w:val="000000" w:themeColor="text1"/>
          <w:sz w:val="48"/>
          <w:szCs w:val="48"/>
          <w:highlight w:val="none"/>
          <w:lang w:eastAsia="zh-CN"/>
        </w:rPr>
      </w:pPr>
    </w:p>
    <w:p w14:paraId="4D7A6C37">
      <w:pPr>
        <w:pStyle w:val="23"/>
        <w:widowControl/>
        <w:adjustRightInd w:val="0"/>
        <w:snapToGrid w:val="0"/>
        <w:spacing w:line="360" w:lineRule="auto"/>
        <w:jc w:val="center"/>
        <w:rPr>
          <w:rFonts w:hint="eastAsia" w:ascii="黑体" w:eastAsia="黑体"/>
          <w:bCs/>
          <w:color w:val="000000" w:themeColor="text1"/>
          <w:sz w:val="32"/>
          <w:szCs w:val="32"/>
          <w:highlight w:val="none"/>
          <w:lang w:eastAsia="zh-CN"/>
        </w:rPr>
      </w:pPr>
    </w:p>
    <w:p w14:paraId="61A17971">
      <w:pPr>
        <w:pStyle w:val="23"/>
        <w:widowControl/>
        <w:adjustRightInd w:val="0"/>
        <w:snapToGrid w:val="0"/>
        <w:spacing w:line="360" w:lineRule="auto"/>
        <w:rPr>
          <w:rFonts w:ascii="黑体" w:eastAsia="黑体"/>
          <w:bCs/>
          <w:color w:val="000000" w:themeColor="text1"/>
          <w:sz w:val="52"/>
          <w:szCs w:val="52"/>
          <w:highlight w:val="none"/>
        </w:rPr>
      </w:pPr>
    </w:p>
    <w:p w14:paraId="2259EC89">
      <w:pPr>
        <w:pStyle w:val="23"/>
        <w:widowControl/>
        <w:adjustRightInd w:val="0"/>
        <w:snapToGrid w:val="0"/>
        <w:spacing w:line="360" w:lineRule="auto"/>
        <w:rPr>
          <w:rFonts w:ascii="黑体" w:eastAsia="黑体"/>
          <w:bCs/>
          <w:color w:val="000000" w:themeColor="text1"/>
          <w:sz w:val="52"/>
          <w:szCs w:val="52"/>
          <w:highlight w:val="none"/>
        </w:rPr>
      </w:pPr>
    </w:p>
    <w:p w14:paraId="024F4F8B">
      <w:pPr>
        <w:pStyle w:val="23"/>
        <w:widowControl/>
        <w:adjustRightInd w:val="0"/>
        <w:snapToGrid w:val="0"/>
        <w:spacing w:line="360" w:lineRule="auto"/>
        <w:rPr>
          <w:rFonts w:ascii="黑体" w:eastAsia="黑体"/>
          <w:bCs/>
          <w:color w:val="000000" w:themeColor="text1"/>
          <w:sz w:val="52"/>
          <w:szCs w:val="52"/>
          <w:highlight w:val="none"/>
        </w:rPr>
      </w:pPr>
    </w:p>
    <w:tbl>
      <w:tblPr>
        <w:tblStyle w:val="46"/>
        <w:tblW w:w="8908" w:type="dxa"/>
        <w:jc w:val="center"/>
        <w:tblLayout w:type="fixed"/>
        <w:tblCellMar>
          <w:top w:w="0" w:type="dxa"/>
          <w:left w:w="108" w:type="dxa"/>
          <w:bottom w:w="0" w:type="dxa"/>
          <w:right w:w="108" w:type="dxa"/>
        </w:tblCellMar>
      </w:tblPr>
      <w:tblGrid>
        <w:gridCol w:w="1951"/>
        <w:gridCol w:w="284"/>
        <w:gridCol w:w="6673"/>
      </w:tblGrid>
      <w:tr w14:paraId="27868AC7">
        <w:trPr>
          <w:trHeight w:val="77" w:hRule="atLeast"/>
          <w:jc w:val="center"/>
        </w:trPr>
        <w:tc>
          <w:tcPr>
            <w:tcW w:w="1951" w:type="dxa"/>
            <w:vAlign w:val="center"/>
          </w:tcPr>
          <w:p w14:paraId="2033B886">
            <w:pPr>
              <w:pStyle w:val="23"/>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项目编号</w:t>
            </w:r>
          </w:p>
        </w:tc>
        <w:tc>
          <w:tcPr>
            <w:tcW w:w="284" w:type="dxa"/>
          </w:tcPr>
          <w:p w14:paraId="502D3F0F">
            <w:pPr>
              <w:pStyle w:val="23"/>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673" w:type="dxa"/>
            <w:vAlign w:val="center"/>
          </w:tcPr>
          <w:p w14:paraId="2A9762C7">
            <w:pPr>
              <w:pStyle w:val="23"/>
              <w:widowControl/>
              <w:adjustRightInd w:val="0"/>
              <w:snapToGrid w:val="0"/>
              <w:spacing w:line="360" w:lineRule="auto"/>
              <w:jc w:val="left"/>
              <w:rPr>
                <w:rFonts w:hint="eastAsia" w:hAnsi="宋体" w:eastAsia="宋体"/>
                <w:b/>
                <w:color w:val="000000" w:themeColor="text1"/>
                <w:sz w:val="28"/>
                <w:szCs w:val="28"/>
                <w:highlight w:val="none"/>
                <w:lang w:eastAsia="zh-CN"/>
              </w:rPr>
            </w:pPr>
            <w:r>
              <w:rPr>
                <w:rFonts w:hint="eastAsia" w:hAnsi="宋体"/>
                <w:b/>
                <w:color w:val="000000" w:themeColor="text1"/>
                <w:sz w:val="28"/>
                <w:szCs w:val="28"/>
                <w:highlight w:val="none"/>
                <w:lang w:eastAsia="zh-CN"/>
              </w:rPr>
              <w:t>YXCG-20250728</w:t>
            </w:r>
          </w:p>
        </w:tc>
      </w:tr>
      <w:tr w14:paraId="40BA8222">
        <w:tblPrEx>
          <w:tblCellMar>
            <w:top w:w="0" w:type="dxa"/>
            <w:left w:w="108" w:type="dxa"/>
            <w:bottom w:w="0" w:type="dxa"/>
            <w:right w:w="108" w:type="dxa"/>
          </w:tblCellMar>
        </w:tblPrEx>
        <w:trPr>
          <w:trHeight w:val="77" w:hRule="atLeast"/>
          <w:jc w:val="center"/>
        </w:trPr>
        <w:tc>
          <w:tcPr>
            <w:tcW w:w="1951" w:type="dxa"/>
          </w:tcPr>
          <w:p w14:paraId="500FE218">
            <w:pPr>
              <w:pStyle w:val="23"/>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项目名称</w:t>
            </w:r>
          </w:p>
        </w:tc>
        <w:tc>
          <w:tcPr>
            <w:tcW w:w="284" w:type="dxa"/>
          </w:tcPr>
          <w:p w14:paraId="4878AABB">
            <w:pPr>
              <w:pStyle w:val="23"/>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673" w:type="dxa"/>
            <w:vAlign w:val="center"/>
          </w:tcPr>
          <w:p w14:paraId="227AE074">
            <w:pPr>
              <w:pStyle w:val="23"/>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阳江市江城第一中学第一饭堂（2025-2026学年）食材配送项目</w:t>
            </w:r>
          </w:p>
        </w:tc>
      </w:tr>
      <w:tr w14:paraId="4CC839C9">
        <w:tblPrEx>
          <w:tblCellMar>
            <w:top w:w="0" w:type="dxa"/>
            <w:left w:w="108" w:type="dxa"/>
            <w:bottom w:w="0" w:type="dxa"/>
            <w:right w:w="108" w:type="dxa"/>
          </w:tblCellMar>
        </w:tblPrEx>
        <w:trPr>
          <w:trHeight w:val="77" w:hRule="atLeast"/>
          <w:jc w:val="center"/>
        </w:trPr>
        <w:tc>
          <w:tcPr>
            <w:tcW w:w="1951" w:type="dxa"/>
            <w:vAlign w:val="center"/>
          </w:tcPr>
          <w:p w14:paraId="5119328C">
            <w:pPr>
              <w:pStyle w:val="23"/>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采购人</w:t>
            </w:r>
          </w:p>
        </w:tc>
        <w:tc>
          <w:tcPr>
            <w:tcW w:w="284" w:type="dxa"/>
          </w:tcPr>
          <w:p w14:paraId="58EA6B12">
            <w:pPr>
              <w:pStyle w:val="23"/>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673" w:type="dxa"/>
            <w:vAlign w:val="center"/>
          </w:tcPr>
          <w:p w14:paraId="497D2129">
            <w:pPr>
              <w:pStyle w:val="23"/>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阳江市江城第一中学</w:t>
            </w:r>
          </w:p>
        </w:tc>
      </w:tr>
      <w:tr w14:paraId="1EEE91A8">
        <w:tblPrEx>
          <w:tblCellMar>
            <w:top w:w="0" w:type="dxa"/>
            <w:left w:w="108" w:type="dxa"/>
            <w:bottom w:w="0" w:type="dxa"/>
            <w:right w:w="108" w:type="dxa"/>
          </w:tblCellMar>
        </w:tblPrEx>
        <w:trPr>
          <w:trHeight w:val="77" w:hRule="atLeast"/>
          <w:jc w:val="center"/>
        </w:trPr>
        <w:tc>
          <w:tcPr>
            <w:tcW w:w="1951" w:type="dxa"/>
            <w:vAlign w:val="center"/>
          </w:tcPr>
          <w:p w14:paraId="6225F618">
            <w:pPr>
              <w:pStyle w:val="23"/>
              <w:widowControl/>
              <w:adjustRightInd w:val="0"/>
              <w:snapToGrid w:val="0"/>
              <w:spacing w:line="360" w:lineRule="auto"/>
              <w:jc w:val="distribute"/>
              <w:rPr>
                <w:rFonts w:hAnsi="宋体"/>
                <w:b/>
                <w:bCs/>
                <w:color w:val="000000" w:themeColor="text1"/>
                <w:sz w:val="28"/>
                <w:szCs w:val="28"/>
                <w:highlight w:val="none"/>
              </w:rPr>
            </w:pPr>
            <w:r>
              <w:rPr>
                <w:rFonts w:hint="eastAsia" w:hAnsi="宋体"/>
                <w:b/>
                <w:color w:val="000000" w:themeColor="text1"/>
                <w:sz w:val="28"/>
                <w:szCs w:val="28"/>
                <w:highlight w:val="none"/>
              </w:rPr>
              <w:t>采购代理机构</w:t>
            </w:r>
          </w:p>
        </w:tc>
        <w:tc>
          <w:tcPr>
            <w:tcW w:w="284" w:type="dxa"/>
          </w:tcPr>
          <w:p w14:paraId="38933EDE">
            <w:pPr>
              <w:pStyle w:val="23"/>
              <w:widowControl/>
              <w:adjustRightInd w:val="0"/>
              <w:snapToGrid w:val="0"/>
              <w:spacing w:line="360" w:lineRule="auto"/>
              <w:jc w:val="left"/>
              <w:rPr>
                <w:rFonts w:hAnsi="宋体"/>
                <w:b/>
                <w:color w:val="000000" w:themeColor="text1"/>
                <w:sz w:val="28"/>
                <w:szCs w:val="28"/>
                <w:highlight w:val="none"/>
              </w:rPr>
            </w:pPr>
            <w:r>
              <w:rPr>
                <w:rFonts w:hint="eastAsia" w:hAnsi="宋体"/>
                <w:b/>
                <w:color w:val="000000" w:themeColor="text1"/>
                <w:sz w:val="28"/>
                <w:szCs w:val="28"/>
                <w:highlight w:val="none"/>
              </w:rPr>
              <w:t>：</w:t>
            </w:r>
          </w:p>
        </w:tc>
        <w:tc>
          <w:tcPr>
            <w:tcW w:w="6673" w:type="dxa"/>
            <w:vAlign w:val="center"/>
          </w:tcPr>
          <w:p w14:paraId="44DE62DF">
            <w:pPr>
              <w:pStyle w:val="23"/>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广东业信采购招标有限公司</w:t>
            </w:r>
          </w:p>
        </w:tc>
      </w:tr>
    </w:tbl>
    <w:p w14:paraId="1CDADB1A">
      <w:pPr>
        <w:spacing w:beforeLines="50" w:afterLines="50" w:line="360" w:lineRule="atLeast"/>
        <w:jc w:val="center"/>
        <w:rPr>
          <w:rFonts w:hint="eastAsia" w:ascii="宋体" w:hAnsi="宋体"/>
          <w:b/>
          <w:color w:val="000000" w:themeColor="text1"/>
          <w:sz w:val="36"/>
          <w:highlight w:val="none"/>
        </w:rPr>
      </w:pPr>
    </w:p>
    <w:p w14:paraId="479B379A">
      <w:pPr>
        <w:spacing w:beforeLines="50" w:afterLines="50" w:line="360" w:lineRule="atLeast"/>
        <w:jc w:val="center"/>
        <w:rPr>
          <w:rFonts w:ascii="宋体" w:hAnsi="宋体"/>
          <w:b/>
          <w:color w:val="000000" w:themeColor="text1"/>
          <w:sz w:val="36"/>
          <w:highlight w:val="none"/>
        </w:rPr>
      </w:pPr>
      <w:r>
        <w:rPr>
          <w:rFonts w:hint="eastAsia" w:ascii="宋体" w:hAnsi="宋体"/>
          <w:b/>
          <w:color w:val="000000" w:themeColor="text1"/>
          <w:sz w:val="36"/>
          <w:highlight w:val="none"/>
        </w:rPr>
        <w:t>温馨提示：特别注意事项</w:t>
      </w:r>
    </w:p>
    <w:p w14:paraId="1F3140CA">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请供应商特别留意招标文件上注明的投标截止和开标时间，逾期送达或邮寄送达的投标文件</w:t>
      </w:r>
      <w:r>
        <w:rPr>
          <w:rFonts w:hint="eastAsia" w:ascii="宋体" w:hAnsi="宋体"/>
          <w:color w:val="000000" w:themeColor="text1"/>
          <w:szCs w:val="21"/>
          <w:highlight w:val="none"/>
        </w:rPr>
        <w:t>，招标采购单位</w:t>
      </w:r>
      <w:r>
        <w:rPr>
          <w:rFonts w:ascii="宋体" w:hAnsi="宋体"/>
          <w:color w:val="000000" w:themeColor="text1"/>
          <w:szCs w:val="21"/>
          <w:highlight w:val="none"/>
        </w:rPr>
        <w:t>恕不接收。因此，请供应商适当提前到达</w:t>
      </w:r>
      <w:r>
        <w:rPr>
          <w:rFonts w:hint="eastAsia" w:ascii="宋体" w:hAnsi="宋体"/>
          <w:color w:val="000000" w:themeColor="text1"/>
          <w:szCs w:val="21"/>
          <w:highlight w:val="none"/>
        </w:rPr>
        <w:t>开标</w:t>
      </w:r>
      <w:r>
        <w:rPr>
          <w:rFonts w:hint="eastAsia" w:ascii="宋体" w:hAnsi="宋体"/>
          <w:color w:val="000000" w:themeColor="text1"/>
          <w:szCs w:val="21"/>
          <w:highlight w:val="none"/>
          <w:lang w:val="en-US" w:eastAsia="zh-CN"/>
        </w:rPr>
        <w:t>现场</w:t>
      </w:r>
      <w:r>
        <w:rPr>
          <w:rFonts w:ascii="宋体" w:hAnsi="宋体"/>
          <w:color w:val="000000" w:themeColor="text1"/>
          <w:szCs w:val="21"/>
          <w:highlight w:val="none"/>
        </w:rPr>
        <w:t>。</w:t>
      </w:r>
    </w:p>
    <w:p w14:paraId="7A5C7A43">
      <w:pPr>
        <w:numPr>
          <w:ilvl w:val="0"/>
          <w:numId w:val="21"/>
        </w:numPr>
        <w:spacing w:line="440" w:lineRule="exact"/>
        <w:ind w:left="454" w:hanging="454"/>
        <w:rPr>
          <w:rFonts w:ascii="宋体" w:hAnsi="宋体"/>
          <w:color w:val="000000" w:themeColor="text1"/>
          <w:szCs w:val="21"/>
          <w:highlight w:val="none"/>
        </w:rPr>
      </w:pPr>
      <w:r>
        <w:rPr>
          <w:rFonts w:ascii="宋体" w:hAnsi="宋体"/>
          <w:b/>
          <w:color w:val="000000" w:themeColor="text1"/>
          <w:szCs w:val="21"/>
          <w:highlight w:val="none"/>
          <w:u w:val="single"/>
        </w:rPr>
        <w:t>招标文件中标有“★”的</w:t>
      </w:r>
      <w:r>
        <w:rPr>
          <w:rFonts w:hint="eastAsia" w:ascii="宋体" w:hAnsi="宋体"/>
          <w:b/>
          <w:color w:val="000000" w:themeColor="text1"/>
          <w:szCs w:val="21"/>
          <w:highlight w:val="none"/>
          <w:u w:val="single"/>
        </w:rPr>
        <w:t>条款</w:t>
      </w:r>
      <w:r>
        <w:rPr>
          <w:rFonts w:ascii="宋体" w:hAnsi="宋体"/>
          <w:b/>
          <w:color w:val="000000" w:themeColor="text1"/>
          <w:szCs w:val="21"/>
          <w:highlight w:val="none"/>
          <w:u w:val="single"/>
        </w:rPr>
        <w:t>，</w:t>
      </w:r>
      <w:r>
        <w:rPr>
          <w:rFonts w:hint="eastAsia" w:ascii="宋体" w:hAnsi="宋体"/>
          <w:b/>
          <w:color w:val="000000" w:themeColor="text1"/>
          <w:szCs w:val="21"/>
          <w:highlight w:val="none"/>
          <w:u w:val="single"/>
        </w:rPr>
        <w:t>供应商</w:t>
      </w:r>
      <w:r>
        <w:rPr>
          <w:rFonts w:ascii="宋体" w:hAnsi="宋体"/>
          <w:b/>
          <w:color w:val="000000" w:themeColor="text1"/>
          <w:szCs w:val="21"/>
          <w:highlight w:val="none"/>
          <w:u w:val="single"/>
        </w:rPr>
        <w:t>必须一一响应</w:t>
      </w:r>
      <w:r>
        <w:rPr>
          <w:rFonts w:ascii="宋体" w:hAnsi="宋体"/>
          <w:color w:val="000000" w:themeColor="text1"/>
          <w:szCs w:val="21"/>
          <w:highlight w:val="none"/>
        </w:rPr>
        <w:t>。</w:t>
      </w:r>
      <w:r>
        <w:rPr>
          <w:rFonts w:ascii="宋体" w:hAnsi="宋体"/>
          <w:b/>
          <w:color w:val="000000" w:themeColor="text1"/>
          <w:szCs w:val="21"/>
          <w:highlight w:val="none"/>
          <w:u w:val="single"/>
        </w:rPr>
        <w:t>若有一项带“★”的指标要求未响应或不满足，</w:t>
      </w:r>
      <w:r>
        <w:rPr>
          <w:rFonts w:hint="eastAsia" w:ascii="宋体" w:hAnsi="宋体"/>
          <w:b/>
          <w:color w:val="000000" w:themeColor="text1"/>
          <w:szCs w:val="21"/>
          <w:highlight w:val="none"/>
          <w:u w:val="single"/>
        </w:rPr>
        <w:t>其投标</w:t>
      </w:r>
      <w:r>
        <w:rPr>
          <w:rFonts w:ascii="宋体" w:hAnsi="宋体"/>
          <w:b/>
          <w:color w:val="000000" w:themeColor="text1"/>
          <w:szCs w:val="21"/>
          <w:highlight w:val="none"/>
          <w:u w:val="single"/>
        </w:rPr>
        <w:t>将按无效投标处理。</w:t>
      </w:r>
    </w:p>
    <w:p w14:paraId="5B60E1DB">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请正确填写《开标一览表》，</w:t>
      </w:r>
      <w:r>
        <w:rPr>
          <w:rFonts w:hint="eastAsia" w:ascii="宋体" w:hAnsi="宋体"/>
          <w:color w:val="000000" w:themeColor="text1"/>
          <w:szCs w:val="21"/>
          <w:highlight w:val="none"/>
        </w:rPr>
        <w:t>如</w:t>
      </w:r>
      <w:r>
        <w:rPr>
          <w:rFonts w:ascii="宋体" w:hAnsi="宋体"/>
          <w:color w:val="000000" w:themeColor="text1"/>
          <w:szCs w:val="21"/>
          <w:highlight w:val="none"/>
        </w:rPr>
        <w:t>含有</w:t>
      </w:r>
      <w:r>
        <w:rPr>
          <w:rFonts w:hint="eastAsia" w:ascii="宋体" w:hAnsi="宋体"/>
          <w:color w:val="000000" w:themeColor="text1"/>
          <w:szCs w:val="21"/>
          <w:highlight w:val="none"/>
        </w:rPr>
        <w:t>包组</w:t>
      </w:r>
      <w:r>
        <w:rPr>
          <w:rFonts w:ascii="宋体" w:hAnsi="宋体"/>
          <w:color w:val="000000" w:themeColor="text1"/>
          <w:szCs w:val="21"/>
          <w:highlight w:val="none"/>
        </w:rPr>
        <w:t>的投标项目</w:t>
      </w:r>
      <w:r>
        <w:rPr>
          <w:rFonts w:hint="eastAsia" w:ascii="宋体" w:hAnsi="宋体"/>
          <w:color w:val="000000" w:themeColor="text1"/>
          <w:szCs w:val="21"/>
          <w:highlight w:val="none"/>
        </w:rPr>
        <w:t>建议</w:t>
      </w:r>
      <w:r>
        <w:rPr>
          <w:rFonts w:ascii="宋体" w:hAnsi="宋体"/>
          <w:color w:val="000000" w:themeColor="text1"/>
          <w:szCs w:val="21"/>
          <w:highlight w:val="none"/>
        </w:rPr>
        <w:t>分开报价，</w:t>
      </w:r>
      <w:r>
        <w:rPr>
          <w:rFonts w:hint="eastAsia" w:ascii="宋体" w:hAnsi="宋体"/>
          <w:color w:val="000000" w:themeColor="text1"/>
          <w:szCs w:val="21"/>
          <w:highlight w:val="none"/>
        </w:rPr>
        <w:t>报价要求详见招标文件《开标一览表》</w:t>
      </w:r>
      <w:r>
        <w:rPr>
          <w:rFonts w:ascii="宋体" w:hAnsi="宋体"/>
          <w:color w:val="000000" w:themeColor="text1"/>
          <w:szCs w:val="21"/>
          <w:highlight w:val="none"/>
        </w:rPr>
        <w:t>。</w:t>
      </w:r>
    </w:p>
    <w:p w14:paraId="158A7CD5">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请仔细检查《投标函》、《开标一览表》、</w:t>
      </w:r>
      <w:r>
        <w:rPr>
          <w:rFonts w:hint="eastAsia" w:ascii="宋体" w:hAnsi="宋体"/>
          <w:color w:val="000000" w:themeColor="text1"/>
          <w:szCs w:val="21"/>
          <w:highlight w:val="none"/>
        </w:rPr>
        <w:t>《法定代表人（负责人）证明书》、</w:t>
      </w:r>
      <w:r>
        <w:rPr>
          <w:rFonts w:ascii="宋体" w:hAnsi="宋体"/>
          <w:color w:val="000000" w:themeColor="text1"/>
          <w:szCs w:val="21"/>
          <w:highlight w:val="none"/>
        </w:rPr>
        <w:t>《</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授权书》等重要格式文件是否有按要求盖公章或签名</w:t>
      </w:r>
      <w:r>
        <w:rPr>
          <w:rFonts w:hint="eastAsia" w:ascii="宋体" w:hAnsi="宋体" w:cs="Tahoma"/>
          <w:b/>
          <w:bCs/>
          <w:color w:val="000000" w:themeColor="text1"/>
          <w:szCs w:val="21"/>
          <w:highlight w:val="none"/>
        </w:rPr>
        <w:t>。</w:t>
      </w:r>
    </w:p>
    <w:p w14:paraId="6A4E1550">
      <w:pPr>
        <w:numPr>
          <w:ilvl w:val="0"/>
          <w:numId w:val="21"/>
        </w:numPr>
        <w:spacing w:line="440" w:lineRule="exact"/>
        <w:ind w:left="454" w:hanging="454"/>
        <w:rPr>
          <w:rFonts w:ascii="宋体" w:hAnsi="宋体"/>
          <w:color w:val="000000" w:themeColor="text1"/>
          <w:szCs w:val="21"/>
          <w:highlight w:val="none"/>
        </w:rPr>
      </w:pPr>
      <w:r>
        <w:rPr>
          <w:rFonts w:hint="eastAsia" w:ascii="宋体" w:hAnsi="宋体"/>
          <w:color w:val="000000" w:themeColor="text1"/>
          <w:szCs w:val="21"/>
          <w:highlight w:val="none"/>
        </w:rPr>
        <w:t>投标人为中型、小型、微型企业的，请提交《中小微企业声明函》（详情见《政府采购促进中小企业发展暂行办法》）。</w:t>
      </w:r>
    </w:p>
    <w:p w14:paraId="6A46DF98">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建议将投标文件按</w:t>
      </w:r>
      <w:r>
        <w:rPr>
          <w:rFonts w:hint="eastAsia" w:ascii="宋体" w:hAnsi="宋体"/>
          <w:color w:val="000000" w:themeColor="text1"/>
          <w:szCs w:val="21"/>
          <w:highlight w:val="none"/>
        </w:rPr>
        <w:t>目录格式</w:t>
      </w:r>
      <w:r>
        <w:rPr>
          <w:rFonts w:ascii="宋体" w:hAnsi="宋体"/>
          <w:color w:val="000000" w:themeColor="text1"/>
          <w:szCs w:val="21"/>
          <w:highlight w:val="none"/>
        </w:rPr>
        <w:t>顺序编制页码。</w:t>
      </w:r>
    </w:p>
    <w:p w14:paraId="2D51D508">
      <w:pPr>
        <w:numPr>
          <w:ilvl w:val="0"/>
          <w:numId w:val="21"/>
        </w:numPr>
        <w:spacing w:line="440" w:lineRule="exact"/>
        <w:ind w:left="454" w:hanging="454"/>
        <w:rPr>
          <w:rFonts w:ascii="宋体" w:hAnsi="宋体"/>
          <w:color w:val="000000" w:themeColor="text1"/>
          <w:szCs w:val="21"/>
          <w:highlight w:val="none"/>
        </w:rPr>
      </w:pPr>
      <w:r>
        <w:rPr>
          <w:rFonts w:hint="eastAsia" w:ascii="宋体" w:hAnsi="宋体"/>
          <w:color w:val="000000" w:themeColor="text1"/>
          <w:szCs w:val="21"/>
          <w:highlight w:val="none"/>
        </w:rPr>
        <w:t>分公司作为投标人的，需提供具有法人资格的总公司的营业执照副本复印件及授权书。</w:t>
      </w:r>
    </w:p>
    <w:p w14:paraId="295426AD">
      <w:pPr>
        <w:numPr>
          <w:ilvl w:val="0"/>
          <w:numId w:val="21"/>
        </w:numPr>
        <w:spacing w:line="440" w:lineRule="exact"/>
        <w:ind w:left="454" w:hanging="454"/>
        <w:rPr>
          <w:rFonts w:ascii="宋体" w:hAnsi="宋体"/>
          <w:color w:val="000000" w:themeColor="text1"/>
          <w:szCs w:val="21"/>
          <w:highlight w:val="none"/>
        </w:rPr>
      </w:pPr>
      <w:r>
        <w:rPr>
          <w:rFonts w:hint="eastAsia" w:ascii="宋体" w:hAnsi="宋体"/>
          <w:b/>
          <w:color w:val="000000" w:themeColor="text1"/>
          <w:szCs w:val="21"/>
          <w:highlight w:val="none"/>
        </w:rPr>
        <w:t>投标人请注意区分投标保证金及招标代理服务费收款</w:t>
      </w:r>
      <w:r>
        <w:rPr>
          <w:rFonts w:hint="eastAsia" w:ascii="宋体" w:hAnsi="宋体"/>
          <w:b/>
          <w:color w:val="000000" w:themeColor="text1"/>
          <w:highlight w:val="none"/>
        </w:rPr>
        <w:t>账号</w:t>
      </w:r>
      <w:r>
        <w:rPr>
          <w:rFonts w:hint="eastAsia" w:ascii="宋体" w:hAnsi="宋体"/>
          <w:b/>
          <w:color w:val="000000" w:themeColor="text1"/>
          <w:szCs w:val="21"/>
          <w:highlight w:val="none"/>
        </w:rPr>
        <w:t>的区别</w:t>
      </w:r>
      <w:r>
        <w:rPr>
          <w:rFonts w:hint="eastAsia" w:ascii="宋体" w:hAnsi="宋体"/>
          <w:color w:val="000000" w:themeColor="text1"/>
          <w:szCs w:val="21"/>
          <w:highlight w:val="none"/>
        </w:rPr>
        <w:t>，务必将保证金按招标文件的要求缴纳，招标代理服务费存入招标文件指定的服务费账户。切勿将款项转错账户，以免影响采购活动。</w:t>
      </w:r>
    </w:p>
    <w:p w14:paraId="3E962422">
      <w:pPr>
        <w:numPr>
          <w:ilvl w:val="0"/>
          <w:numId w:val="21"/>
        </w:numPr>
        <w:spacing w:line="440" w:lineRule="exact"/>
        <w:ind w:left="454" w:hanging="454"/>
        <w:rPr>
          <w:rFonts w:ascii="宋体" w:hAnsi="宋体" w:cs="仿宋_GB2312"/>
          <w:b/>
          <w:bCs/>
          <w:color w:val="000000" w:themeColor="text1"/>
          <w:szCs w:val="21"/>
          <w:highlight w:val="none"/>
          <w:lang w:val="zh-CN"/>
        </w:rPr>
      </w:pPr>
      <w:r>
        <w:rPr>
          <w:rFonts w:hint="eastAsia" w:ascii="宋体" w:hAnsi="宋体"/>
          <w:color w:val="000000" w:themeColor="text1"/>
          <w:szCs w:val="21"/>
          <w:highlight w:val="none"/>
        </w:rPr>
        <w:t>我司</w:t>
      </w:r>
      <w:r>
        <w:rPr>
          <w:rFonts w:ascii="宋体" w:hAnsi="宋体"/>
          <w:color w:val="000000" w:themeColor="text1"/>
          <w:szCs w:val="21"/>
          <w:highlight w:val="none"/>
        </w:rPr>
        <w:t>为采购代理机构，不对供应商购买招标文件时提交的相关资料的真伪做出判断，如供应商发现相关资料被盗用或复制，建议遵循法律途径解决，追究侵权者责任。对一家供应商递交两份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rPr>
        <w:t>不同</w:t>
      </w:r>
      <w:r>
        <w:rPr>
          <w:rFonts w:ascii="宋体" w:hAnsi="宋体"/>
          <w:color w:val="000000" w:themeColor="text1"/>
          <w:szCs w:val="21"/>
          <w:highlight w:val="none"/>
        </w:rPr>
        <w:t>投标</w:t>
      </w:r>
      <w:r>
        <w:rPr>
          <w:rFonts w:hint="eastAsia" w:ascii="宋体" w:hAnsi="宋体"/>
          <w:color w:val="000000" w:themeColor="text1"/>
          <w:szCs w:val="21"/>
          <w:highlight w:val="none"/>
        </w:rPr>
        <w:t>方案</w:t>
      </w:r>
      <w:r>
        <w:rPr>
          <w:rFonts w:ascii="宋体" w:hAnsi="宋体"/>
          <w:color w:val="000000" w:themeColor="text1"/>
          <w:szCs w:val="21"/>
          <w:highlight w:val="none"/>
        </w:rPr>
        <w:t>的，</w:t>
      </w:r>
      <w:r>
        <w:rPr>
          <w:rFonts w:hint="eastAsia" w:ascii="宋体" w:hAnsi="宋体"/>
          <w:color w:val="000000" w:themeColor="text1"/>
          <w:szCs w:val="21"/>
          <w:highlight w:val="none"/>
        </w:rPr>
        <w:t>评标委员会</w:t>
      </w:r>
      <w:r>
        <w:rPr>
          <w:rFonts w:ascii="宋体" w:hAnsi="宋体"/>
          <w:color w:val="000000" w:themeColor="text1"/>
          <w:szCs w:val="21"/>
          <w:highlight w:val="none"/>
        </w:rPr>
        <w:t>将</w:t>
      </w:r>
      <w:r>
        <w:rPr>
          <w:rFonts w:hint="eastAsia" w:ascii="宋体" w:hAnsi="宋体"/>
          <w:color w:val="000000" w:themeColor="text1"/>
          <w:szCs w:val="21"/>
          <w:highlight w:val="none"/>
        </w:rPr>
        <w:t>对其投标</w:t>
      </w:r>
      <w:r>
        <w:rPr>
          <w:rFonts w:ascii="宋体" w:hAnsi="宋体"/>
          <w:color w:val="000000" w:themeColor="text1"/>
          <w:szCs w:val="21"/>
          <w:highlight w:val="none"/>
        </w:rPr>
        <w:t>按无效投标处理</w:t>
      </w:r>
      <w:r>
        <w:rPr>
          <w:rFonts w:hint="eastAsia" w:ascii="宋体" w:hAnsi="宋体"/>
          <w:color w:val="000000" w:themeColor="text1"/>
          <w:szCs w:val="21"/>
          <w:highlight w:val="none"/>
        </w:rPr>
        <w:t>（如有特殊要求的除外）。</w:t>
      </w:r>
    </w:p>
    <w:p w14:paraId="5E0E8AD1">
      <w:pPr>
        <w:pStyle w:val="23"/>
        <w:widowControl/>
        <w:adjustRightInd w:val="0"/>
        <w:snapToGrid w:val="0"/>
        <w:spacing w:line="440" w:lineRule="exact"/>
        <w:ind w:firstLine="413" w:firstLineChars="196"/>
        <w:rPr>
          <w:rFonts w:ascii="黑体" w:eastAsia="黑体"/>
          <w:bCs/>
          <w:color w:val="000000" w:themeColor="text1"/>
          <w:sz w:val="30"/>
          <w:szCs w:val="30"/>
          <w:highlight w:val="none"/>
        </w:rPr>
      </w:pPr>
      <w:r>
        <w:rPr>
          <w:rFonts w:hint="eastAsia" w:hAnsi="宋体" w:cs="仿宋_GB2312"/>
          <w:b/>
          <w:bCs/>
          <w:color w:val="000000" w:themeColor="text1"/>
          <w:highlight w:val="none"/>
          <w:lang w:val="zh-CN"/>
        </w:rPr>
        <w:t>（本提示内容非招标文件的组成部分，仅为善意提醒。如有不一致，以招标文件为准）</w:t>
      </w:r>
    </w:p>
    <w:p w14:paraId="737BC8F3">
      <w:pPr>
        <w:pStyle w:val="23"/>
        <w:widowControl/>
        <w:adjustRightInd w:val="0"/>
        <w:snapToGrid w:val="0"/>
        <w:spacing w:line="360" w:lineRule="auto"/>
        <w:jc w:val="center"/>
        <w:rPr>
          <w:rFonts w:ascii="黑体" w:eastAsia="黑体"/>
          <w:bCs/>
          <w:color w:val="000000" w:themeColor="text1"/>
          <w:sz w:val="30"/>
          <w:szCs w:val="30"/>
          <w:highlight w:val="none"/>
        </w:rPr>
        <w:sectPr>
          <w:headerReference r:id="rId3" w:type="default"/>
          <w:footerReference r:id="rId4" w:type="default"/>
          <w:footerReference r:id="rId5" w:type="even"/>
          <w:type w:val="continuous"/>
          <w:pgSz w:w="11907" w:h="16840"/>
          <w:pgMar w:top="1417" w:right="1474" w:bottom="1417" w:left="1474" w:header="851" w:footer="850" w:gutter="0"/>
          <w:cols w:space="0" w:num="1"/>
          <w:titlePg/>
          <w:docGrid w:linePitch="380" w:charSpace="0"/>
        </w:sectPr>
      </w:pPr>
    </w:p>
    <w:p w14:paraId="1824C0DB">
      <w:pPr>
        <w:tabs>
          <w:tab w:val="left" w:pos="2400"/>
          <w:tab w:val="center" w:pos="4479"/>
        </w:tabs>
        <w:jc w:val="left"/>
        <w:rPr>
          <w:rFonts w:ascii="宋体" w:hAnsi="宋体"/>
          <w:bCs/>
          <w:color w:val="000000" w:themeColor="text1"/>
          <w:szCs w:val="21"/>
          <w:highlight w:val="none"/>
        </w:rPr>
      </w:pPr>
      <w:r>
        <w:rPr>
          <w:rFonts w:ascii="宋体" w:hAnsi="宋体"/>
          <w:bCs/>
          <w:color w:val="000000" w:themeColor="text1"/>
          <w:szCs w:val="21"/>
          <w:highlight w:val="none"/>
        </w:rPr>
        <w:tab/>
      </w:r>
      <w:r>
        <w:rPr>
          <w:rFonts w:ascii="宋体" w:hAnsi="宋体"/>
          <w:bCs/>
          <w:color w:val="000000" w:themeColor="text1"/>
          <w:szCs w:val="21"/>
          <w:highlight w:val="none"/>
        </w:rPr>
        <w:tab/>
      </w:r>
    </w:p>
    <w:p w14:paraId="29B36833">
      <w:pPr>
        <w:tabs>
          <w:tab w:val="left" w:pos="2400"/>
          <w:tab w:val="center" w:pos="4479"/>
        </w:tabs>
        <w:jc w:val="left"/>
        <w:rPr>
          <w:rFonts w:ascii="宋体" w:hAnsi="宋体"/>
          <w:bCs/>
          <w:color w:val="000000" w:themeColor="text1"/>
          <w:szCs w:val="21"/>
          <w:highlight w:val="none"/>
        </w:rPr>
      </w:pPr>
    </w:p>
    <w:p w14:paraId="2B23B5F3">
      <w:pPr>
        <w:tabs>
          <w:tab w:val="left" w:pos="2400"/>
          <w:tab w:val="center" w:pos="4479"/>
        </w:tabs>
        <w:jc w:val="left"/>
        <w:rPr>
          <w:rFonts w:ascii="宋体" w:hAnsi="宋体"/>
          <w:bCs/>
          <w:color w:val="000000" w:themeColor="text1"/>
          <w:szCs w:val="21"/>
          <w:highlight w:val="none"/>
        </w:rPr>
      </w:pPr>
    </w:p>
    <w:p w14:paraId="57FA9E72">
      <w:pPr>
        <w:tabs>
          <w:tab w:val="left" w:pos="2400"/>
          <w:tab w:val="center" w:pos="4479"/>
        </w:tabs>
        <w:jc w:val="left"/>
        <w:rPr>
          <w:rFonts w:ascii="宋体" w:hAnsi="宋体"/>
          <w:bCs/>
          <w:color w:val="000000" w:themeColor="text1"/>
          <w:szCs w:val="21"/>
          <w:highlight w:val="none"/>
        </w:rPr>
      </w:pPr>
    </w:p>
    <w:p w14:paraId="199DA6B2">
      <w:pPr>
        <w:tabs>
          <w:tab w:val="left" w:pos="2400"/>
          <w:tab w:val="center" w:pos="4479"/>
        </w:tabs>
        <w:jc w:val="left"/>
        <w:rPr>
          <w:rFonts w:ascii="宋体" w:hAnsi="宋体"/>
          <w:bCs/>
          <w:color w:val="000000" w:themeColor="text1"/>
          <w:szCs w:val="21"/>
          <w:highlight w:val="none"/>
        </w:rPr>
      </w:pPr>
    </w:p>
    <w:p w14:paraId="332C268D">
      <w:pPr>
        <w:tabs>
          <w:tab w:val="left" w:pos="2400"/>
          <w:tab w:val="center" w:pos="4479"/>
        </w:tabs>
        <w:jc w:val="left"/>
        <w:rPr>
          <w:rFonts w:ascii="宋体" w:hAnsi="宋体"/>
          <w:bCs/>
          <w:color w:val="000000" w:themeColor="text1"/>
          <w:szCs w:val="21"/>
          <w:highlight w:val="none"/>
        </w:rPr>
      </w:pPr>
    </w:p>
    <w:p w14:paraId="7AE98936">
      <w:pPr>
        <w:tabs>
          <w:tab w:val="center" w:pos="4479"/>
          <w:tab w:val="left" w:pos="6183"/>
        </w:tabs>
        <w:jc w:val="left"/>
        <w:rPr>
          <w:rFonts w:hint="eastAsia" w:ascii="宋体" w:hAnsi="宋体" w:eastAsia="宋体"/>
          <w:bCs/>
          <w:color w:val="000000" w:themeColor="text1"/>
          <w:szCs w:val="21"/>
          <w:highlight w:val="none"/>
          <w:lang w:eastAsia="zh-CN"/>
        </w:rPr>
      </w:pPr>
      <w:r>
        <w:rPr>
          <w:rFonts w:hint="eastAsia" w:ascii="宋体" w:hAnsi="宋体"/>
          <w:bCs/>
          <w:color w:val="000000" w:themeColor="text1"/>
          <w:szCs w:val="21"/>
          <w:highlight w:val="none"/>
          <w:lang w:eastAsia="zh-CN"/>
        </w:rPr>
        <w:tab/>
      </w:r>
    </w:p>
    <w:p w14:paraId="5F34C522">
      <w:pPr>
        <w:tabs>
          <w:tab w:val="left" w:pos="2400"/>
          <w:tab w:val="center" w:pos="4479"/>
        </w:tabs>
        <w:jc w:val="left"/>
        <w:rPr>
          <w:rFonts w:ascii="宋体" w:hAnsi="宋体"/>
          <w:bCs/>
          <w:color w:val="000000" w:themeColor="text1"/>
          <w:szCs w:val="21"/>
          <w:highlight w:val="none"/>
        </w:rPr>
      </w:pPr>
    </w:p>
    <w:p w14:paraId="5EFB87D6">
      <w:pPr>
        <w:tabs>
          <w:tab w:val="left" w:pos="2400"/>
          <w:tab w:val="center" w:pos="4479"/>
        </w:tabs>
        <w:jc w:val="left"/>
        <w:rPr>
          <w:rFonts w:ascii="宋体" w:hAnsi="宋体"/>
          <w:bCs/>
          <w:color w:val="000000" w:themeColor="text1"/>
          <w:szCs w:val="21"/>
          <w:highlight w:val="none"/>
        </w:rPr>
      </w:pPr>
    </w:p>
    <w:p w14:paraId="47BEAEDC">
      <w:pPr>
        <w:tabs>
          <w:tab w:val="left" w:pos="2400"/>
          <w:tab w:val="center" w:pos="4479"/>
        </w:tabs>
        <w:jc w:val="left"/>
        <w:rPr>
          <w:rFonts w:ascii="宋体" w:hAnsi="宋体"/>
          <w:bCs/>
          <w:color w:val="000000" w:themeColor="text1"/>
          <w:szCs w:val="21"/>
          <w:highlight w:val="none"/>
        </w:rPr>
      </w:pPr>
    </w:p>
    <w:p w14:paraId="73763446">
      <w:pPr>
        <w:tabs>
          <w:tab w:val="left" w:pos="2400"/>
          <w:tab w:val="center" w:pos="4479"/>
        </w:tabs>
        <w:jc w:val="left"/>
        <w:rPr>
          <w:rFonts w:ascii="宋体" w:hAnsi="宋体"/>
          <w:bCs/>
          <w:color w:val="000000" w:themeColor="text1"/>
          <w:szCs w:val="21"/>
          <w:highlight w:val="none"/>
        </w:rPr>
      </w:pPr>
    </w:p>
    <w:p w14:paraId="10F31161">
      <w:pPr>
        <w:tabs>
          <w:tab w:val="left" w:pos="2400"/>
          <w:tab w:val="center" w:pos="4479"/>
        </w:tabs>
        <w:jc w:val="left"/>
        <w:rPr>
          <w:rFonts w:ascii="宋体" w:hAnsi="宋体"/>
          <w:bCs/>
          <w:color w:val="000000" w:themeColor="text1"/>
          <w:szCs w:val="21"/>
          <w:highlight w:val="none"/>
        </w:rPr>
      </w:pPr>
    </w:p>
    <w:p w14:paraId="68F061E7">
      <w:pPr>
        <w:tabs>
          <w:tab w:val="left" w:pos="2400"/>
          <w:tab w:val="center" w:pos="4479"/>
        </w:tabs>
        <w:jc w:val="left"/>
        <w:rPr>
          <w:rFonts w:ascii="宋体" w:hAnsi="宋体"/>
          <w:bCs/>
          <w:color w:val="000000" w:themeColor="text1"/>
          <w:szCs w:val="21"/>
          <w:highlight w:val="none"/>
        </w:rPr>
      </w:pPr>
    </w:p>
    <w:p w14:paraId="3D2AF0AC">
      <w:pPr>
        <w:tabs>
          <w:tab w:val="left" w:pos="2400"/>
          <w:tab w:val="center" w:pos="4479"/>
        </w:tabs>
        <w:jc w:val="left"/>
        <w:rPr>
          <w:rFonts w:ascii="宋体" w:hAnsi="宋体"/>
          <w:bCs/>
          <w:color w:val="000000" w:themeColor="text1"/>
          <w:szCs w:val="21"/>
          <w:highlight w:val="none"/>
        </w:rPr>
      </w:pPr>
    </w:p>
    <w:p w14:paraId="14E15F2B">
      <w:pPr>
        <w:tabs>
          <w:tab w:val="left" w:pos="2400"/>
          <w:tab w:val="center" w:pos="4479"/>
        </w:tabs>
        <w:jc w:val="left"/>
        <w:rPr>
          <w:rFonts w:ascii="宋体" w:hAnsi="宋体"/>
          <w:bCs/>
          <w:color w:val="000000" w:themeColor="text1"/>
          <w:szCs w:val="21"/>
          <w:highlight w:val="none"/>
        </w:rPr>
      </w:pPr>
    </w:p>
    <w:p w14:paraId="6D05BFE6">
      <w:pPr>
        <w:tabs>
          <w:tab w:val="left" w:pos="2400"/>
          <w:tab w:val="center" w:pos="4479"/>
        </w:tabs>
        <w:jc w:val="left"/>
        <w:rPr>
          <w:rFonts w:ascii="宋体" w:hAnsi="宋体"/>
          <w:bCs/>
          <w:color w:val="000000" w:themeColor="text1"/>
          <w:szCs w:val="21"/>
          <w:highlight w:val="none"/>
        </w:rPr>
      </w:pPr>
    </w:p>
    <w:p w14:paraId="2243CCFF">
      <w:pPr>
        <w:tabs>
          <w:tab w:val="left" w:pos="2400"/>
          <w:tab w:val="center" w:pos="4479"/>
        </w:tabs>
        <w:jc w:val="left"/>
        <w:rPr>
          <w:rFonts w:ascii="宋体" w:hAnsi="宋体"/>
          <w:bCs/>
          <w:color w:val="000000" w:themeColor="text1"/>
          <w:szCs w:val="21"/>
          <w:highlight w:val="none"/>
        </w:rPr>
      </w:pPr>
    </w:p>
    <w:p w14:paraId="098938A3">
      <w:pPr>
        <w:tabs>
          <w:tab w:val="left" w:pos="2400"/>
          <w:tab w:val="center" w:pos="4479"/>
        </w:tabs>
        <w:jc w:val="left"/>
        <w:rPr>
          <w:rFonts w:ascii="宋体" w:hAnsi="宋体"/>
          <w:bCs/>
          <w:color w:val="000000" w:themeColor="text1"/>
          <w:szCs w:val="21"/>
          <w:highlight w:val="none"/>
        </w:rPr>
      </w:pPr>
    </w:p>
    <w:p w14:paraId="3C66C34C">
      <w:pPr>
        <w:tabs>
          <w:tab w:val="left" w:pos="2400"/>
          <w:tab w:val="center" w:pos="4479"/>
        </w:tabs>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目   录</w:t>
      </w:r>
    </w:p>
    <w:p w14:paraId="10D22027">
      <w:pPr>
        <w:pStyle w:val="2"/>
        <w:numPr>
          <w:ilvl w:val="0"/>
          <w:numId w:val="0"/>
        </w:numPr>
        <w:spacing w:beforeLines="0" w:line="240" w:lineRule="auto"/>
        <w:rPr>
          <w:color w:val="000000" w:themeColor="text1"/>
          <w:highlight w:val="none"/>
        </w:rPr>
      </w:pPr>
    </w:p>
    <w:p w14:paraId="6655FAEC">
      <w:pPr>
        <w:pStyle w:val="30"/>
        <w:tabs>
          <w:tab w:val="right" w:leader="dot" w:pos="8959"/>
          <w:tab w:val="clear" w:pos="8949"/>
        </w:tabs>
      </w:pPr>
      <w:r>
        <w:rPr>
          <w:b w:val="0"/>
          <w:bCs w:val="0"/>
          <w:caps w:val="0"/>
          <w:color w:val="000000" w:themeColor="text1"/>
          <w:highlight w:val="none"/>
        </w:rPr>
        <w:fldChar w:fldCharType="begin"/>
      </w:r>
      <w:r>
        <w:rPr>
          <w:b w:val="0"/>
          <w:bCs w:val="0"/>
          <w:caps w:val="0"/>
          <w:color w:val="000000" w:themeColor="text1"/>
          <w:highlight w:val="none"/>
        </w:rPr>
        <w:instrText xml:space="preserve"> TOC \o "1-3" \h \z \u </w:instrText>
      </w:r>
      <w:r>
        <w:rPr>
          <w:b w:val="0"/>
          <w:bCs w:val="0"/>
          <w:caps w:val="0"/>
          <w:color w:val="000000" w:themeColor="text1"/>
          <w:highlight w:val="none"/>
        </w:rPr>
        <w:fldChar w:fldCharType="separate"/>
      </w:r>
      <w:r>
        <w:rPr>
          <w:bCs w:val="0"/>
          <w:caps w:val="0"/>
          <w:color w:val="000000" w:themeColor="text1"/>
          <w:highlight w:val="none"/>
        </w:rPr>
        <w:fldChar w:fldCharType="begin"/>
      </w:r>
      <w:r>
        <w:rPr>
          <w:bCs w:val="0"/>
          <w:caps w:val="0"/>
          <w:highlight w:val="none"/>
        </w:rPr>
        <w:instrText xml:space="preserve"> HYPERLINK \l _Toc23303 </w:instrText>
      </w:r>
      <w:r>
        <w:rPr>
          <w:bCs w:val="0"/>
          <w:caps w:val="0"/>
          <w:highlight w:val="none"/>
        </w:rPr>
        <w:fldChar w:fldCharType="separate"/>
      </w:r>
      <w:r>
        <w:rPr>
          <w:rFonts w:hint="eastAsia"/>
          <w:highlight w:val="none"/>
        </w:rPr>
        <w:t>第一部分 投标邀请函</w:t>
      </w:r>
      <w:r>
        <w:tab/>
      </w:r>
      <w:r>
        <w:fldChar w:fldCharType="begin"/>
      </w:r>
      <w:r>
        <w:instrText xml:space="preserve"> PAGEREF _Toc23303 \h </w:instrText>
      </w:r>
      <w:r>
        <w:fldChar w:fldCharType="separate"/>
      </w:r>
      <w:r>
        <w:t>5</w:t>
      </w:r>
      <w:r>
        <w:fldChar w:fldCharType="end"/>
      </w:r>
      <w:r>
        <w:rPr>
          <w:bCs w:val="0"/>
          <w:caps w:val="0"/>
          <w:color w:val="000000" w:themeColor="text1"/>
          <w:highlight w:val="none"/>
        </w:rPr>
        <w:fldChar w:fldCharType="end"/>
      </w:r>
    </w:p>
    <w:p w14:paraId="1B7EDA24">
      <w:pPr>
        <w:pStyle w:val="30"/>
        <w:tabs>
          <w:tab w:val="right" w:leader="dot" w:pos="8959"/>
          <w:tab w:val="clear" w:pos="8949"/>
        </w:tabs>
      </w:pPr>
      <w:r>
        <w:rPr>
          <w:bCs/>
          <w:caps/>
          <w:color w:val="000000" w:themeColor="text1"/>
          <w:szCs w:val="21"/>
          <w:highlight w:val="none"/>
        </w:rPr>
        <w:fldChar w:fldCharType="begin"/>
      </w:r>
      <w:r>
        <w:rPr>
          <w:bCs/>
          <w:caps/>
          <w:szCs w:val="21"/>
          <w:highlight w:val="none"/>
        </w:rPr>
        <w:instrText xml:space="preserve"> HYPERLINK \l _Toc17182 </w:instrText>
      </w:r>
      <w:r>
        <w:rPr>
          <w:bCs/>
          <w:caps/>
          <w:szCs w:val="21"/>
          <w:highlight w:val="none"/>
        </w:rPr>
        <w:fldChar w:fldCharType="separate"/>
      </w:r>
      <w:r>
        <w:rPr>
          <w:rFonts w:hint="eastAsia"/>
          <w:highlight w:val="none"/>
        </w:rPr>
        <w:t>第二部分 采购项目内容</w:t>
      </w:r>
      <w:r>
        <w:tab/>
      </w:r>
      <w:r>
        <w:fldChar w:fldCharType="begin"/>
      </w:r>
      <w:r>
        <w:instrText xml:space="preserve"> PAGEREF _Toc17182 \h </w:instrText>
      </w:r>
      <w:r>
        <w:fldChar w:fldCharType="separate"/>
      </w:r>
      <w:r>
        <w:t>8</w:t>
      </w:r>
      <w:r>
        <w:fldChar w:fldCharType="end"/>
      </w:r>
      <w:r>
        <w:rPr>
          <w:bCs/>
          <w:caps/>
          <w:color w:val="000000" w:themeColor="text1"/>
          <w:szCs w:val="21"/>
          <w:highlight w:val="none"/>
        </w:rPr>
        <w:fldChar w:fldCharType="end"/>
      </w:r>
    </w:p>
    <w:p w14:paraId="05E3582C">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_Toc15104 </w:instrText>
      </w:r>
      <w:r>
        <w:rPr>
          <w:bCs/>
          <w:caps/>
          <w:szCs w:val="21"/>
          <w:highlight w:val="none"/>
        </w:rPr>
        <w:fldChar w:fldCharType="separate"/>
      </w:r>
      <w:r>
        <w:rPr>
          <w:kern w:val="0"/>
          <w:highlight w:val="none"/>
        </w:rPr>
        <w:t xml:space="preserve">A  </w:t>
      </w:r>
      <w:r>
        <w:rPr>
          <w:rFonts w:hint="eastAsia"/>
          <w:kern w:val="0"/>
          <w:highlight w:val="none"/>
        </w:rPr>
        <w:t>商务要求</w:t>
      </w:r>
      <w:r>
        <w:tab/>
      </w:r>
      <w:r>
        <w:fldChar w:fldCharType="begin"/>
      </w:r>
      <w:r>
        <w:instrText xml:space="preserve"> PAGEREF _Toc15104 \h </w:instrText>
      </w:r>
      <w:r>
        <w:fldChar w:fldCharType="separate"/>
      </w:r>
      <w:r>
        <w:t>8</w:t>
      </w:r>
      <w:r>
        <w:fldChar w:fldCharType="end"/>
      </w:r>
      <w:r>
        <w:rPr>
          <w:bCs/>
          <w:caps/>
          <w:color w:val="000000" w:themeColor="text1"/>
          <w:szCs w:val="21"/>
          <w:highlight w:val="none"/>
        </w:rPr>
        <w:fldChar w:fldCharType="end"/>
      </w:r>
    </w:p>
    <w:p w14:paraId="4502F72F">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_Toc25945 </w:instrText>
      </w:r>
      <w:r>
        <w:rPr>
          <w:bCs/>
          <w:caps/>
          <w:szCs w:val="21"/>
          <w:highlight w:val="none"/>
        </w:rPr>
        <w:fldChar w:fldCharType="separate"/>
      </w:r>
      <w:r>
        <w:rPr>
          <w:rFonts w:hint="eastAsia"/>
          <w:kern w:val="0"/>
          <w:highlight w:val="none"/>
        </w:rPr>
        <w:t>B  技术要求</w:t>
      </w:r>
      <w:r>
        <w:tab/>
      </w:r>
      <w:r>
        <w:fldChar w:fldCharType="begin"/>
      </w:r>
      <w:r>
        <w:instrText xml:space="preserve"> PAGEREF _Toc25945 \h </w:instrText>
      </w:r>
      <w:r>
        <w:fldChar w:fldCharType="separate"/>
      </w:r>
      <w:r>
        <w:t>12</w:t>
      </w:r>
      <w:r>
        <w:fldChar w:fldCharType="end"/>
      </w:r>
      <w:r>
        <w:rPr>
          <w:bCs/>
          <w:caps/>
          <w:color w:val="000000" w:themeColor="text1"/>
          <w:szCs w:val="21"/>
          <w:highlight w:val="none"/>
        </w:rPr>
        <w:fldChar w:fldCharType="end"/>
      </w:r>
    </w:p>
    <w:p w14:paraId="786944B9">
      <w:pPr>
        <w:pStyle w:val="30"/>
        <w:tabs>
          <w:tab w:val="right" w:leader="dot" w:pos="8959"/>
          <w:tab w:val="clear" w:pos="8949"/>
        </w:tabs>
      </w:pPr>
      <w:r>
        <w:rPr>
          <w:bCs/>
          <w:caps/>
          <w:color w:val="000000" w:themeColor="text1"/>
          <w:szCs w:val="21"/>
          <w:highlight w:val="none"/>
        </w:rPr>
        <w:fldChar w:fldCharType="begin"/>
      </w:r>
      <w:r>
        <w:rPr>
          <w:bCs/>
          <w:caps/>
          <w:szCs w:val="21"/>
          <w:highlight w:val="none"/>
        </w:rPr>
        <w:instrText xml:space="preserve"> HYPERLINK \l _Toc2306 </w:instrText>
      </w:r>
      <w:r>
        <w:rPr>
          <w:bCs/>
          <w:caps/>
          <w:szCs w:val="21"/>
          <w:highlight w:val="none"/>
        </w:rPr>
        <w:fldChar w:fldCharType="separate"/>
      </w:r>
      <w:r>
        <w:rPr>
          <w:rFonts w:hint="eastAsia"/>
          <w:highlight w:val="none"/>
        </w:rPr>
        <w:t>第三部分 投标人须知</w:t>
      </w:r>
      <w:r>
        <w:tab/>
      </w:r>
      <w:r>
        <w:fldChar w:fldCharType="begin"/>
      </w:r>
      <w:r>
        <w:instrText xml:space="preserve"> PAGEREF _Toc2306 \h </w:instrText>
      </w:r>
      <w:r>
        <w:fldChar w:fldCharType="separate"/>
      </w:r>
      <w:r>
        <w:t>31</w:t>
      </w:r>
      <w:r>
        <w:fldChar w:fldCharType="end"/>
      </w:r>
      <w:r>
        <w:rPr>
          <w:bCs/>
          <w:caps/>
          <w:color w:val="000000" w:themeColor="text1"/>
          <w:szCs w:val="21"/>
          <w:highlight w:val="none"/>
        </w:rPr>
        <w:fldChar w:fldCharType="end"/>
      </w:r>
    </w:p>
    <w:p w14:paraId="459116C6">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_Toc27609 </w:instrText>
      </w:r>
      <w:r>
        <w:rPr>
          <w:bCs/>
          <w:caps/>
          <w:szCs w:val="21"/>
          <w:highlight w:val="none"/>
        </w:rPr>
        <w:fldChar w:fldCharType="separate"/>
      </w:r>
      <w:r>
        <w:rPr>
          <w:rFonts w:hint="eastAsia"/>
          <w:szCs w:val="21"/>
          <w:highlight w:val="none"/>
        </w:rPr>
        <w:t>投标人须知前附表</w:t>
      </w:r>
      <w:r>
        <w:tab/>
      </w:r>
      <w:r>
        <w:fldChar w:fldCharType="begin"/>
      </w:r>
      <w:r>
        <w:instrText xml:space="preserve"> PAGEREF _Toc27609 \h </w:instrText>
      </w:r>
      <w:r>
        <w:fldChar w:fldCharType="separate"/>
      </w:r>
      <w:r>
        <w:t>31</w:t>
      </w:r>
      <w:r>
        <w:fldChar w:fldCharType="end"/>
      </w:r>
      <w:r>
        <w:rPr>
          <w:bCs/>
          <w:caps/>
          <w:color w:val="000000" w:themeColor="text1"/>
          <w:szCs w:val="21"/>
          <w:highlight w:val="none"/>
        </w:rPr>
        <w:fldChar w:fldCharType="end"/>
      </w:r>
    </w:p>
    <w:p w14:paraId="45363AB0">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_Toc30734 </w:instrText>
      </w:r>
      <w:r>
        <w:rPr>
          <w:bCs/>
          <w:caps/>
          <w:szCs w:val="21"/>
          <w:highlight w:val="none"/>
        </w:rPr>
        <w:fldChar w:fldCharType="separate"/>
      </w:r>
      <w:r>
        <w:rPr>
          <w:rFonts w:hint="eastAsia"/>
          <w:highlight w:val="none"/>
        </w:rPr>
        <w:t>Ａ说明</w:t>
      </w:r>
      <w:r>
        <w:tab/>
      </w:r>
      <w:r>
        <w:fldChar w:fldCharType="begin"/>
      </w:r>
      <w:r>
        <w:instrText xml:space="preserve"> PAGEREF _Toc30734 \h </w:instrText>
      </w:r>
      <w:r>
        <w:fldChar w:fldCharType="separate"/>
      </w:r>
      <w:r>
        <w:t>32</w:t>
      </w:r>
      <w:r>
        <w:fldChar w:fldCharType="end"/>
      </w:r>
      <w:r>
        <w:rPr>
          <w:bCs/>
          <w:caps/>
          <w:color w:val="000000" w:themeColor="text1"/>
          <w:szCs w:val="21"/>
          <w:highlight w:val="none"/>
        </w:rPr>
        <w:fldChar w:fldCharType="end"/>
      </w:r>
    </w:p>
    <w:p w14:paraId="37A31349">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_Toc6832 </w:instrText>
      </w:r>
      <w:r>
        <w:rPr>
          <w:bCs/>
          <w:caps/>
          <w:szCs w:val="21"/>
          <w:highlight w:val="none"/>
        </w:rPr>
        <w:fldChar w:fldCharType="separate"/>
      </w:r>
      <w:r>
        <w:rPr>
          <w:rFonts w:hint="default"/>
        </w:rPr>
        <w:t xml:space="preserve">1 </w:t>
      </w:r>
      <w:r>
        <w:rPr>
          <w:rFonts w:hint="eastAsia"/>
          <w:highlight w:val="none"/>
        </w:rPr>
        <w:t>适用范围和资金来源</w:t>
      </w:r>
      <w:r>
        <w:tab/>
      </w:r>
      <w:r>
        <w:fldChar w:fldCharType="begin"/>
      </w:r>
      <w:r>
        <w:instrText xml:space="preserve"> PAGEREF _Toc6832 \h </w:instrText>
      </w:r>
      <w:r>
        <w:fldChar w:fldCharType="separate"/>
      </w:r>
      <w:r>
        <w:t>32</w:t>
      </w:r>
      <w:r>
        <w:fldChar w:fldCharType="end"/>
      </w:r>
      <w:r>
        <w:rPr>
          <w:bCs/>
          <w:caps/>
          <w:color w:val="000000" w:themeColor="text1"/>
          <w:szCs w:val="21"/>
          <w:highlight w:val="none"/>
        </w:rPr>
        <w:fldChar w:fldCharType="end"/>
      </w:r>
    </w:p>
    <w:p w14:paraId="39A4016C">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_Toc27833 </w:instrText>
      </w:r>
      <w:r>
        <w:rPr>
          <w:bCs/>
          <w:caps/>
          <w:szCs w:val="21"/>
          <w:highlight w:val="none"/>
        </w:rPr>
        <w:fldChar w:fldCharType="separate"/>
      </w:r>
      <w:r>
        <w:rPr>
          <w:rFonts w:hint="default"/>
        </w:rPr>
        <w:t xml:space="preserve">2 </w:t>
      </w:r>
      <w:r>
        <w:rPr>
          <w:rFonts w:hint="eastAsia"/>
          <w:highlight w:val="none"/>
        </w:rPr>
        <w:t>定义</w:t>
      </w:r>
      <w:r>
        <w:tab/>
      </w:r>
      <w:r>
        <w:fldChar w:fldCharType="begin"/>
      </w:r>
      <w:r>
        <w:instrText xml:space="preserve"> PAGEREF _Toc27833 \h </w:instrText>
      </w:r>
      <w:r>
        <w:fldChar w:fldCharType="separate"/>
      </w:r>
      <w:r>
        <w:t>32</w:t>
      </w:r>
      <w:r>
        <w:fldChar w:fldCharType="end"/>
      </w:r>
      <w:r>
        <w:rPr>
          <w:bCs/>
          <w:caps/>
          <w:color w:val="000000" w:themeColor="text1"/>
          <w:szCs w:val="21"/>
          <w:highlight w:val="none"/>
        </w:rPr>
        <w:fldChar w:fldCharType="end"/>
      </w:r>
    </w:p>
    <w:p w14:paraId="1D83B29A">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_Toc22977 </w:instrText>
      </w:r>
      <w:r>
        <w:rPr>
          <w:bCs/>
          <w:caps/>
          <w:szCs w:val="21"/>
          <w:highlight w:val="none"/>
        </w:rPr>
        <w:fldChar w:fldCharType="separate"/>
      </w:r>
      <w:r>
        <w:rPr>
          <w:rFonts w:hint="default"/>
        </w:rPr>
        <w:t xml:space="preserve">3 </w:t>
      </w:r>
      <w:r>
        <w:rPr>
          <w:rFonts w:hint="eastAsia"/>
          <w:highlight w:val="none"/>
        </w:rPr>
        <w:t>合格的投标人</w:t>
      </w:r>
      <w:r>
        <w:tab/>
      </w:r>
      <w:r>
        <w:fldChar w:fldCharType="begin"/>
      </w:r>
      <w:r>
        <w:instrText xml:space="preserve"> PAGEREF _Toc22977 \h </w:instrText>
      </w:r>
      <w:r>
        <w:fldChar w:fldCharType="separate"/>
      </w:r>
      <w:r>
        <w:t>32</w:t>
      </w:r>
      <w:r>
        <w:fldChar w:fldCharType="end"/>
      </w:r>
      <w:r>
        <w:rPr>
          <w:bCs/>
          <w:caps/>
          <w:color w:val="000000" w:themeColor="text1"/>
          <w:szCs w:val="21"/>
          <w:highlight w:val="none"/>
        </w:rPr>
        <w:fldChar w:fldCharType="end"/>
      </w:r>
    </w:p>
    <w:p w14:paraId="426C7CB4">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_Toc30323 </w:instrText>
      </w:r>
      <w:r>
        <w:rPr>
          <w:bCs/>
          <w:caps/>
          <w:szCs w:val="21"/>
          <w:highlight w:val="none"/>
        </w:rPr>
        <w:fldChar w:fldCharType="separate"/>
      </w:r>
      <w:r>
        <w:rPr>
          <w:rFonts w:hint="default"/>
        </w:rPr>
        <w:t xml:space="preserve">4 </w:t>
      </w:r>
      <w:r>
        <w:rPr>
          <w:rFonts w:hint="eastAsia"/>
          <w:highlight w:val="none"/>
        </w:rPr>
        <w:t>投标费用</w:t>
      </w:r>
      <w:r>
        <w:tab/>
      </w:r>
      <w:r>
        <w:fldChar w:fldCharType="begin"/>
      </w:r>
      <w:r>
        <w:instrText xml:space="preserve"> PAGEREF _Toc30323 \h </w:instrText>
      </w:r>
      <w:r>
        <w:fldChar w:fldCharType="separate"/>
      </w:r>
      <w:r>
        <w:t>33</w:t>
      </w:r>
      <w:r>
        <w:fldChar w:fldCharType="end"/>
      </w:r>
      <w:r>
        <w:rPr>
          <w:bCs/>
          <w:caps/>
          <w:color w:val="000000" w:themeColor="text1"/>
          <w:szCs w:val="21"/>
          <w:highlight w:val="none"/>
        </w:rPr>
        <w:fldChar w:fldCharType="end"/>
      </w:r>
    </w:p>
    <w:p w14:paraId="1661ADFB">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_Toc3435 </w:instrText>
      </w:r>
      <w:r>
        <w:rPr>
          <w:bCs/>
          <w:caps/>
          <w:szCs w:val="21"/>
          <w:highlight w:val="none"/>
        </w:rPr>
        <w:fldChar w:fldCharType="separate"/>
      </w:r>
      <w:r>
        <w:rPr>
          <w:rFonts w:hint="eastAsia"/>
          <w:highlight w:val="none"/>
        </w:rPr>
        <w:t>Ｂ招标文件说明</w:t>
      </w:r>
      <w:r>
        <w:tab/>
      </w:r>
      <w:r>
        <w:fldChar w:fldCharType="begin"/>
      </w:r>
      <w:r>
        <w:instrText xml:space="preserve"> PAGEREF _Toc3435 \h </w:instrText>
      </w:r>
      <w:r>
        <w:fldChar w:fldCharType="separate"/>
      </w:r>
      <w:r>
        <w:t>33</w:t>
      </w:r>
      <w:r>
        <w:fldChar w:fldCharType="end"/>
      </w:r>
      <w:r>
        <w:rPr>
          <w:bCs/>
          <w:caps/>
          <w:color w:val="000000" w:themeColor="text1"/>
          <w:szCs w:val="21"/>
          <w:highlight w:val="none"/>
        </w:rPr>
        <w:fldChar w:fldCharType="end"/>
      </w:r>
    </w:p>
    <w:p w14:paraId="46CB0BD1">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_Toc30731 </w:instrText>
      </w:r>
      <w:r>
        <w:rPr>
          <w:bCs/>
          <w:caps/>
          <w:szCs w:val="21"/>
          <w:highlight w:val="none"/>
        </w:rPr>
        <w:fldChar w:fldCharType="separate"/>
      </w:r>
      <w:r>
        <w:rPr>
          <w:rFonts w:hint="default"/>
        </w:rPr>
        <w:t xml:space="preserve">5 </w:t>
      </w:r>
      <w:r>
        <w:rPr>
          <w:rFonts w:hint="eastAsia"/>
          <w:highlight w:val="none"/>
        </w:rPr>
        <w:t>招标文件的构成</w:t>
      </w:r>
      <w:r>
        <w:tab/>
      </w:r>
      <w:r>
        <w:fldChar w:fldCharType="begin"/>
      </w:r>
      <w:r>
        <w:instrText xml:space="preserve"> PAGEREF _Toc30731 \h </w:instrText>
      </w:r>
      <w:r>
        <w:fldChar w:fldCharType="separate"/>
      </w:r>
      <w:r>
        <w:t>33</w:t>
      </w:r>
      <w:r>
        <w:fldChar w:fldCharType="end"/>
      </w:r>
      <w:r>
        <w:rPr>
          <w:bCs/>
          <w:caps/>
          <w:color w:val="000000" w:themeColor="text1"/>
          <w:szCs w:val="21"/>
          <w:highlight w:val="none"/>
        </w:rPr>
        <w:fldChar w:fldCharType="end"/>
      </w:r>
    </w:p>
    <w:p w14:paraId="005251D0">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_Toc1415 </w:instrText>
      </w:r>
      <w:r>
        <w:rPr>
          <w:bCs/>
          <w:caps/>
          <w:szCs w:val="21"/>
          <w:highlight w:val="none"/>
        </w:rPr>
        <w:fldChar w:fldCharType="separate"/>
      </w:r>
      <w:r>
        <w:rPr>
          <w:rFonts w:hint="default"/>
        </w:rPr>
        <w:t xml:space="preserve">6 </w:t>
      </w:r>
      <w:r>
        <w:rPr>
          <w:rFonts w:hint="eastAsia"/>
          <w:highlight w:val="none"/>
        </w:rPr>
        <w:t>招标文件的澄清、修改</w:t>
      </w:r>
      <w:r>
        <w:tab/>
      </w:r>
      <w:r>
        <w:fldChar w:fldCharType="begin"/>
      </w:r>
      <w:r>
        <w:instrText xml:space="preserve"> PAGEREF _Toc1415 \h </w:instrText>
      </w:r>
      <w:r>
        <w:fldChar w:fldCharType="separate"/>
      </w:r>
      <w:r>
        <w:t>33</w:t>
      </w:r>
      <w:r>
        <w:fldChar w:fldCharType="end"/>
      </w:r>
      <w:r>
        <w:rPr>
          <w:bCs/>
          <w:caps/>
          <w:color w:val="000000" w:themeColor="text1"/>
          <w:szCs w:val="21"/>
          <w:highlight w:val="none"/>
        </w:rPr>
        <w:fldChar w:fldCharType="end"/>
      </w:r>
    </w:p>
    <w:p w14:paraId="1C20E995">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_Toc8490 </w:instrText>
      </w:r>
      <w:r>
        <w:rPr>
          <w:bCs/>
          <w:caps/>
          <w:szCs w:val="21"/>
          <w:highlight w:val="none"/>
        </w:rPr>
        <w:fldChar w:fldCharType="separate"/>
      </w:r>
      <w:r>
        <w:rPr>
          <w:rFonts w:hint="eastAsia"/>
          <w:highlight w:val="none"/>
        </w:rPr>
        <w:t>Ｃ投标文件的编制</w:t>
      </w:r>
      <w:r>
        <w:tab/>
      </w:r>
      <w:r>
        <w:fldChar w:fldCharType="begin"/>
      </w:r>
      <w:r>
        <w:instrText xml:space="preserve"> PAGEREF _Toc8490 \h </w:instrText>
      </w:r>
      <w:r>
        <w:fldChar w:fldCharType="separate"/>
      </w:r>
      <w:r>
        <w:t>34</w:t>
      </w:r>
      <w:r>
        <w:fldChar w:fldCharType="end"/>
      </w:r>
      <w:r>
        <w:rPr>
          <w:bCs/>
          <w:caps/>
          <w:color w:val="000000" w:themeColor="text1"/>
          <w:szCs w:val="21"/>
          <w:highlight w:val="none"/>
        </w:rPr>
        <w:fldChar w:fldCharType="end"/>
      </w:r>
    </w:p>
    <w:p w14:paraId="6C203354">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_Toc15722 </w:instrText>
      </w:r>
      <w:r>
        <w:rPr>
          <w:bCs/>
          <w:caps/>
          <w:szCs w:val="21"/>
          <w:highlight w:val="none"/>
        </w:rPr>
        <w:fldChar w:fldCharType="separate"/>
      </w:r>
      <w:r>
        <w:rPr>
          <w:rFonts w:hint="default"/>
        </w:rPr>
        <w:t xml:space="preserve">7 </w:t>
      </w:r>
      <w:r>
        <w:rPr>
          <w:rFonts w:hint="eastAsia"/>
          <w:highlight w:val="none"/>
        </w:rPr>
        <w:t>要求</w:t>
      </w:r>
      <w:r>
        <w:tab/>
      </w:r>
      <w:r>
        <w:fldChar w:fldCharType="begin"/>
      </w:r>
      <w:r>
        <w:instrText xml:space="preserve"> PAGEREF _Toc15722 \h </w:instrText>
      </w:r>
      <w:r>
        <w:fldChar w:fldCharType="separate"/>
      </w:r>
      <w:r>
        <w:t>34</w:t>
      </w:r>
      <w:r>
        <w:fldChar w:fldCharType="end"/>
      </w:r>
      <w:r>
        <w:rPr>
          <w:bCs/>
          <w:caps/>
          <w:color w:val="000000" w:themeColor="text1"/>
          <w:szCs w:val="21"/>
          <w:highlight w:val="none"/>
        </w:rPr>
        <w:fldChar w:fldCharType="end"/>
      </w:r>
    </w:p>
    <w:p w14:paraId="35CE75DF">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_Toc10466 </w:instrText>
      </w:r>
      <w:r>
        <w:rPr>
          <w:bCs/>
          <w:caps/>
          <w:szCs w:val="21"/>
          <w:highlight w:val="none"/>
        </w:rPr>
        <w:fldChar w:fldCharType="separate"/>
      </w:r>
      <w:r>
        <w:rPr>
          <w:rFonts w:hint="default"/>
        </w:rPr>
        <w:t xml:space="preserve">8 </w:t>
      </w:r>
      <w:r>
        <w:rPr>
          <w:rFonts w:hint="eastAsia"/>
          <w:highlight w:val="none"/>
        </w:rPr>
        <w:t>投标语言及计量单位</w:t>
      </w:r>
      <w:r>
        <w:tab/>
      </w:r>
      <w:r>
        <w:fldChar w:fldCharType="begin"/>
      </w:r>
      <w:r>
        <w:instrText xml:space="preserve"> PAGEREF _Toc10466 \h </w:instrText>
      </w:r>
      <w:r>
        <w:fldChar w:fldCharType="separate"/>
      </w:r>
      <w:r>
        <w:t>34</w:t>
      </w:r>
      <w:r>
        <w:fldChar w:fldCharType="end"/>
      </w:r>
      <w:r>
        <w:rPr>
          <w:bCs/>
          <w:caps/>
          <w:color w:val="000000" w:themeColor="text1"/>
          <w:szCs w:val="21"/>
          <w:highlight w:val="none"/>
        </w:rPr>
        <w:fldChar w:fldCharType="end"/>
      </w:r>
    </w:p>
    <w:p w14:paraId="70FC8ABE">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_Toc15552 </w:instrText>
      </w:r>
      <w:r>
        <w:rPr>
          <w:bCs/>
          <w:caps/>
          <w:szCs w:val="21"/>
          <w:highlight w:val="none"/>
        </w:rPr>
        <w:fldChar w:fldCharType="separate"/>
      </w:r>
      <w:r>
        <w:rPr>
          <w:rFonts w:hint="default"/>
        </w:rPr>
        <w:t xml:space="preserve">9 </w:t>
      </w:r>
      <w:r>
        <w:rPr>
          <w:rFonts w:hint="eastAsia"/>
          <w:highlight w:val="none"/>
        </w:rPr>
        <w:t>投标文件的构成</w:t>
      </w:r>
      <w:r>
        <w:tab/>
      </w:r>
      <w:r>
        <w:fldChar w:fldCharType="begin"/>
      </w:r>
      <w:r>
        <w:instrText xml:space="preserve"> PAGEREF _Toc15552 \h </w:instrText>
      </w:r>
      <w:r>
        <w:fldChar w:fldCharType="separate"/>
      </w:r>
      <w:r>
        <w:t>34</w:t>
      </w:r>
      <w:r>
        <w:fldChar w:fldCharType="end"/>
      </w:r>
      <w:r>
        <w:rPr>
          <w:bCs/>
          <w:caps/>
          <w:color w:val="000000" w:themeColor="text1"/>
          <w:szCs w:val="21"/>
          <w:highlight w:val="none"/>
        </w:rPr>
        <w:fldChar w:fldCharType="end"/>
      </w:r>
    </w:p>
    <w:p w14:paraId="4082D52D">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_Toc31112 </w:instrText>
      </w:r>
      <w:r>
        <w:rPr>
          <w:bCs/>
          <w:caps/>
          <w:szCs w:val="21"/>
          <w:highlight w:val="none"/>
        </w:rPr>
        <w:fldChar w:fldCharType="separate"/>
      </w:r>
      <w:r>
        <w:rPr>
          <w:rFonts w:hint="default"/>
        </w:rPr>
        <w:t xml:space="preserve">10 </w:t>
      </w:r>
      <w:r>
        <w:rPr>
          <w:rFonts w:hint="eastAsia"/>
          <w:highlight w:val="none"/>
        </w:rPr>
        <w:t>投标文件格式</w:t>
      </w:r>
      <w:r>
        <w:tab/>
      </w:r>
      <w:r>
        <w:fldChar w:fldCharType="begin"/>
      </w:r>
      <w:r>
        <w:instrText xml:space="preserve"> PAGEREF _Toc31112 \h </w:instrText>
      </w:r>
      <w:r>
        <w:fldChar w:fldCharType="separate"/>
      </w:r>
      <w:r>
        <w:t>34</w:t>
      </w:r>
      <w:r>
        <w:fldChar w:fldCharType="end"/>
      </w:r>
      <w:r>
        <w:rPr>
          <w:bCs/>
          <w:caps/>
          <w:color w:val="000000" w:themeColor="text1"/>
          <w:szCs w:val="21"/>
          <w:highlight w:val="none"/>
        </w:rPr>
        <w:fldChar w:fldCharType="end"/>
      </w:r>
    </w:p>
    <w:p w14:paraId="7EC2CB19">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_Toc10365 </w:instrText>
      </w:r>
      <w:r>
        <w:rPr>
          <w:bCs/>
          <w:caps/>
          <w:szCs w:val="21"/>
          <w:highlight w:val="none"/>
        </w:rPr>
        <w:fldChar w:fldCharType="separate"/>
      </w:r>
      <w:r>
        <w:rPr>
          <w:rFonts w:hint="default"/>
        </w:rPr>
        <w:t xml:space="preserve">11 </w:t>
      </w:r>
      <w:r>
        <w:rPr>
          <w:rFonts w:hint="eastAsia"/>
          <w:highlight w:val="none"/>
        </w:rPr>
        <w:t>资格证明文件</w:t>
      </w:r>
      <w:r>
        <w:tab/>
      </w:r>
      <w:r>
        <w:fldChar w:fldCharType="begin"/>
      </w:r>
      <w:r>
        <w:instrText xml:space="preserve"> PAGEREF _Toc10365 \h </w:instrText>
      </w:r>
      <w:r>
        <w:fldChar w:fldCharType="separate"/>
      </w:r>
      <w:r>
        <w:t>34</w:t>
      </w:r>
      <w:r>
        <w:fldChar w:fldCharType="end"/>
      </w:r>
      <w:r>
        <w:rPr>
          <w:bCs/>
          <w:caps/>
          <w:color w:val="000000" w:themeColor="text1"/>
          <w:szCs w:val="21"/>
          <w:highlight w:val="none"/>
        </w:rPr>
        <w:fldChar w:fldCharType="end"/>
      </w:r>
    </w:p>
    <w:p w14:paraId="4FF13F6C">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_Toc16486 </w:instrText>
      </w:r>
      <w:r>
        <w:rPr>
          <w:bCs/>
          <w:caps/>
          <w:szCs w:val="21"/>
          <w:highlight w:val="none"/>
        </w:rPr>
        <w:fldChar w:fldCharType="separate"/>
      </w:r>
      <w:r>
        <w:rPr>
          <w:rFonts w:hint="default"/>
        </w:rPr>
        <w:t xml:space="preserve">12 </w:t>
      </w:r>
      <w:r>
        <w:rPr>
          <w:rFonts w:hint="eastAsia"/>
          <w:highlight w:val="none"/>
        </w:rPr>
        <w:t>货物和服务的证明文件</w:t>
      </w:r>
      <w:r>
        <w:tab/>
      </w:r>
      <w:r>
        <w:fldChar w:fldCharType="begin"/>
      </w:r>
      <w:r>
        <w:instrText xml:space="preserve"> PAGEREF _Toc16486 \h </w:instrText>
      </w:r>
      <w:r>
        <w:fldChar w:fldCharType="separate"/>
      </w:r>
      <w:r>
        <w:t>35</w:t>
      </w:r>
      <w:r>
        <w:fldChar w:fldCharType="end"/>
      </w:r>
      <w:r>
        <w:rPr>
          <w:bCs/>
          <w:caps/>
          <w:color w:val="000000" w:themeColor="text1"/>
          <w:szCs w:val="21"/>
          <w:highlight w:val="none"/>
        </w:rPr>
        <w:fldChar w:fldCharType="end"/>
      </w:r>
    </w:p>
    <w:p w14:paraId="3B586350">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_Toc19522 </w:instrText>
      </w:r>
      <w:r>
        <w:rPr>
          <w:bCs/>
          <w:caps/>
          <w:szCs w:val="21"/>
          <w:highlight w:val="none"/>
        </w:rPr>
        <w:fldChar w:fldCharType="separate"/>
      </w:r>
      <w:r>
        <w:rPr>
          <w:rFonts w:hint="default"/>
        </w:rPr>
        <w:t xml:space="preserve">13 </w:t>
      </w:r>
      <w:r>
        <w:rPr>
          <w:rFonts w:hint="eastAsia"/>
          <w:highlight w:val="none"/>
        </w:rPr>
        <w:t>投标报价与投标货币</w:t>
      </w:r>
      <w:r>
        <w:tab/>
      </w:r>
      <w:r>
        <w:fldChar w:fldCharType="begin"/>
      </w:r>
      <w:r>
        <w:instrText xml:space="preserve"> PAGEREF _Toc19522 \h </w:instrText>
      </w:r>
      <w:r>
        <w:fldChar w:fldCharType="separate"/>
      </w:r>
      <w:r>
        <w:t>35</w:t>
      </w:r>
      <w:r>
        <w:fldChar w:fldCharType="end"/>
      </w:r>
      <w:r>
        <w:rPr>
          <w:bCs/>
          <w:caps/>
          <w:color w:val="000000" w:themeColor="text1"/>
          <w:szCs w:val="21"/>
          <w:highlight w:val="none"/>
        </w:rPr>
        <w:fldChar w:fldCharType="end"/>
      </w:r>
    </w:p>
    <w:p w14:paraId="7F73B531">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_Toc10260 </w:instrText>
      </w:r>
      <w:r>
        <w:rPr>
          <w:bCs/>
          <w:caps/>
          <w:szCs w:val="21"/>
          <w:highlight w:val="none"/>
        </w:rPr>
        <w:fldChar w:fldCharType="separate"/>
      </w:r>
      <w:r>
        <w:rPr>
          <w:rFonts w:hint="default"/>
        </w:rPr>
        <w:t xml:space="preserve">14 </w:t>
      </w:r>
      <w:r>
        <w:rPr>
          <w:rFonts w:hint="eastAsia"/>
          <w:highlight w:val="none"/>
        </w:rPr>
        <w:t>投标保证金</w:t>
      </w:r>
      <w:r>
        <w:tab/>
      </w:r>
      <w:r>
        <w:fldChar w:fldCharType="begin"/>
      </w:r>
      <w:r>
        <w:instrText xml:space="preserve"> PAGEREF _Toc10260 \h </w:instrText>
      </w:r>
      <w:r>
        <w:fldChar w:fldCharType="separate"/>
      </w:r>
      <w:r>
        <w:t>36</w:t>
      </w:r>
      <w:r>
        <w:fldChar w:fldCharType="end"/>
      </w:r>
      <w:r>
        <w:rPr>
          <w:bCs/>
          <w:caps/>
          <w:color w:val="000000" w:themeColor="text1"/>
          <w:szCs w:val="21"/>
          <w:highlight w:val="none"/>
        </w:rPr>
        <w:fldChar w:fldCharType="end"/>
      </w:r>
    </w:p>
    <w:p w14:paraId="74CF42B7">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_Toc26590 </w:instrText>
      </w:r>
      <w:r>
        <w:rPr>
          <w:bCs/>
          <w:caps/>
          <w:szCs w:val="21"/>
          <w:highlight w:val="none"/>
        </w:rPr>
        <w:fldChar w:fldCharType="separate"/>
      </w:r>
      <w:r>
        <w:rPr>
          <w:rFonts w:hint="default"/>
        </w:rPr>
        <w:t xml:space="preserve">15 </w:t>
      </w:r>
      <w:r>
        <w:rPr>
          <w:rFonts w:hint="eastAsia"/>
          <w:highlight w:val="none"/>
        </w:rPr>
        <w:t>投标有效期</w:t>
      </w:r>
      <w:r>
        <w:tab/>
      </w:r>
      <w:r>
        <w:fldChar w:fldCharType="begin"/>
      </w:r>
      <w:r>
        <w:instrText xml:space="preserve"> PAGEREF _Toc26590 \h </w:instrText>
      </w:r>
      <w:r>
        <w:fldChar w:fldCharType="separate"/>
      </w:r>
      <w:r>
        <w:t>36</w:t>
      </w:r>
      <w:r>
        <w:fldChar w:fldCharType="end"/>
      </w:r>
      <w:r>
        <w:rPr>
          <w:bCs/>
          <w:caps/>
          <w:color w:val="000000" w:themeColor="text1"/>
          <w:szCs w:val="21"/>
          <w:highlight w:val="none"/>
        </w:rPr>
        <w:fldChar w:fldCharType="end"/>
      </w:r>
    </w:p>
    <w:p w14:paraId="13CE5216">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_Toc31345 </w:instrText>
      </w:r>
      <w:r>
        <w:rPr>
          <w:bCs/>
          <w:caps/>
          <w:szCs w:val="21"/>
          <w:highlight w:val="none"/>
        </w:rPr>
        <w:fldChar w:fldCharType="separate"/>
      </w:r>
      <w:r>
        <w:rPr>
          <w:rFonts w:hint="default"/>
        </w:rPr>
        <w:t xml:space="preserve">16 </w:t>
      </w:r>
      <w:r>
        <w:rPr>
          <w:rFonts w:hint="eastAsia"/>
          <w:highlight w:val="none"/>
        </w:rPr>
        <w:t>投标文件的签署及规定</w:t>
      </w:r>
      <w:r>
        <w:tab/>
      </w:r>
      <w:r>
        <w:fldChar w:fldCharType="begin"/>
      </w:r>
      <w:r>
        <w:instrText xml:space="preserve"> PAGEREF _Toc31345 \h </w:instrText>
      </w:r>
      <w:r>
        <w:fldChar w:fldCharType="separate"/>
      </w:r>
      <w:r>
        <w:t>36</w:t>
      </w:r>
      <w:r>
        <w:fldChar w:fldCharType="end"/>
      </w:r>
      <w:r>
        <w:rPr>
          <w:bCs/>
          <w:caps/>
          <w:color w:val="000000" w:themeColor="text1"/>
          <w:szCs w:val="21"/>
          <w:highlight w:val="none"/>
        </w:rPr>
        <w:fldChar w:fldCharType="end"/>
      </w:r>
    </w:p>
    <w:p w14:paraId="141FCC0B">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_Toc10705 </w:instrText>
      </w:r>
      <w:r>
        <w:rPr>
          <w:bCs/>
          <w:caps/>
          <w:szCs w:val="21"/>
          <w:highlight w:val="none"/>
        </w:rPr>
        <w:fldChar w:fldCharType="separate"/>
      </w:r>
      <w:r>
        <w:rPr>
          <w:rFonts w:hint="eastAsia"/>
          <w:highlight w:val="none"/>
        </w:rPr>
        <w:t>Ｄ投标文件的递交</w:t>
      </w:r>
      <w:r>
        <w:tab/>
      </w:r>
      <w:r>
        <w:fldChar w:fldCharType="begin"/>
      </w:r>
      <w:r>
        <w:instrText xml:space="preserve"> PAGEREF _Toc10705 \h </w:instrText>
      </w:r>
      <w:r>
        <w:fldChar w:fldCharType="separate"/>
      </w:r>
      <w:r>
        <w:t>37</w:t>
      </w:r>
      <w:r>
        <w:fldChar w:fldCharType="end"/>
      </w:r>
      <w:r>
        <w:rPr>
          <w:bCs/>
          <w:caps/>
          <w:color w:val="000000" w:themeColor="text1"/>
          <w:szCs w:val="21"/>
          <w:highlight w:val="none"/>
        </w:rPr>
        <w:fldChar w:fldCharType="end"/>
      </w:r>
    </w:p>
    <w:p w14:paraId="18F398BB">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_Toc3992 </w:instrText>
      </w:r>
      <w:r>
        <w:rPr>
          <w:bCs/>
          <w:caps/>
          <w:szCs w:val="21"/>
          <w:highlight w:val="none"/>
        </w:rPr>
        <w:fldChar w:fldCharType="separate"/>
      </w:r>
      <w:r>
        <w:rPr>
          <w:rFonts w:hint="default" w:ascii="宋体" w:hAnsi="宋体"/>
        </w:rPr>
        <w:t xml:space="preserve">17 </w:t>
      </w:r>
      <w:r>
        <w:rPr>
          <w:rFonts w:hint="eastAsia"/>
          <w:highlight w:val="none"/>
        </w:rPr>
        <w:t>投标文件的密封和标记</w:t>
      </w:r>
      <w:r>
        <w:tab/>
      </w:r>
      <w:r>
        <w:fldChar w:fldCharType="begin"/>
      </w:r>
      <w:r>
        <w:instrText xml:space="preserve"> PAGEREF _Toc3992 \h </w:instrText>
      </w:r>
      <w:r>
        <w:fldChar w:fldCharType="separate"/>
      </w:r>
      <w:r>
        <w:t>37</w:t>
      </w:r>
      <w:r>
        <w:fldChar w:fldCharType="end"/>
      </w:r>
      <w:r>
        <w:rPr>
          <w:bCs/>
          <w:caps/>
          <w:color w:val="000000" w:themeColor="text1"/>
          <w:szCs w:val="21"/>
          <w:highlight w:val="none"/>
        </w:rPr>
        <w:fldChar w:fldCharType="end"/>
      </w:r>
    </w:p>
    <w:p w14:paraId="4DCFE033">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_Toc18175 </w:instrText>
      </w:r>
      <w:r>
        <w:rPr>
          <w:bCs/>
          <w:caps/>
          <w:szCs w:val="21"/>
          <w:highlight w:val="none"/>
        </w:rPr>
        <w:fldChar w:fldCharType="separate"/>
      </w:r>
      <w:r>
        <w:rPr>
          <w:rFonts w:hint="default"/>
        </w:rPr>
        <w:t xml:space="preserve">18 </w:t>
      </w:r>
      <w:r>
        <w:rPr>
          <w:rFonts w:hint="eastAsia"/>
          <w:highlight w:val="none"/>
        </w:rPr>
        <w:t>递交投标文件的时间、地点及截止时间</w:t>
      </w:r>
      <w:r>
        <w:tab/>
      </w:r>
      <w:r>
        <w:fldChar w:fldCharType="begin"/>
      </w:r>
      <w:r>
        <w:instrText xml:space="preserve"> PAGEREF _Toc18175 \h </w:instrText>
      </w:r>
      <w:r>
        <w:fldChar w:fldCharType="separate"/>
      </w:r>
      <w:r>
        <w:t>37</w:t>
      </w:r>
      <w:r>
        <w:fldChar w:fldCharType="end"/>
      </w:r>
      <w:r>
        <w:rPr>
          <w:bCs/>
          <w:caps/>
          <w:color w:val="000000" w:themeColor="text1"/>
          <w:szCs w:val="21"/>
          <w:highlight w:val="none"/>
        </w:rPr>
        <w:fldChar w:fldCharType="end"/>
      </w:r>
    </w:p>
    <w:p w14:paraId="5435D228">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_Toc22851 </w:instrText>
      </w:r>
      <w:r>
        <w:rPr>
          <w:bCs/>
          <w:caps/>
          <w:szCs w:val="21"/>
          <w:highlight w:val="none"/>
        </w:rPr>
        <w:fldChar w:fldCharType="separate"/>
      </w:r>
      <w:r>
        <w:rPr>
          <w:rFonts w:hint="default"/>
        </w:rPr>
        <w:t xml:space="preserve">19 </w:t>
      </w:r>
      <w:r>
        <w:rPr>
          <w:rFonts w:hint="eastAsia"/>
          <w:highlight w:val="none"/>
        </w:rPr>
        <w:t>迟交的投标文件</w:t>
      </w:r>
      <w:r>
        <w:tab/>
      </w:r>
      <w:r>
        <w:fldChar w:fldCharType="begin"/>
      </w:r>
      <w:r>
        <w:instrText xml:space="preserve"> PAGEREF _Toc22851 \h </w:instrText>
      </w:r>
      <w:r>
        <w:fldChar w:fldCharType="separate"/>
      </w:r>
      <w:r>
        <w:t>37</w:t>
      </w:r>
      <w:r>
        <w:fldChar w:fldCharType="end"/>
      </w:r>
      <w:r>
        <w:rPr>
          <w:bCs/>
          <w:caps/>
          <w:color w:val="000000" w:themeColor="text1"/>
          <w:szCs w:val="21"/>
          <w:highlight w:val="none"/>
        </w:rPr>
        <w:fldChar w:fldCharType="end"/>
      </w:r>
    </w:p>
    <w:p w14:paraId="4CCB4F06">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_Toc24827 </w:instrText>
      </w:r>
      <w:r>
        <w:rPr>
          <w:bCs/>
          <w:caps/>
          <w:szCs w:val="21"/>
          <w:highlight w:val="none"/>
        </w:rPr>
        <w:fldChar w:fldCharType="separate"/>
      </w:r>
      <w:r>
        <w:rPr>
          <w:rFonts w:hint="default"/>
        </w:rPr>
        <w:t xml:space="preserve">20 </w:t>
      </w:r>
      <w:r>
        <w:rPr>
          <w:rFonts w:hint="eastAsia"/>
          <w:highlight w:val="none"/>
        </w:rPr>
        <w:t>投标文件的修改和撤回</w:t>
      </w:r>
      <w:r>
        <w:tab/>
      </w:r>
      <w:r>
        <w:fldChar w:fldCharType="begin"/>
      </w:r>
      <w:r>
        <w:instrText xml:space="preserve"> PAGEREF _Toc24827 \h </w:instrText>
      </w:r>
      <w:r>
        <w:fldChar w:fldCharType="separate"/>
      </w:r>
      <w:r>
        <w:t>37</w:t>
      </w:r>
      <w:r>
        <w:fldChar w:fldCharType="end"/>
      </w:r>
      <w:r>
        <w:rPr>
          <w:bCs/>
          <w:caps/>
          <w:color w:val="000000" w:themeColor="text1"/>
          <w:szCs w:val="21"/>
          <w:highlight w:val="none"/>
        </w:rPr>
        <w:fldChar w:fldCharType="end"/>
      </w:r>
    </w:p>
    <w:p w14:paraId="5EB38F34">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_Toc5752 </w:instrText>
      </w:r>
      <w:r>
        <w:rPr>
          <w:bCs/>
          <w:caps/>
          <w:szCs w:val="21"/>
          <w:highlight w:val="none"/>
        </w:rPr>
        <w:fldChar w:fldCharType="separate"/>
      </w:r>
      <w:r>
        <w:rPr>
          <w:rFonts w:hint="eastAsia"/>
          <w:highlight w:val="none"/>
        </w:rPr>
        <w:t>Ｅ开标和评标</w:t>
      </w:r>
      <w:r>
        <w:tab/>
      </w:r>
      <w:r>
        <w:fldChar w:fldCharType="begin"/>
      </w:r>
      <w:r>
        <w:instrText xml:space="preserve"> PAGEREF _Toc5752 \h </w:instrText>
      </w:r>
      <w:r>
        <w:fldChar w:fldCharType="separate"/>
      </w:r>
      <w:r>
        <w:t>38</w:t>
      </w:r>
      <w:r>
        <w:fldChar w:fldCharType="end"/>
      </w:r>
      <w:r>
        <w:rPr>
          <w:bCs/>
          <w:caps/>
          <w:color w:val="000000" w:themeColor="text1"/>
          <w:szCs w:val="21"/>
          <w:highlight w:val="none"/>
        </w:rPr>
        <w:fldChar w:fldCharType="end"/>
      </w:r>
    </w:p>
    <w:p w14:paraId="0BD11154">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_Toc14214 </w:instrText>
      </w:r>
      <w:r>
        <w:rPr>
          <w:bCs/>
          <w:caps/>
          <w:szCs w:val="21"/>
          <w:highlight w:val="none"/>
        </w:rPr>
        <w:fldChar w:fldCharType="separate"/>
      </w:r>
      <w:r>
        <w:rPr>
          <w:rFonts w:hint="default"/>
        </w:rPr>
        <w:t xml:space="preserve">21 </w:t>
      </w:r>
      <w:r>
        <w:rPr>
          <w:rFonts w:hint="eastAsia"/>
          <w:highlight w:val="none"/>
        </w:rPr>
        <w:t>开标</w:t>
      </w:r>
      <w:r>
        <w:tab/>
      </w:r>
      <w:r>
        <w:fldChar w:fldCharType="begin"/>
      </w:r>
      <w:r>
        <w:instrText xml:space="preserve"> PAGEREF _Toc14214 \h </w:instrText>
      </w:r>
      <w:r>
        <w:fldChar w:fldCharType="separate"/>
      </w:r>
      <w:r>
        <w:t>38</w:t>
      </w:r>
      <w:r>
        <w:fldChar w:fldCharType="end"/>
      </w:r>
      <w:r>
        <w:rPr>
          <w:bCs/>
          <w:caps/>
          <w:color w:val="000000" w:themeColor="text1"/>
          <w:szCs w:val="21"/>
          <w:highlight w:val="none"/>
        </w:rPr>
        <w:fldChar w:fldCharType="end"/>
      </w:r>
    </w:p>
    <w:p w14:paraId="05BBBAE0">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_Toc22904 </w:instrText>
      </w:r>
      <w:r>
        <w:rPr>
          <w:bCs/>
          <w:caps/>
          <w:szCs w:val="21"/>
          <w:highlight w:val="none"/>
        </w:rPr>
        <w:fldChar w:fldCharType="separate"/>
      </w:r>
      <w:r>
        <w:rPr>
          <w:rFonts w:hint="default" w:ascii="宋体" w:hAnsi="宋体"/>
        </w:rPr>
        <w:t xml:space="preserve">22 </w:t>
      </w:r>
      <w:r>
        <w:rPr>
          <w:rFonts w:hint="eastAsia"/>
          <w:highlight w:val="none"/>
        </w:rPr>
        <w:t>评标委员会</w:t>
      </w:r>
      <w:r>
        <w:tab/>
      </w:r>
      <w:r>
        <w:fldChar w:fldCharType="begin"/>
      </w:r>
      <w:r>
        <w:instrText xml:space="preserve"> PAGEREF _Toc22904 \h </w:instrText>
      </w:r>
      <w:r>
        <w:fldChar w:fldCharType="separate"/>
      </w:r>
      <w:r>
        <w:t>38</w:t>
      </w:r>
      <w:r>
        <w:fldChar w:fldCharType="end"/>
      </w:r>
      <w:r>
        <w:rPr>
          <w:bCs/>
          <w:caps/>
          <w:color w:val="000000" w:themeColor="text1"/>
          <w:szCs w:val="21"/>
          <w:highlight w:val="none"/>
        </w:rPr>
        <w:fldChar w:fldCharType="end"/>
      </w:r>
    </w:p>
    <w:p w14:paraId="5679E7BF">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_Toc18240 </w:instrText>
      </w:r>
      <w:r>
        <w:rPr>
          <w:bCs/>
          <w:caps/>
          <w:szCs w:val="21"/>
          <w:highlight w:val="none"/>
        </w:rPr>
        <w:fldChar w:fldCharType="separate"/>
      </w:r>
      <w:r>
        <w:rPr>
          <w:rFonts w:hint="default"/>
        </w:rPr>
        <w:t xml:space="preserve">23 </w:t>
      </w:r>
      <w:r>
        <w:rPr>
          <w:rFonts w:hint="eastAsia"/>
          <w:highlight w:val="none"/>
        </w:rPr>
        <w:t>对投标文件的初审和响应性的确定</w:t>
      </w:r>
      <w:r>
        <w:tab/>
      </w:r>
      <w:r>
        <w:fldChar w:fldCharType="begin"/>
      </w:r>
      <w:r>
        <w:instrText xml:space="preserve"> PAGEREF _Toc18240 \h </w:instrText>
      </w:r>
      <w:r>
        <w:fldChar w:fldCharType="separate"/>
      </w:r>
      <w:r>
        <w:t>38</w:t>
      </w:r>
      <w:r>
        <w:fldChar w:fldCharType="end"/>
      </w:r>
      <w:r>
        <w:rPr>
          <w:bCs/>
          <w:caps/>
          <w:color w:val="000000" w:themeColor="text1"/>
          <w:szCs w:val="21"/>
          <w:highlight w:val="none"/>
        </w:rPr>
        <w:fldChar w:fldCharType="end"/>
      </w:r>
    </w:p>
    <w:p w14:paraId="12B09F76">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_Toc6723 </w:instrText>
      </w:r>
      <w:r>
        <w:rPr>
          <w:bCs/>
          <w:caps/>
          <w:szCs w:val="21"/>
          <w:highlight w:val="none"/>
        </w:rPr>
        <w:fldChar w:fldCharType="separate"/>
      </w:r>
      <w:r>
        <w:rPr>
          <w:rFonts w:hint="default"/>
        </w:rPr>
        <w:t xml:space="preserve">24 </w:t>
      </w:r>
      <w:r>
        <w:rPr>
          <w:rFonts w:hint="eastAsia"/>
          <w:highlight w:val="none"/>
        </w:rPr>
        <w:t>投标报价的审核</w:t>
      </w:r>
      <w:r>
        <w:tab/>
      </w:r>
      <w:r>
        <w:fldChar w:fldCharType="begin"/>
      </w:r>
      <w:r>
        <w:instrText xml:space="preserve"> PAGEREF _Toc6723 \h </w:instrText>
      </w:r>
      <w:r>
        <w:fldChar w:fldCharType="separate"/>
      </w:r>
      <w:r>
        <w:t>39</w:t>
      </w:r>
      <w:r>
        <w:fldChar w:fldCharType="end"/>
      </w:r>
      <w:r>
        <w:rPr>
          <w:bCs/>
          <w:caps/>
          <w:color w:val="000000" w:themeColor="text1"/>
          <w:szCs w:val="21"/>
          <w:highlight w:val="none"/>
        </w:rPr>
        <w:fldChar w:fldCharType="end"/>
      </w:r>
    </w:p>
    <w:p w14:paraId="6C9E2319">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_Toc18070 </w:instrText>
      </w:r>
      <w:r>
        <w:rPr>
          <w:bCs/>
          <w:caps/>
          <w:szCs w:val="21"/>
          <w:highlight w:val="none"/>
        </w:rPr>
        <w:fldChar w:fldCharType="separate"/>
      </w:r>
      <w:r>
        <w:rPr>
          <w:rFonts w:hint="default"/>
        </w:rPr>
        <w:t xml:space="preserve">25 </w:t>
      </w:r>
      <w:r>
        <w:rPr>
          <w:rFonts w:hint="eastAsia"/>
          <w:highlight w:val="none"/>
        </w:rPr>
        <w:t>询标及投标文件的澄清</w:t>
      </w:r>
      <w:r>
        <w:tab/>
      </w:r>
      <w:r>
        <w:fldChar w:fldCharType="begin"/>
      </w:r>
      <w:r>
        <w:instrText xml:space="preserve"> PAGEREF _Toc18070 \h </w:instrText>
      </w:r>
      <w:r>
        <w:fldChar w:fldCharType="separate"/>
      </w:r>
      <w:r>
        <w:t>39</w:t>
      </w:r>
      <w:r>
        <w:fldChar w:fldCharType="end"/>
      </w:r>
      <w:r>
        <w:rPr>
          <w:bCs/>
          <w:caps/>
          <w:color w:val="000000" w:themeColor="text1"/>
          <w:szCs w:val="21"/>
          <w:highlight w:val="none"/>
        </w:rPr>
        <w:fldChar w:fldCharType="end"/>
      </w:r>
    </w:p>
    <w:p w14:paraId="1B65BBA8">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_Toc8759 </w:instrText>
      </w:r>
      <w:r>
        <w:rPr>
          <w:bCs/>
          <w:caps/>
          <w:szCs w:val="21"/>
          <w:highlight w:val="none"/>
        </w:rPr>
        <w:fldChar w:fldCharType="separate"/>
      </w:r>
      <w:r>
        <w:rPr>
          <w:rFonts w:hint="default"/>
        </w:rPr>
        <w:t xml:space="preserve">26 </w:t>
      </w:r>
      <w:r>
        <w:rPr>
          <w:rFonts w:hint="eastAsia"/>
          <w:highlight w:val="none"/>
        </w:rPr>
        <w:t>评标原则</w:t>
      </w:r>
      <w:r>
        <w:tab/>
      </w:r>
      <w:r>
        <w:fldChar w:fldCharType="begin"/>
      </w:r>
      <w:r>
        <w:instrText xml:space="preserve"> PAGEREF _Toc8759 \h </w:instrText>
      </w:r>
      <w:r>
        <w:fldChar w:fldCharType="separate"/>
      </w:r>
      <w:r>
        <w:t>39</w:t>
      </w:r>
      <w:r>
        <w:fldChar w:fldCharType="end"/>
      </w:r>
      <w:r>
        <w:rPr>
          <w:bCs/>
          <w:caps/>
          <w:color w:val="000000" w:themeColor="text1"/>
          <w:szCs w:val="21"/>
          <w:highlight w:val="none"/>
        </w:rPr>
        <w:fldChar w:fldCharType="end"/>
      </w:r>
    </w:p>
    <w:p w14:paraId="485D64C7">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_Toc15222 </w:instrText>
      </w:r>
      <w:r>
        <w:rPr>
          <w:bCs/>
          <w:caps/>
          <w:szCs w:val="21"/>
          <w:highlight w:val="none"/>
        </w:rPr>
        <w:fldChar w:fldCharType="separate"/>
      </w:r>
      <w:r>
        <w:rPr>
          <w:rFonts w:hint="default"/>
        </w:rPr>
        <w:t xml:space="preserve">27 </w:t>
      </w:r>
      <w:r>
        <w:rPr>
          <w:rFonts w:hint="eastAsia"/>
          <w:highlight w:val="none"/>
        </w:rPr>
        <w:t>评标标准和办法</w:t>
      </w:r>
      <w:r>
        <w:tab/>
      </w:r>
      <w:r>
        <w:fldChar w:fldCharType="begin"/>
      </w:r>
      <w:r>
        <w:instrText xml:space="preserve"> PAGEREF _Toc15222 \h </w:instrText>
      </w:r>
      <w:r>
        <w:fldChar w:fldCharType="separate"/>
      </w:r>
      <w:r>
        <w:t>40</w:t>
      </w:r>
      <w:r>
        <w:fldChar w:fldCharType="end"/>
      </w:r>
      <w:r>
        <w:rPr>
          <w:bCs/>
          <w:caps/>
          <w:color w:val="000000" w:themeColor="text1"/>
          <w:szCs w:val="21"/>
          <w:highlight w:val="none"/>
        </w:rPr>
        <w:fldChar w:fldCharType="end"/>
      </w:r>
    </w:p>
    <w:p w14:paraId="123E4065">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_Toc16776 </w:instrText>
      </w:r>
      <w:r>
        <w:rPr>
          <w:bCs/>
          <w:caps/>
          <w:szCs w:val="21"/>
          <w:highlight w:val="none"/>
        </w:rPr>
        <w:fldChar w:fldCharType="separate"/>
      </w:r>
      <w:r>
        <w:rPr>
          <w:rFonts w:hint="default"/>
        </w:rPr>
        <w:t xml:space="preserve">28 </w:t>
      </w:r>
      <w:r>
        <w:rPr>
          <w:rFonts w:hint="eastAsia"/>
          <w:highlight w:val="none"/>
        </w:rPr>
        <w:t>评标注意事项</w:t>
      </w:r>
      <w:r>
        <w:tab/>
      </w:r>
      <w:r>
        <w:fldChar w:fldCharType="begin"/>
      </w:r>
      <w:r>
        <w:instrText xml:space="preserve"> PAGEREF _Toc16776 \h </w:instrText>
      </w:r>
      <w:r>
        <w:fldChar w:fldCharType="separate"/>
      </w:r>
      <w:r>
        <w:t>40</w:t>
      </w:r>
      <w:r>
        <w:fldChar w:fldCharType="end"/>
      </w:r>
      <w:r>
        <w:rPr>
          <w:bCs/>
          <w:caps/>
          <w:color w:val="000000" w:themeColor="text1"/>
          <w:szCs w:val="21"/>
          <w:highlight w:val="none"/>
        </w:rPr>
        <w:fldChar w:fldCharType="end"/>
      </w:r>
    </w:p>
    <w:p w14:paraId="7F89215B">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_Toc30545 </w:instrText>
      </w:r>
      <w:r>
        <w:rPr>
          <w:bCs/>
          <w:caps/>
          <w:szCs w:val="21"/>
          <w:highlight w:val="none"/>
        </w:rPr>
        <w:fldChar w:fldCharType="separate"/>
      </w:r>
      <w:r>
        <w:rPr>
          <w:rFonts w:hint="default"/>
        </w:rPr>
        <w:t xml:space="preserve">29 </w:t>
      </w:r>
      <w:r>
        <w:rPr>
          <w:rFonts w:hint="eastAsia"/>
          <w:highlight w:val="none"/>
        </w:rPr>
        <w:t>接受和拒绝投标的权利</w:t>
      </w:r>
      <w:r>
        <w:tab/>
      </w:r>
      <w:r>
        <w:fldChar w:fldCharType="begin"/>
      </w:r>
      <w:r>
        <w:instrText xml:space="preserve"> PAGEREF _Toc30545 \h </w:instrText>
      </w:r>
      <w:r>
        <w:fldChar w:fldCharType="separate"/>
      </w:r>
      <w:r>
        <w:t>40</w:t>
      </w:r>
      <w:r>
        <w:fldChar w:fldCharType="end"/>
      </w:r>
      <w:r>
        <w:rPr>
          <w:bCs/>
          <w:caps/>
          <w:color w:val="000000" w:themeColor="text1"/>
          <w:szCs w:val="21"/>
          <w:highlight w:val="none"/>
        </w:rPr>
        <w:fldChar w:fldCharType="end"/>
      </w:r>
    </w:p>
    <w:p w14:paraId="6C4017CD">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_Toc1451 </w:instrText>
      </w:r>
      <w:r>
        <w:rPr>
          <w:bCs/>
          <w:caps/>
          <w:szCs w:val="21"/>
          <w:highlight w:val="none"/>
        </w:rPr>
        <w:fldChar w:fldCharType="separate"/>
      </w:r>
      <w:r>
        <w:rPr>
          <w:rFonts w:hint="default"/>
        </w:rPr>
        <w:t xml:space="preserve">30 </w:t>
      </w:r>
      <w:r>
        <w:rPr>
          <w:rFonts w:hint="eastAsia"/>
          <w:highlight w:val="none"/>
        </w:rPr>
        <w:t>发布中标结果公告和发放中标通知书</w:t>
      </w:r>
      <w:r>
        <w:tab/>
      </w:r>
      <w:r>
        <w:fldChar w:fldCharType="begin"/>
      </w:r>
      <w:r>
        <w:instrText xml:space="preserve"> PAGEREF _Toc1451 \h </w:instrText>
      </w:r>
      <w:r>
        <w:fldChar w:fldCharType="separate"/>
      </w:r>
      <w:r>
        <w:t>40</w:t>
      </w:r>
      <w:r>
        <w:fldChar w:fldCharType="end"/>
      </w:r>
      <w:r>
        <w:rPr>
          <w:bCs/>
          <w:caps/>
          <w:color w:val="000000" w:themeColor="text1"/>
          <w:szCs w:val="21"/>
          <w:highlight w:val="none"/>
        </w:rPr>
        <w:fldChar w:fldCharType="end"/>
      </w:r>
    </w:p>
    <w:p w14:paraId="78F4A0CF">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_Toc29804 </w:instrText>
      </w:r>
      <w:r>
        <w:rPr>
          <w:bCs/>
          <w:caps/>
          <w:szCs w:val="21"/>
          <w:highlight w:val="none"/>
        </w:rPr>
        <w:fldChar w:fldCharType="separate"/>
      </w:r>
      <w:r>
        <w:rPr>
          <w:rFonts w:hint="default"/>
        </w:rPr>
        <w:t xml:space="preserve">31 </w:t>
      </w:r>
      <w:r>
        <w:rPr>
          <w:rFonts w:hint="eastAsia"/>
          <w:highlight w:val="none"/>
        </w:rPr>
        <w:t>投标人对中标结果的质疑、投诉</w:t>
      </w:r>
      <w:r>
        <w:tab/>
      </w:r>
      <w:r>
        <w:fldChar w:fldCharType="begin"/>
      </w:r>
      <w:r>
        <w:instrText xml:space="preserve"> PAGEREF _Toc29804 \h </w:instrText>
      </w:r>
      <w:r>
        <w:fldChar w:fldCharType="separate"/>
      </w:r>
      <w:r>
        <w:t>40</w:t>
      </w:r>
      <w:r>
        <w:fldChar w:fldCharType="end"/>
      </w:r>
      <w:r>
        <w:rPr>
          <w:bCs/>
          <w:caps/>
          <w:color w:val="000000" w:themeColor="text1"/>
          <w:szCs w:val="21"/>
          <w:highlight w:val="none"/>
        </w:rPr>
        <w:fldChar w:fldCharType="end"/>
      </w:r>
    </w:p>
    <w:p w14:paraId="70FC44B7">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_Toc8171 </w:instrText>
      </w:r>
      <w:r>
        <w:rPr>
          <w:bCs/>
          <w:caps/>
          <w:szCs w:val="21"/>
          <w:highlight w:val="none"/>
        </w:rPr>
        <w:fldChar w:fldCharType="separate"/>
      </w:r>
      <w:r>
        <w:rPr>
          <w:rFonts w:hint="eastAsia"/>
          <w:highlight w:val="none"/>
        </w:rPr>
        <w:t>Ｆ  授予合同</w:t>
      </w:r>
      <w:r>
        <w:tab/>
      </w:r>
      <w:r>
        <w:fldChar w:fldCharType="begin"/>
      </w:r>
      <w:r>
        <w:instrText xml:space="preserve"> PAGEREF _Toc8171 \h </w:instrText>
      </w:r>
      <w:r>
        <w:fldChar w:fldCharType="separate"/>
      </w:r>
      <w:r>
        <w:t>42</w:t>
      </w:r>
      <w:r>
        <w:fldChar w:fldCharType="end"/>
      </w:r>
      <w:r>
        <w:rPr>
          <w:bCs/>
          <w:caps/>
          <w:color w:val="000000" w:themeColor="text1"/>
          <w:szCs w:val="21"/>
          <w:highlight w:val="none"/>
        </w:rPr>
        <w:fldChar w:fldCharType="end"/>
      </w:r>
    </w:p>
    <w:p w14:paraId="0B582E52">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_Toc9883 </w:instrText>
      </w:r>
      <w:r>
        <w:rPr>
          <w:bCs/>
          <w:caps/>
          <w:szCs w:val="21"/>
          <w:highlight w:val="none"/>
        </w:rPr>
        <w:fldChar w:fldCharType="separate"/>
      </w:r>
      <w:r>
        <w:rPr>
          <w:rFonts w:hint="default"/>
        </w:rPr>
        <w:t xml:space="preserve">32 </w:t>
      </w:r>
      <w:r>
        <w:rPr>
          <w:rFonts w:hint="eastAsia"/>
          <w:highlight w:val="none"/>
        </w:rPr>
        <w:t>合同授予标准</w:t>
      </w:r>
      <w:r>
        <w:tab/>
      </w:r>
      <w:r>
        <w:fldChar w:fldCharType="begin"/>
      </w:r>
      <w:r>
        <w:instrText xml:space="preserve"> PAGEREF _Toc9883 \h </w:instrText>
      </w:r>
      <w:r>
        <w:fldChar w:fldCharType="separate"/>
      </w:r>
      <w:r>
        <w:t>42</w:t>
      </w:r>
      <w:r>
        <w:fldChar w:fldCharType="end"/>
      </w:r>
      <w:r>
        <w:rPr>
          <w:bCs/>
          <w:caps/>
          <w:color w:val="000000" w:themeColor="text1"/>
          <w:szCs w:val="21"/>
          <w:highlight w:val="none"/>
        </w:rPr>
        <w:fldChar w:fldCharType="end"/>
      </w:r>
    </w:p>
    <w:p w14:paraId="0A0F5D9C">
      <w:pPr>
        <w:pStyle w:val="22"/>
        <w:tabs>
          <w:tab w:val="right" w:leader="dot" w:pos="8959"/>
          <w:tab w:val="clear" w:pos="840"/>
          <w:tab w:val="clear" w:pos="1004"/>
          <w:tab w:val="clear" w:pos="8948"/>
        </w:tabs>
      </w:pPr>
      <w:r>
        <w:rPr>
          <w:bCs/>
          <w:caps/>
          <w:color w:val="000000" w:themeColor="text1"/>
          <w:szCs w:val="21"/>
          <w:highlight w:val="none"/>
        </w:rPr>
        <w:fldChar w:fldCharType="begin"/>
      </w:r>
      <w:r>
        <w:rPr>
          <w:bCs/>
          <w:caps/>
          <w:szCs w:val="21"/>
          <w:highlight w:val="none"/>
        </w:rPr>
        <w:instrText xml:space="preserve"> HYPERLINK \l _Toc26039 </w:instrText>
      </w:r>
      <w:r>
        <w:rPr>
          <w:bCs/>
          <w:caps/>
          <w:szCs w:val="21"/>
          <w:highlight w:val="none"/>
        </w:rPr>
        <w:fldChar w:fldCharType="separate"/>
      </w:r>
      <w:r>
        <w:rPr>
          <w:rFonts w:hint="default"/>
        </w:rPr>
        <w:t xml:space="preserve">33 </w:t>
      </w:r>
      <w:r>
        <w:rPr>
          <w:rFonts w:hint="eastAsia"/>
          <w:highlight w:val="none"/>
        </w:rPr>
        <w:t>签订合同</w:t>
      </w:r>
      <w:r>
        <w:tab/>
      </w:r>
      <w:r>
        <w:fldChar w:fldCharType="begin"/>
      </w:r>
      <w:r>
        <w:instrText xml:space="preserve"> PAGEREF _Toc26039 \h </w:instrText>
      </w:r>
      <w:r>
        <w:fldChar w:fldCharType="separate"/>
      </w:r>
      <w:r>
        <w:t>42</w:t>
      </w:r>
      <w:r>
        <w:fldChar w:fldCharType="end"/>
      </w:r>
      <w:r>
        <w:rPr>
          <w:bCs/>
          <w:caps/>
          <w:color w:val="000000" w:themeColor="text1"/>
          <w:szCs w:val="21"/>
          <w:highlight w:val="none"/>
        </w:rPr>
        <w:fldChar w:fldCharType="end"/>
      </w:r>
    </w:p>
    <w:p w14:paraId="4DD8ED95">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_Toc8910 </w:instrText>
      </w:r>
      <w:r>
        <w:rPr>
          <w:bCs/>
          <w:caps/>
          <w:szCs w:val="21"/>
          <w:highlight w:val="none"/>
        </w:rPr>
        <w:fldChar w:fldCharType="separate"/>
      </w:r>
      <w:r>
        <w:rPr>
          <w:highlight w:val="none"/>
        </w:rPr>
        <w:t>G</w:t>
      </w:r>
      <w:r>
        <w:rPr>
          <w:rFonts w:hint="eastAsia"/>
          <w:highlight w:val="none"/>
        </w:rPr>
        <w:t>、政府采购政策</w:t>
      </w:r>
      <w:r>
        <w:tab/>
      </w:r>
      <w:r>
        <w:fldChar w:fldCharType="begin"/>
      </w:r>
      <w:r>
        <w:instrText xml:space="preserve"> PAGEREF _Toc8910 \h </w:instrText>
      </w:r>
      <w:r>
        <w:fldChar w:fldCharType="separate"/>
      </w:r>
      <w:r>
        <w:t>43</w:t>
      </w:r>
      <w:r>
        <w:fldChar w:fldCharType="end"/>
      </w:r>
      <w:r>
        <w:rPr>
          <w:bCs/>
          <w:caps/>
          <w:color w:val="000000" w:themeColor="text1"/>
          <w:szCs w:val="21"/>
          <w:highlight w:val="none"/>
        </w:rPr>
        <w:fldChar w:fldCharType="end"/>
      </w:r>
    </w:p>
    <w:p w14:paraId="02F6CF9F">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_Toc24695 </w:instrText>
      </w:r>
      <w:r>
        <w:rPr>
          <w:bCs/>
          <w:caps/>
          <w:szCs w:val="21"/>
          <w:highlight w:val="none"/>
        </w:rPr>
        <w:fldChar w:fldCharType="separate"/>
      </w:r>
      <w:r>
        <w:rPr>
          <w:rFonts w:hint="eastAsia"/>
          <w:highlight w:val="none"/>
        </w:rPr>
        <w:t>H、评标细则</w:t>
      </w:r>
      <w:r>
        <w:tab/>
      </w:r>
      <w:r>
        <w:fldChar w:fldCharType="begin"/>
      </w:r>
      <w:r>
        <w:instrText xml:space="preserve"> PAGEREF _Toc24695 \h </w:instrText>
      </w:r>
      <w:r>
        <w:fldChar w:fldCharType="separate"/>
      </w:r>
      <w:r>
        <w:t>45</w:t>
      </w:r>
      <w:r>
        <w:fldChar w:fldCharType="end"/>
      </w:r>
      <w:r>
        <w:rPr>
          <w:bCs/>
          <w:caps/>
          <w:color w:val="000000" w:themeColor="text1"/>
          <w:szCs w:val="21"/>
          <w:highlight w:val="none"/>
        </w:rPr>
        <w:fldChar w:fldCharType="end"/>
      </w:r>
    </w:p>
    <w:p w14:paraId="0F09BD1D">
      <w:pPr>
        <w:pStyle w:val="30"/>
        <w:tabs>
          <w:tab w:val="right" w:leader="dot" w:pos="8959"/>
          <w:tab w:val="clear" w:pos="8949"/>
        </w:tabs>
      </w:pPr>
      <w:r>
        <w:rPr>
          <w:bCs/>
          <w:caps/>
          <w:color w:val="000000" w:themeColor="text1"/>
          <w:szCs w:val="21"/>
          <w:highlight w:val="none"/>
        </w:rPr>
        <w:fldChar w:fldCharType="begin"/>
      </w:r>
      <w:r>
        <w:rPr>
          <w:bCs/>
          <w:caps/>
          <w:szCs w:val="21"/>
          <w:highlight w:val="none"/>
        </w:rPr>
        <w:instrText xml:space="preserve"> HYPERLINK \l _Toc23584 </w:instrText>
      </w:r>
      <w:r>
        <w:rPr>
          <w:bCs/>
          <w:caps/>
          <w:szCs w:val="21"/>
          <w:highlight w:val="none"/>
        </w:rPr>
        <w:fldChar w:fldCharType="separate"/>
      </w:r>
      <w:r>
        <w:rPr>
          <w:rFonts w:hint="eastAsia"/>
          <w:highlight w:val="none"/>
        </w:rPr>
        <w:t>第四部分  采购项目合同（参考范本）</w:t>
      </w:r>
      <w:r>
        <w:tab/>
      </w:r>
      <w:r>
        <w:fldChar w:fldCharType="begin"/>
      </w:r>
      <w:r>
        <w:instrText xml:space="preserve"> PAGEREF _Toc23584 \h </w:instrText>
      </w:r>
      <w:r>
        <w:fldChar w:fldCharType="separate"/>
      </w:r>
      <w:r>
        <w:t>48</w:t>
      </w:r>
      <w:r>
        <w:fldChar w:fldCharType="end"/>
      </w:r>
      <w:r>
        <w:rPr>
          <w:bCs/>
          <w:caps/>
          <w:color w:val="000000" w:themeColor="text1"/>
          <w:szCs w:val="21"/>
          <w:highlight w:val="none"/>
        </w:rPr>
        <w:fldChar w:fldCharType="end"/>
      </w:r>
    </w:p>
    <w:p w14:paraId="6CBF28E5">
      <w:pPr>
        <w:pStyle w:val="30"/>
        <w:tabs>
          <w:tab w:val="right" w:leader="dot" w:pos="8959"/>
          <w:tab w:val="clear" w:pos="8949"/>
        </w:tabs>
      </w:pPr>
      <w:r>
        <w:rPr>
          <w:bCs/>
          <w:caps/>
          <w:color w:val="000000" w:themeColor="text1"/>
          <w:szCs w:val="21"/>
          <w:highlight w:val="none"/>
        </w:rPr>
        <w:fldChar w:fldCharType="begin"/>
      </w:r>
      <w:r>
        <w:rPr>
          <w:bCs/>
          <w:caps/>
          <w:szCs w:val="21"/>
          <w:highlight w:val="none"/>
        </w:rPr>
        <w:instrText xml:space="preserve"> HYPERLINK \l _Toc20709 </w:instrText>
      </w:r>
      <w:r>
        <w:rPr>
          <w:bCs/>
          <w:caps/>
          <w:szCs w:val="21"/>
          <w:highlight w:val="none"/>
        </w:rPr>
        <w:fldChar w:fldCharType="separate"/>
      </w:r>
      <w:r>
        <w:rPr>
          <w:rFonts w:hint="eastAsia"/>
          <w:highlight w:val="none"/>
        </w:rPr>
        <w:t>第五部分投标文件格式</w:t>
      </w:r>
      <w:r>
        <w:tab/>
      </w:r>
      <w:r>
        <w:fldChar w:fldCharType="begin"/>
      </w:r>
      <w:r>
        <w:instrText xml:space="preserve"> PAGEREF _Toc20709 \h </w:instrText>
      </w:r>
      <w:r>
        <w:fldChar w:fldCharType="separate"/>
      </w:r>
      <w:r>
        <w:t>51</w:t>
      </w:r>
      <w:r>
        <w:fldChar w:fldCharType="end"/>
      </w:r>
      <w:r>
        <w:rPr>
          <w:bCs/>
          <w:caps/>
          <w:color w:val="000000" w:themeColor="text1"/>
          <w:szCs w:val="21"/>
          <w:highlight w:val="none"/>
        </w:rPr>
        <w:fldChar w:fldCharType="end"/>
      </w:r>
    </w:p>
    <w:p w14:paraId="3FDE80B2">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_Toc27208 </w:instrText>
      </w:r>
      <w:r>
        <w:rPr>
          <w:bCs/>
          <w:caps/>
          <w:szCs w:val="21"/>
          <w:highlight w:val="none"/>
        </w:rPr>
        <w:fldChar w:fldCharType="separate"/>
      </w:r>
      <w:r>
        <w:rPr>
          <w:rFonts w:hint="eastAsia"/>
          <w:highlight w:val="none"/>
        </w:rPr>
        <w:t>资格审查封面格式</w:t>
      </w:r>
      <w:r>
        <w:tab/>
      </w:r>
      <w:r>
        <w:fldChar w:fldCharType="begin"/>
      </w:r>
      <w:r>
        <w:instrText xml:space="preserve"> PAGEREF _Toc27208 \h </w:instrText>
      </w:r>
      <w:r>
        <w:fldChar w:fldCharType="separate"/>
      </w:r>
      <w:r>
        <w:t>51</w:t>
      </w:r>
      <w:r>
        <w:fldChar w:fldCharType="end"/>
      </w:r>
      <w:r>
        <w:rPr>
          <w:bCs/>
          <w:caps/>
          <w:color w:val="000000" w:themeColor="text1"/>
          <w:szCs w:val="21"/>
          <w:highlight w:val="none"/>
        </w:rPr>
        <w:fldChar w:fldCharType="end"/>
      </w:r>
    </w:p>
    <w:p w14:paraId="56BC6DE8">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_Toc27190 </w:instrText>
      </w:r>
      <w:r>
        <w:rPr>
          <w:bCs/>
          <w:caps/>
          <w:szCs w:val="21"/>
          <w:highlight w:val="none"/>
        </w:rPr>
        <w:fldChar w:fldCharType="separate"/>
      </w:r>
      <w:r>
        <w:rPr>
          <w:rFonts w:hint="default"/>
        </w:rPr>
        <w:t xml:space="preserve">第一章 </w:t>
      </w:r>
      <w:r>
        <w:rPr>
          <w:rFonts w:hint="eastAsia"/>
          <w:highlight w:val="none"/>
        </w:rPr>
        <w:t>自查表</w:t>
      </w:r>
      <w:r>
        <w:tab/>
      </w:r>
      <w:r>
        <w:fldChar w:fldCharType="begin"/>
      </w:r>
      <w:r>
        <w:instrText xml:space="preserve"> PAGEREF _Toc27190 \h </w:instrText>
      </w:r>
      <w:r>
        <w:fldChar w:fldCharType="separate"/>
      </w:r>
      <w:r>
        <w:t>53</w:t>
      </w:r>
      <w:r>
        <w:fldChar w:fldCharType="end"/>
      </w:r>
      <w:r>
        <w:rPr>
          <w:bCs/>
          <w:caps/>
          <w:color w:val="000000" w:themeColor="text1"/>
          <w:szCs w:val="21"/>
          <w:highlight w:val="none"/>
        </w:rPr>
        <w:fldChar w:fldCharType="end"/>
      </w:r>
    </w:p>
    <w:p w14:paraId="298F73D3">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_Toc11416 </w:instrText>
      </w:r>
      <w:r>
        <w:rPr>
          <w:bCs/>
          <w:caps/>
          <w:szCs w:val="21"/>
          <w:highlight w:val="none"/>
        </w:rPr>
        <w:fldChar w:fldCharType="separate"/>
      </w:r>
      <w:r>
        <w:rPr>
          <w:rFonts w:hint="eastAsia" w:ascii="宋体"/>
          <w:bCs w:val="0"/>
          <w:szCs w:val="21"/>
          <w:highlight w:val="none"/>
        </w:rPr>
        <w:t>资格性自查表</w:t>
      </w:r>
      <w:r>
        <w:tab/>
      </w:r>
      <w:r>
        <w:fldChar w:fldCharType="begin"/>
      </w:r>
      <w:r>
        <w:instrText xml:space="preserve"> PAGEREF _Toc11416 \h </w:instrText>
      </w:r>
      <w:r>
        <w:fldChar w:fldCharType="separate"/>
      </w:r>
      <w:r>
        <w:t>53</w:t>
      </w:r>
      <w:r>
        <w:fldChar w:fldCharType="end"/>
      </w:r>
      <w:r>
        <w:rPr>
          <w:bCs/>
          <w:caps/>
          <w:color w:val="000000" w:themeColor="text1"/>
          <w:szCs w:val="21"/>
          <w:highlight w:val="none"/>
        </w:rPr>
        <w:fldChar w:fldCharType="end"/>
      </w:r>
    </w:p>
    <w:p w14:paraId="2C0E59B6">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_Toc27552 </w:instrText>
      </w:r>
      <w:r>
        <w:rPr>
          <w:bCs/>
          <w:caps/>
          <w:szCs w:val="21"/>
          <w:highlight w:val="none"/>
        </w:rPr>
        <w:fldChar w:fldCharType="separate"/>
      </w:r>
      <w:r>
        <w:rPr>
          <w:rFonts w:hint="eastAsia"/>
          <w:highlight w:val="none"/>
        </w:rPr>
        <w:t>（一）资格审查文件要求提交的有效证明文件</w:t>
      </w:r>
      <w:r>
        <w:tab/>
      </w:r>
      <w:r>
        <w:fldChar w:fldCharType="begin"/>
      </w:r>
      <w:r>
        <w:instrText xml:space="preserve"> PAGEREF _Toc27552 \h </w:instrText>
      </w:r>
      <w:r>
        <w:fldChar w:fldCharType="separate"/>
      </w:r>
      <w:r>
        <w:t>55</w:t>
      </w:r>
      <w:r>
        <w:fldChar w:fldCharType="end"/>
      </w:r>
      <w:r>
        <w:rPr>
          <w:bCs/>
          <w:caps/>
          <w:color w:val="000000" w:themeColor="text1"/>
          <w:szCs w:val="21"/>
          <w:highlight w:val="none"/>
        </w:rPr>
        <w:fldChar w:fldCharType="end"/>
      </w:r>
    </w:p>
    <w:p w14:paraId="0CB0BB62">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_Toc30190 </w:instrText>
      </w:r>
      <w:r>
        <w:rPr>
          <w:bCs/>
          <w:caps/>
          <w:szCs w:val="21"/>
          <w:highlight w:val="none"/>
        </w:rPr>
        <w:fldChar w:fldCharType="separate"/>
      </w:r>
      <w:r>
        <w:rPr>
          <w:rFonts w:hint="eastAsia" w:hAnsi="黑体"/>
          <w:szCs w:val="21"/>
          <w:highlight w:val="none"/>
        </w:rPr>
        <w:t>（二）无重大违法记录声明函</w:t>
      </w:r>
      <w:r>
        <w:tab/>
      </w:r>
      <w:r>
        <w:fldChar w:fldCharType="begin"/>
      </w:r>
      <w:r>
        <w:instrText xml:space="preserve"> PAGEREF _Toc30190 \h </w:instrText>
      </w:r>
      <w:r>
        <w:fldChar w:fldCharType="separate"/>
      </w:r>
      <w:r>
        <w:t>56</w:t>
      </w:r>
      <w:r>
        <w:fldChar w:fldCharType="end"/>
      </w:r>
      <w:r>
        <w:rPr>
          <w:bCs/>
          <w:caps/>
          <w:color w:val="000000" w:themeColor="text1"/>
          <w:szCs w:val="21"/>
          <w:highlight w:val="none"/>
        </w:rPr>
        <w:fldChar w:fldCharType="end"/>
      </w:r>
    </w:p>
    <w:p w14:paraId="39261C00">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_Toc13055 </w:instrText>
      </w:r>
      <w:r>
        <w:rPr>
          <w:bCs/>
          <w:caps/>
          <w:szCs w:val="21"/>
          <w:highlight w:val="none"/>
        </w:rPr>
        <w:fldChar w:fldCharType="separate"/>
      </w:r>
      <w:r>
        <w:rPr>
          <w:rFonts w:hint="default"/>
        </w:rPr>
        <w:t xml:space="preserve">第二章 </w:t>
      </w:r>
      <w:r>
        <w:rPr>
          <w:rFonts w:hint="eastAsia"/>
          <w:highlight w:val="none"/>
        </w:rPr>
        <w:t>投标文件商务及技术部分</w:t>
      </w:r>
      <w:r>
        <w:tab/>
      </w:r>
      <w:r>
        <w:fldChar w:fldCharType="begin"/>
      </w:r>
      <w:r>
        <w:instrText xml:space="preserve"> PAGEREF _Toc13055 \h </w:instrText>
      </w:r>
      <w:r>
        <w:fldChar w:fldCharType="separate"/>
      </w:r>
      <w:r>
        <w:t>57</w:t>
      </w:r>
      <w:r>
        <w:fldChar w:fldCharType="end"/>
      </w:r>
      <w:r>
        <w:rPr>
          <w:bCs/>
          <w:caps/>
          <w:color w:val="000000" w:themeColor="text1"/>
          <w:szCs w:val="21"/>
          <w:highlight w:val="none"/>
        </w:rPr>
        <w:fldChar w:fldCharType="end"/>
      </w:r>
    </w:p>
    <w:p w14:paraId="5C2D82B9">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_Toc4426 </w:instrText>
      </w:r>
      <w:r>
        <w:rPr>
          <w:bCs/>
          <w:caps/>
          <w:szCs w:val="21"/>
          <w:highlight w:val="none"/>
        </w:rPr>
        <w:fldChar w:fldCharType="separate"/>
      </w:r>
      <w:r>
        <w:rPr>
          <w:rFonts w:hint="eastAsia"/>
          <w:highlight w:val="none"/>
        </w:rPr>
        <w:t>商务及技术封面格式</w:t>
      </w:r>
      <w:r>
        <w:tab/>
      </w:r>
      <w:r>
        <w:fldChar w:fldCharType="begin"/>
      </w:r>
      <w:r>
        <w:instrText xml:space="preserve"> PAGEREF _Toc4426 \h </w:instrText>
      </w:r>
      <w:r>
        <w:fldChar w:fldCharType="separate"/>
      </w:r>
      <w:r>
        <w:t>57</w:t>
      </w:r>
      <w:r>
        <w:fldChar w:fldCharType="end"/>
      </w:r>
      <w:r>
        <w:rPr>
          <w:bCs/>
          <w:caps/>
          <w:color w:val="000000" w:themeColor="text1"/>
          <w:szCs w:val="21"/>
          <w:highlight w:val="none"/>
        </w:rPr>
        <w:fldChar w:fldCharType="end"/>
      </w:r>
    </w:p>
    <w:p w14:paraId="0B3EA400">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_Toc31140 </w:instrText>
      </w:r>
      <w:r>
        <w:rPr>
          <w:bCs/>
          <w:caps/>
          <w:szCs w:val="21"/>
          <w:highlight w:val="none"/>
        </w:rPr>
        <w:fldChar w:fldCharType="separate"/>
      </w:r>
      <w:r>
        <w:rPr>
          <w:rFonts w:hint="eastAsia" w:ascii="宋体"/>
          <w:bCs w:val="0"/>
          <w:szCs w:val="21"/>
          <w:highlight w:val="none"/>
        </w:rPr>
        <w:t>符合性自查表</w:t>
      </w:r>
      <w:r>
        <w:tab/>
      </w:r>
      <w:r>
        <w:fldChar w:fldCharType="begin"/>
      </w:r>
      <w:r>
        <w:instrText xml:space="preserve"> PAGEREF _Toc31140 \h </w:instrText>
      </w:r>
      <w:r>
        <w:fldChar w:fldCharType="separate"/>
      </w:r>
      <w:r>
        <w:t>59</w:t>
      </w:r>
      <w:r>
        <w:fldChar w:fldCharType="end"/>
      </w:r>
      <w:r>
        <w:rPr>
          <w:bCs/>
          <w:caps/>
          <w:color w:val="000000" w:themeColor="text1"/>
          <w:szCs w:val="21"/>
          <w:highlight w:val="none"/>
        </w:rPr>
        <w:fldChar w:fldCharType="end"/>
      </w:r>
    </w:p>
    <w:p w14:paraId="43BAC988">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_Toc11228 </w:instrText>
      </w:r>
      <w:r>
        <w:rPr>
          <w:bCs/>
          <w:caps/>
          <w:szCs w:val="21"/>
          <w:highlight w:val="none"/>
        </w:rPr>
        <w:fldChar w:fldCharType="separate"/>
      </w:r>
      <w:r>
        <w:rPr>
          <w:rFonts w:hint="eastAsia" w:ascii="宋体"/>
          <w:szCs w:val="21"/>
          <w:highlight w:val="none"/>
        </w:rPr>
        <w:t>评审项目投标资料表</w:t>
      </w:r>
      <w:r>
        <w:tab/>
      </w:r>
      <w:r>
        <w:fldChar w:fldCharType="begin"/>
      </w:r>
      <w:r>
        <w:instrText xml:space="preserve"> PAGEREF _Toc11228 \h </w:instrText>
      </w:r>
      <w:r>
        <w:fldChar w:fldCharType="separate"/>
      </w:r>
      <w:r>
        <w:t>60</w:t>
      </w:r>
      <w:r>
        <w:fldChar w:fldCharType="end"/>
      </w:r>
      <w:r>
        <w:rPr>
          <w:bCs/>
          <w:caps/>
          <w:color w:val="000000" w:themeColor="text1"/>
          <w:szCs w:val="21"/>
          <w:highlight w:val="none"/>
        </w:rPr>
        <w:fldChar w:fldCharType="end"/>
      </w:r>
    </w:p>
    <w:p w14:paraId="704BBBF7">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_Toc13456 </w:instrText>
      </w:r>
      <w:r>
        <w:rPr>
          <w:bCs/>
          <w:caps/>
          <w:szCs w:val="21"/>
          <w:highlight w:val="none"/>
        </w:rPr>
        <w:fldChar w:fldCharType="separate"/>
      </w:r>
      <w:r>
        <w:rPr>
          <w:rFonts w:hint="eastAsia"/>
          <w:highlight w:val="none"/>
        </w:rPr>
        <w:t>（一）法定代表人（负责人）证明书</w:t>
      </w:r>
      <w:r>
        <w:tab/>
      </w:r>
      <w:r>
        <w:fldChar w:fldCharType="begin"/>
      </w:r>
      <w:r>
        <w:instrText xml:space="preserve"> PAGEREF _Toc13456 \h </w:instrText>
      </w:r>
      <w:r>
        <w:fldChar w:fldCharType="separate"/>
      </w:r>
      <w:r>
        <w:t>61</w:t>
      </w:r>
      <w:r>
        <w:fldChar w:fldCharType="end"/>
      </w:r>
      <w:r>
        <w:rPr>
          <w:bCs/>
          <w:caps/>
          <w:color w:val="000000" w:themeColor="text1"/>
          <w:szCs w:val="21"/>
          <w:highlight w:val="none"/>
        </w:rPr>
        <w:fldChar w:fldCharType="end"/>
      </w:r>
    </w:p>
    <w:p w14:paraId="64C24545">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_Toc22734 </w:instrText>
      </w:r>
      <w:r>
        <w:rPr>
          <w:bCs/>
          <w:caps/>
          <w:szCs w:val="21"/>
          <w:highlight w:val="none"/>
        </w:rPr>
        <w:fldChar w:fldCharType="separate"/>
      </w:r>
      <w:r>
        <w:rPr>
          <w:rFonts w:hint="eastAsia"/>
          <w:highlight w:val="none"/>
        </w:rPr>
        <w:t>（二）法定代表人（负责人）授权书</w:t>
      </w:r>
      <w:r>
        <w:tab/>
      </w:r>
      <w:r>
        <w:fldChar w:fldCharType="begin"/>
      </w:r>
      <w:r>
        <w:instrText xml:space="preserve"> PAGEREF _Toc22734 \h </w:instrText>
      </w:r>
      <w:r>
        <w:fldChar w:fldCharType="separate"/>
      </w:r>
      <w:r>
        <w:t>62</w:t>
      </w:r>
      <w:r>
        <w:fldChar w:fldCharType="end"/>
      </w:r>
      <w:r>
        <w:rPr>
          <w:bCs/>
          <w:caps/>
          <w:color w:val="000000" w:themeColor="text1"/>
          <w:szCs w:val="21"/>
          <w:highlight w:val="none"/>
        </w:rPr>
        <w:fldChar w:fldCharType="end"/>
      </w:r>
    </w:p>
    <w:p w14:paraId="05BA2FE5">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_Toc7090 </w:instrText>
      </w:r>
      <w:r>
        <w:rPr>
          <w:bCs/>
          <w:caps/>
          <w:szCs w:val="21"/>
          <w:highlight w:val="none"/>
        </w:rPr>
        <w:fldChar w:fldCharType="separate"/>
      </w:r>
      <w:r>
        <w:rPr>
          <w:rFonts w:hint="eastAsia"/>
          <w:highlight w:val="none"/>
        </w:rPr>
        <w:t>附件一：投标函</w:t>
      </w:r>
      <w:r>
        <w:tab/>
      </w:r>
      <w:r>
        <w:fldChar w:fldCharType="begin"/>
      </w:r>
      <w:r>
        <w:instrText xml:space="preserve"> PAGEREF _Toc7090 \h </w:instrText>
      </w:r>
      <w:r>
        <w:fldChar w:fldCharType="separate"/>
      </w:r>
      <w:r>
        <w:t>63</w:t>
      </w:r>
      <w:r>
        <w:fldChar w:fldCharType="end"/>
      </w:r>
      <w:r>
        <w:rPr>
          <w:bCs/>
          <w:caps/>
          <w:color w:val="000000" w:themeColor="text1"/>
          <w:szCs w:val="21"/>
          <w:highlight w:val="none"/>
        </w:rPr>
        <w:fldChar w:fldCharType="end"/>
      </w:r>
    </w:p>
    <w:p w14:paraId="31E485A6">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_Toc17433 </w:instrText>
      </w:r>
      <w:r>
        <w:rPr>
          <w:bCs/>
          <w:caps/>
          <w:szCs w:val="21"/>
          <w:highlight w:val="none"/>
        </w:rPr>
        <w:fldChar w:fldCharType="separate"/>
      </w:r>
      <w:r>
        <w:rPr>
          <w:rFonts w:hint="eastAsia"/>
          <w:highlight w:val="none"/>
        </w:rPr>
        <w:t>附件二：开标一览表</w:t>
      </w:r>
      <w:r>
        <w:tab/>
      </w:r>
      <w:r>
        <w:fldChar w:fldCharType="begin"/>
      </w:r>
      <w:r>
        <w:instrText xml:space="preserve"> PAGEREF _Toc17433 \h </w:instrText>
      </w:r>
      <w:r>
        <w:fldChar w:fldCharType="separate"/>
      </w:r>
      <w:r>
        <w:t>64</w:t>
      </w:r>
      <w:r>
        <w:fldChar w:fldCharType="end"/>
      </w:r>
      <w:r>
        <w:rPr>
          <w:bCs/>
          <w:caps/>
          <w:color w:val="000000" w:themeColor="text1"/>
          <w:szCs w:val="21"/>
          <w:highlight w:val="none"/>
        </w:rPr>
        <w:fldChar w:fldCharType="end"/>
      </w:r>
    </w:p>
    <w:p w14:paraId="671122D8">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_Toc14301 </w:instrText>
      </w:r>
      <w:r>
        <w:rPr>
          <w:bCs/>
          <w:caps/>
          <w:szCs w:val="21"/>
          <w:highlight w:val="none"/>
        </w:rPr>
        <w:fldChar w:fldCharType="separate"/>
      </w:r>
      <w:r>
        <w:rPr>
          <w:rFonts w:hint="eastAsia"/>
          <w:highlight w:val="none"/>
        </w:rPr>
        <w:t>附件</w:t>
      </w:r>
      <w:r>
        <w:rPr>
          <w:rFonts w:hint="eastAsia"/>
          <w:highlight w:val="none"/>
          <w:lang w:val="en-US" w:eastAsia="zh-CN"/>
        </w:rPr>
        <w:t>三</w:t>
      </w:r>
      <w:r>
        <w:rPr>
          <w:rFonts w:hint="eastAsia"/>
          <w:highlight w:val="none"/>
        </w:rPr>
        <w:t>：商务条款偏离一览表</w:t>
      </w:r>
      <w:r>
        <w:tab/>
      </w:r>
      <w:r>
        <w:fldChar w:fldCharType="begin"/>
      </w:r>
      <w:r>
        <w:instrText xml:space="preserve"> PAGEREF _Toc14301 \h </w:instrText>
      </w:r>
      <w:r>
        <w:fldChar w:fldCharType="separate"/>
      </w:r>
      <w:r>
        <w:t>65</w:t>
      </w:r>
      <w:r>
        <w:fldChar w:fldCharType="end"/>
      </w:r>
      <w:r>
        <w:rPr>
          <w:bCs/>
          <w:caps/>
          <w:color w:val="000000" w:themeColor="text1"/>
          <w:szCs w:val="21"/>
          <w:highlight w:val="none"/>
        </w:rPr>
        <w:fldChar w:fldCharType="end"/>
      </w:r>
    </w:p>
    <w:p w14:paraId="2D397BA8">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_Toc5400 </w:instrText>
      </w:r>
      <w:r>
        <w:rPr>
          <w:bCs/>
          <w:caps/>
          <w:szCs w:val="21"/>
          <w:highlight w:val="none"/>
        </w:rPr>
        <w:fldChar w:fldCharType="separate"/>
      </w:r>
      <w:r>
        <w:rPr>
          <w:rFonts w:hint="eastAsia"/>
          <w:highlight w:val="none"/>
        </w:rPr>
        <w:t>附件</w:t>
      </w:r>
      <w:r>
        <w:rPr>
          <w:rFonts w:hint="eastAsia"/>
          <w:highlight w:val="none"/>
          <w:lang w:val="en-US" w:eastAsia="zh-CN"/>
        </w:rPr>
        <w:t>四</w:t>
      </w:r>
      <w:r>
        <w:rPr>
          <w:rFonts w:hint="eastAsia"/>
          <w:highlight w:val="none"/>
        </w:rPr>
        <w:t>：技术条款偏离一览表</w:t>
      </w:r>
      <w:r>
        <w:tab/>
      </w:r>
      <w:r>
        <w:fldChar w:fldCharType="begin"/>
      </w:r>
      <w:r>
        <w:instrText xml:space="preserve"> PAGEREF _Toc5400 \h </w:instrText>
      </w:r>
      <w:r>
        <w:fldChar w:fldCharType="separate"/>
      </w:r>
      <w:r>
        <w:t>66</w:t>
      </w:r>
      <w:r>
        <w:fldChar w:fldCharType="end"/>
      </w:r>
      <w:r>
        <w:rPr>
          <w:bCs/>
          <w:caps/>
          <w:color w:val="000000" w:themeColor="text1"/>
          <w:szCs w:val="21"/>
          <w:highlight w:val="none"/>
        </w:rPr>
        <w:fldChar w:fldCharType="end"/>
      </w:r>
    </w:p>
    <w:p w14:paraId="554B4E3C">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_Toc5512 </w:instrText>
      </w:r>
      <w:r>
        <w:rPr>
          <w:bCs/>
          <w:caps/>
          <w:szCs w:val="21"/>
          <w:highlight w:val="none"/>
        </w:rPr>
        <w:fldChar w:fldCharType="separate"/>
      </w:r>
      <w:r>
        <w:rPr>
          <w:rFonts w:hint="eastAsia"/>
          <w:highlight w:val="none"/>
        </w:rPr>
        <w:t>附件</w:t>
      </w:r>
      <w:r>
        <w:rPr>
          <w:rFonts w:hint="eastAsia"/>
          <w:highlight w:val="none"/>
          <w:lang w:val="en-US" w:eastAsia="zh-CN"/>
        </w:rPr>
        <w:t>五</w:t>
      </w:r>
      <w:r>
        <w:rPr>
          <w:rFonts w:hint="eastAsia"/>
          <w:highlight w:val="none"/>
        </w:rPr>
        <w:t>：同类业绩一览表</w:t>
      </w:r>
      <w:r>
        <w:tab/>
      </w:r>
      <w:r>
        <w:fldChar w:fldCharType="begin"/>
      </w:r>
      <w:r>
        <w:instrText xml:space="preserve"> PAGEREF _Toc5512 \h </w:instrText>
      </w:r>
      <w:r>
        <w:fldChar w:fldCharType="separate"/>
      </w:r>
      <w:r>
        <w:t>67</w:t>
      </w:r>
      <w:r>
        <w:fldChar w:fldCharType="end"/>
      </w:r>
      <w:r>
        <w:rPr>
          <w:bCs/>
          <w:caps/>
          <w:color w:val="000000" w:themeColor="text1"/>
          <w:szCs w:val="21"/>
          <w:highlight w:val="none"/>
        </w:rPr>
        <w:fldChar w:fldCharType="end"/>
      </w:r>
    </w:p>
    <w:p w14:paraId="1941B148">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_Toc18114 </w:instrText>
      </w:r>
      <w:r>
        <w:rPr>
          <w:bCs/>
          <w:caps/>
          <w:szCs w:val="21"/>
          <w:highlight w:val="none"/>
        </w:rPr>
        <w:fldChar w:fldCharType="separate"/>
      </w:r>
      <w:r>
        <w:rPr>
          <w:rFonts w:hint="eastAsia"/>
          <w:highlight w:val="none"/>
        </w:rPr>
        <w:t>附件</w:t>
      </w:r>
      <w:r>
        <w:rPr>
          <w:rFonts w:hint="eastAsia"/>
          <w:highlight w:val="none"/>
          <w:lang w:val="en-US" w:eastAsia="zh-CN"/>
        </w:rPr>
        <w:t>六</w:t>
      </w:r>
      <w:r>
        <w:rPr>
          <w:rFonts w:hint="eastAsia"/>
          <w:highlight w:val="none"/>
        </w:rPr>
        <w:t>：</w:t>
      </w:r>
      <w:r>
        <w:rPr>
          <w:rFonts w:hint="eastAsia" w:hAnsi="黑体" w:cs="黑体"/>
          <w:highlight w:val="none"/>
        </w:rPr>
        <w:t>中小微企业声明函</w:t>
      </w:r>
      <w:r>
        <w:tab/>
      </w:r>
      <w:r>
        <w:fldChar w:fldCharType="begin"/>
      </w:r>
      <w:r>
        <w:instrText xml:space="preserve"> PAGEREF _Toc18114 \h </w:instrText>
      </w:r>
      <w:r>
        <w:fldChar w:fldCharType="separate"/>
      </w:r>
      <w:r>
        <w:t>68</w:t>
      </w:r>
      <w:r>
        <w:fldChar w:fldCharType="end"/>
      </w:r>
      <w:r>
        <w:rPr>
          <w:bCs/>
          <w:caps/>
          <w:color w:val="000000" w:themeColor="text1"/>
          <w:szCs w:val="21"/>
          <w:highlight w:val="none"/>
        </w:rPr>
        <w:fldChar w:fldCharType="end"/>
      </w:r>
    </w:p>
    <w:p w14:paraId="29ED980C">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_Toc27303 </w:instrText>
      </w:r>
      <w:r>
        <w:rPr>
          <w:bCs/>
          <w:caps/>
          <w:szCs w:val="21"/>
          <w:highlight w:val="none"/>
        </w:rPr>
        <w:fldChar w:fldCharType="separate"/>
      </w:r>
      <w:r>
        <w:rPr>
          <w:rFonts w:hint="eastAsia"/>
          <w:highlight w:val="none"/>
        </w:rPr>
        <w:t>附件</w:t>
      </w:r>
      <w:r>
        <w:rPr>
          <w:rFonts w:hint="eastAsia"/>
          <w:highlight w:val="none"/>
          <w:lang w:val="en-US" w:eastAsia="zh-CN"/>
        </w:rPr>
        <w:t>七</w:t>
      </w:r>
      <w:r>
        <w:rPr>
          <w:rFonts w:hint="eastAsia"/>
          <w:highlight w:val="none"/>
        </w:rPr>
        <w:t>：</w:t>
      </w:r>
      <w:r>
        <w:rPr>
          <w:rFonts w:hint="eastAsia" w:hAnsi="黑体" w:cs="黑体"/>
          <w:highlight w:val="none"/>
        </w:rPr>
        <w:t>残疾人福利性单位声明函</w:t>
      </w:r>
      <w:r>
        <w:tab/>
      </w:r>
      <w:r>
        <w:fldChar w:fldCharType="begin"/>
      </w:r>
      <w:r>
        <w:instrText xml:space="preserve"> PAGEREF _Toc27303 \h </w:instrText>
      </w:r>
      <w:r>
        <w:fldChar w:fldCharType="separate"/>
      </w:r>
      <w:r>
        <w:t>69</w:t>
      </w:r>
      <w:r>
        <w:fldChar w:fldCharType="end"/>
      </w:r>
      <w:r>
        <w:rPr>
          <w:bCs/>
          <w:caps/>
          <w:color w:val="000000" w:themeColor="text1"/>
          <w:szCs w:val="21"/>
          <w:highlight w:val="none"/>
        </w:rPr>
        <w:fldChar w:fldCharType="end"/>
      </w:r>
    </w:p>
    <w:p w14:paraId="57636F14">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_Toc10930 </w:instrText>
      </w:r>
      <w:r>
        <w:rPr>
          <w:bCs/>
          <w:caps/>
          <w:szCs w:val="21"/>
          <w:highlight w:val="none"/>
        </w:rPr>
        <w:fldChar w:fldCharType="separate"/>
      </w:r>
      <w:r>
        <w:rPr>
          <w:rFonts w:hint="eastAsia"/>
          <w:highlight w:val="none"/>
        </w:rPr>
        <w:t>附件</w:t>
      </w:r>
      <w:r>
        <w:rPr>
          <w:rFonts w:hint="eastAsia"/>
          <w:highlight w:val="none"/>
          <w:lang w:val="en-US" w:eastAsia="zh-CN"/>
        </w:rPr>
        <w:t>八</w:t>
      </w:r>
      <w:r>
        <w:rPr>
          <w:rFonts w:hint="eastAsia"/>
          <w:highlight w:val="none"/>
        </w:rPr>
        <w:t>：中标服务费承诺</w:t>
      </w:r>
      <w:r>
        <w:tab/>
      </w:r>
      <w:r>
        <w:fldChar w:fldCharType="begin"/>
      </w:r>
      <w:r>
        <w:instrText xml:space="preserve"> PAGEREF _Toc10930 \h </w:instrText>
      </w:r>
      <w:r>
        <w:fldChar w:fldCharType="separate"/>
      </w:r>
      <w:r>
        <w:t>70</w:t>
      </w:r>
      <w:r>
        <w:fldChar w:fldCharType="end"/>
      </w:r>
      <w:r>
        <w:rPr>
          <w:bCs/>
          <w:caps/>
          <w:color w:val="000000" w:themeColor="text1"/>
          <w:szCs w:val="21"/>
          <w:highlight w:val="none"/>
        </w:rPr>
        <w:fldChar w:fldCharType="end"/>
      </w:r>
    </w:p>
    <w:p w14:paraId="3F4AA412">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_Toc12304 </w:instrText>
      </w:r>
      <w:r>
        <w:rPr>
          <w:bCs/>
          <w:caps/>
          <w:szCs w:val="21"/>
          <w:highlight w:val="none"/>
        </w:rPr>
        <w:fldChar w:fldCharType="separate"/>
      </w:r>
      <w:r>
        <w:rPr>
          <w:rFonts w:hint="eastAsia"/>
          <w:highlight w:val="none"/>
        </w:rPr>
        <w:t>附件</w:t>
      </w:r>
      <w:r>
        <w:rPr>
          <w:rFonts w:hint="eastAsia"/>
          <w:highlight w:val="none"/>
          <w:lang w:val="en-US" w:eastAsia="zh-CN"/>
        </w:rPr>
        <w:t>九</w:t>
      </w:r>
      <w:r>
        <w:rPr>
          <w:rFonts w:hint="eastAsia"/>
          <w:highlight w:val="none"/>
        </w:rPr>
        <w:t>：投标人提交的其它商务和技术资料</w:t>
      </w:r>
      <w:r>
        <w:tab/>
      </w:r>
      <w:r>
        <w:fldChar w:fldCharType="begin"/>
      </w:r>
      <w:r>
        <w:instrText xml:space="preserve"> PAGEREF _Toc12304 \h </w:instrText>
      </w:r>
      <w:r>
        <w:fldChar w:fldCharType="separate"/>
      </w:r>
      <w:r>
        <w:t>71</w:t>
      </w:r>
      <w:r>
        <w:fldChar w:fldCharType="end"/>
      </w:r>
      <w:r>
        <w:rPr>
          <w:bCs/>
          <w:caps/>
          <w:color w:val="000000" w:themeColor="text1"/>
          <w:szCs w:val="21"/>
          <w:highlight w:val="none"/>
        </w:rPr>
        <w:fldChar w:fldCharType="end"/>
      </w:r>
    </w:p>
    <w:p w14:paraId="4B93553D">
      <w:pPr>
        <w:pStyle w:val="37"/>
        <w:tabs>
          <w:tab w:val="right" w:leader="dot" w:pos="8959"/>
          <w:tab w:val="clear" w:pos="8948"/>
        </w:tabs>
      </w:pPr>
      <w:r>
        <w:rPr>
          <w:bCs/>
          <w:caps/>
          <w:color w:val="000000" w:themeColor="text1"/>
          <w:szCs w:val="21"/>
          <w:highlight w:val="none"/>
        </w:rPr>
        <w:fldChar w:fldCharType="begin"/>
      </w:r>
      <w:r>
        <w:rPr>
          <w:bCs/>
          <w:caps/>
          <w:szCs w:val="21"/>
          <w:highlight w:val="none"/>
        </w:rPr>
        <w:instrText xml:space="preserve"> HYPERLINK \l _Toc13668 </w:instrText>
      </w:r>
      <w:r>
        <w:rPr>
          <w:bCs/>
          <w:caps/>
          <w:szCs w:val="21"/>
          <w:highlight w:val="none"/>
        </w:rPr>
        <w:fldChar w:fldCharType="separate"/>
      </w:r>
      <w:r>
        <w:rPr>
          <w:rFonts w:hint="eastAsia"/>
          <w:highlight w:val="none"/>
        </w:rPr>
        <w:t>其 他 格 式</w:t>
      </w:r>
      <w:r>
        <w:tab/>
      </w:r>
      <w:r>
        <w:fldChar w:fldCharType="begin"/>
      </w:r>
      <w:r>
        <w:instrText xml:space="preserve"> PAGEREF _Toc13668 \h </w:instrText>
      </w:r>
      <w:r>
        <w:fldChar w:fldCharType="separate"/>
      </w:r>
      <w:r>
        <w:t>73</w:t>
      </w:r>
      <w:r>
        <w:fldChar w:fldCharType="end"/>
      </w:r>
      <w:r>
        <w:rPr>
          <w:bCs/>
          <w:caps/>
          <w:color w:val="000000" w:themeColor="text1"/>
          <w:szCs w:val="21"/>
          <w:highlight w:val="none"/>
        </w:rPr>
        <w:fldChar w:fldCharType="end"/>
      </w:r>
    </w:p>
    <w:p w14:paraId="79433464">
      <w:pPr>
        <w:rPr>
          <w:color w:val="000000" w:themeColor="text1"/>
          <w:highlight w:val="none"/>
        </w:rPr>
        <w:sectPr>
          <w:headerReference r:id="rId7" w:type="first"/>
          <w:footerReference r:id="rId8" w:type="first"/>
          <w:headerReference r:id="rId6" w:type="default"/>
          <w:type w:val="continuous"/>
          <w:pgSz w:w="11907" w:h="16840"/>
          <w:pgMar w:top="1418" w:right="1474" w:bottom="1418" w:left="1474" w:header="851" w:footer="851" w:gutter="0"/>
          <w:cols w:space="720" w:num="1"/>
          <w:docGrid w:linePitch="462" w:charSpace="0"/>
        </w:sectPr>
      </w:pPr>
      <w:r>
        <w:rPr>
          <w:bCs/>
          <w:caps/>
          <w:color w:val="000000" w:themeColor="text1"/>
          <w:szCs w:val="21"/>
          <w:highlight w:val="none"/>
        </w:rPr>
        <w:fldChar w:fldCharType="end"/>
      </w:r>
    </w:p>
    <w:bookmarkEnd w:id="0"/>
    <w:p w14:paraId="785EC946">
      <w:pPr>
        <w:pStyle w:val="2"/>
        <w:pageBreakBefore w:val="0"/>
        <w:numPr>
          <w:ilvl w:val="0"/>
          <w:numId w:val="0"/>
        </w:numPr>
        <w:kinsoku/>
        <w:wordWrap/>
        <w:overflowPunct/>
        <w:topLinePunct w:val="0"/>
        <w:bidi w:val="0"/>
        <w:spacing w:beforeLines="0" w:line="400" w:lineRule="exact"/>
        <w:rPr>
          <w:color w:val="000000" w:themeColor="text1"/>
          <w:highlight w:val="none"/>
        </w:rPr>
      </w:pPr>
      <w:bookmarkStart w:id="1" w:name="_Toc23303"/>
      <w:bookmarkStart w:id="2" w:name="_Toc340507403"/>
      <w:bookmarkStart w:id="3" w:name="_Toc332270305"/>
      <w:bookmarkStart w:id="4" w:name="_Toc350756403"/>
      <w:bookmarkStart w:id="5" w:name="_Toc333238571"/>
      <w:bookmarkStart w:id="6" w:name="_Toc336681892"/>
      <w:bookmarkStart w:id="7" w:name="_Toc350438702"/>
      <w:bookmarkStart w:id="8" w:name="_Toc339020048"/>
      <w:bookmarkStart w:id="9" w:name="_Toc365985108"/>
      <w:bookmarkStart w:id="10" w:name="_Toc365967002"/>
      <w:bookmarkStart w:id="11" w:name="_Toc331683994"/>
      <w:bookmarkStart w:id="12" w:name="_Toc341348291"/>
      <w:bookmarkStart w:id="13" w:name="_Toc331512856"/>
      <w:bookmarkStart w:id="14" w:name="_Toc349143546"/>
      <w:bookmarkStart w:id="15" w:name="_Toc339441044"/>
      <w:bookmarkStart w:id="16" w:name="_Toc349127583"/>
      <w:bookmarkStart w:id="17" w:name="_Toc342060322"/>
      <w:bookmarkStart w:id="18" w:name="_Toc337632315"/>
      <w:bookmarkStart w:id="19" w:name="_Toc333935619"/>
      <w:bookmarkStart w:id="20" w:name="_Toc339019828"/>
      <w:bookmarkStart w:id="21" w:name="_Toc339362257"/>
      <w:bookmarkStart w:id="22" w:name="_Toc340672830"/>
      <w:bookmarkStart w:id="23" w:name="_Toc366072457"/>
      <w:bookmarkStart w:id="24" w:name="_Toc336681537"/>
      <w:bookmarkStart w:id="25" w:name="_Toc332206657"/>
      <w:bookmarkStart w:id="26" w:name="_Toc339020186"/>
      <w:bookmarkStart w:id="27" w:name="_Toc345513762"/>
      <w:bookmarkStart w:id="28" w:name="_Toc333935278"/>
      <w:bookmarkStart w:id="29" w:name="_Toc339019954"/>
      <w:bookmarkStart w:id="30" w:name="_Toc340677031"/>
      <w:bookmarkStart w:id="31" w:name="_Toc330459945"/>
      <w:bookmarkStart w:id="32" w:name="_Toc342296708"/>
      <w:bookmarkStart w:id="33" w:name="_Toc333237612"/>
      <w:bookmarkStart w:id="34" w:name="_Toc333237723"/>
      <w:bookmarkStart w:id="35" w:name="_Toc500860978"/>
      <w:r>
        <w:rPr>
          <w:rFonts w:hint="eastAsia"/>
          <w:color w:val="000000" w:themeColor="text1"/>
          <w:highlight w:val="none"/>
        </w:rPr>
        <w:t>第一</w:t>
      </w:r>
      <w:bookmarkStart w:id="36" w:name="_Hlt23321731"/>
      <w:bookmarkEnd w:id="36"/>
      <w:r>
        <w:rPr>
          <w:rFonts w:hint="eastAsia"/>
          <w:color w:val="000000" w:themeColor="text1"/>
          <w:highlight w:val="none"/>
        </w:rPr>
        <w:t>部分 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5764969">
      <w:pPr>
        <w:pageBreakBefore w:val="0"/>
        <w:widowControl/>
        <w:tabs>
          <w:tab w:val="left" w:pos="502"/>
          <w:tab w:val="left" w:pos="5145"/>
        </w:tabs>
        <w:kinsoku/>
        <w:wordWrap/>
        <w:overflowPunct/>
        <w:topLinePunct w:val="0"/>
        <w:bidi w:val="0"/>
        <w:adjustRightInd w:val="0"/>
        <w:snapToGrid w:val="0"/>
        <w:spacing w:line="360" w:lineRule="auto"/>
        <w:ind w:left="105" w:leftChars="50" w:firstLine="420" w:firstLineChars="200"/>
        <w:jc w:val="left"/>
        <w:rPr>
          <w:rFonts w:hint="eastAsia" w:ascii="宋体" w:hAnsi="宋体"/>
          <w:bCs/>
          <w:color w:val="000000" w:themeColor="text1"/>
          <w:highlight w:val="none"/>
        </w:rPr>
      </w:pPr>
    </w:p>
    <w:p w14:paraId="57CEA9F1">
      <w:pPr>
        <w:keepNext w:val="0"/>
        <w:keepLines w:val="0"/>
        <w:pageBreakBefore w:val="0"/>
        <w:widowControl/>
        <w:tabs>
          <w:tab w:val="left" w:pos="502"/>
          <w:tab w:val="left" w:pos="5145"/>
        </w:tabs>
        <w:kinsoku/>
        <w:wordWrap/>
        <w:overflowPunct/>
        <w:topLinePunct w:val="0"/>
        <w:bidi w:val="0"/>
        <w:adjustRightInd w:val="0"/>
        <w:snapToGrid w:val="0"/>
        <w:spacing w:line="420" w:lineRule="exact"/>
        <w:ind w:left="105" w:leftChars="50" w:firstLine="420" w:firstLineChars="200"/>
        <w:jc w:val="left"/>
        <w:textAlignment w:val="auto"/>
        <w:rPr>
          <w:rFonts w:ascii="宋体" w:hAnsi="宋体"/>
          <w:bCs/>
          <w:color w:val="000000" w:themeColor="text1"/>
          <w:highlight w:val="none"/>
        </w:rPr>
      </w:pPr>
      <w:r>
        <w:rPr>
          <w:rFonts w:hint="eastAsia" w:ascii="宋体" w:hAnsi="宋体"/>
          <w:bCs/>
          <w:color w:val="000000" w:themeColor="text1"/>
          <w:highlight w:val="none"/>
        </w:rPr>
        <w:t>广东业信采购招标有限公司（以下简称“代理采购机构”）受</w:t>
      </w:r>
      <w:r>
        <w:rPr>
          <w:rFonts w:hint="eastAsia" w:ascii="宋体" w:hAnsi="宋体"/>
          <w:bCs/>
          <w:color w:val="000000" w:themeColor="text1"/>
          <w:highlight w:val="none"/>
          <w:lang w:eastAsia="zh-CN"/>
        </w:rPr>
        <w:t>阳江市江城第一中学</w:t>
      </w:r>
      <w:r>
        <w:rPr>
          <w:rFonts w:hint="eastAsia" w:ascii="宋体" w:hAnsi="宋体"/>
          <w:bCs/>
          <w:color w:val="000000" w:themeColor="text1"/>
          <w:highlight w:val="none"/>
        </w:rPr>
        <w:t>（以下简称</w:t>
      </w:r>
      <w:r>
        <w:rPr>
          <w:rFonts w:ascii="宋体" w:hAnsi="宋体"/>
          <w:bCs/>
          <w:color w:val="000000" w:themeColor="text1"/>
          <w:highlight w:val="none"/>
        </w:rPr>
        <w:t>“</w:t>
      </w:r>
      <w:r>
        <w:rPr>
          <w:rFonts w:hint="eastAsia" w:ascii="宋体" w:hAnsi="宋体"/>
          <w:bCs/>
          <w:color w:val="000000" w:themeColor="text1"/>
          <w:highlight w:val="none"/>
        </w:rPr>
        <w:t>采购人</w:t>
      </w:r>
      <w:r>
        <w:rPr>
          <w:rFonts w:ascii="宋体" w:hAnsi="宋体"/>
          <w:bCs/>
          <w:color w:val="000000" w:themeColor="text1"/>
          <w:highlight w:val="none"/>
        </w:rPr>
        <w:t>”</w:t>
      </w:r>
      <w:r>
        <w:rPr>
          <w:rFonts w:hint="eastAsia" w:ascii="宋体" w:hAnsi="宋体"/>
          <w:bCs/>
          <w:color w:val="000000" w:themeColor="text1"/>
          <w:highlight w:val="none"/>
        </w:rPr>
        <w:t>）的委托，就</w:t>
      </w:r>
      <w:r>
        <w:rPr>
          <w:rFonts w:hint="eastAsia" w:ascii="宋体" w:hAnsi="宋体"/>
          <w:bCs/>
          <w:color w:val="000000" w:themeColor="text1"/>
          <w:highlight w:val="none"/>
          <w:lang w:eastAsia="zh-CN"/>
        </w:rPr>
        <w:t>阳江市江城第一中学第一饭堂（2025-2026学年）食材配送项目</w:t>
      </w:r>
      <w:r>
        <w:rPr>
          <w:rFonts w:hint="eastAsia" w:ascii="宋体" w:hAnsi="宋体"/>
          <w:bCs/>
          <w:color w:val="000000" w:themeColor="text1"/>
          <w:highlight w:val="none"/>
        </w:rPr>
        <w:t>进行公开招标(项目编号</w:t>
      </w:r>
      <w:r>
        <w:rPr>
          <w:rFonts w:hint="eastAsia" w:ascii="宋体" w:hAnsi="宋体"/>
          <w:bCs/>
          <w:color w:val="000000" w:themeColor="text1"/>
          <w:highlight w:val="none"/>
          <w:lang w:eastAsia="zh-CN"/>
        </w:rPr>
        <w:t>：YXCG-20250728</w:t>
      </w:r>
      <w:r>
        <w:rPr>
          <w:rFonts w:hint="eastAsia" w:ascii="宋体" w:hAnsi="宋体"/>
          <w:bCs/>
          <w:color w:val="000000" w:themeColor="text1"/>
          <w:highlight w:val="none"/>
        </w:rPr>
        <w:t>)，欢迎符合条件的投标人参加。有关事项如下：</w:t>
      </w:r>
    </w:p>
    <w:p w14:paraId="44CFD138">
      <w:pPr>
        <w:keepNext w:val="0"/>
        <w:keepLines w:val="0"/>
        <w:pageBreakBefore w:val="0"/>
        <w:widowControl/>
        <w:tabs>
          <w:tab w:val="left" w:pos="502"/>
        </w:tabs>
        <w:kinsoku/>
        <w:wordWrap/>
        <w:overflowPunct/>
        <w:topLinePunct w:val="0"/>
        <w:bidi w:val="0"/>
        <w:adjustRightInd w:val="0"/>
        <w:snapToGrid w:val="0"/>
        <w:spacing w:line="420" w:lineRule="exact"/>
        <w:textAlignment w:val="auto"/>
        <w:rPr>
          <w:rFonts w:ascii="Tahoma" w:hAnsi="Tahoma" w:cs="Tahoma"/>
          <w:b/>
          <w:bCs/>
          <w:color w:val="000000" w:themeColor="text1"/>
          <w:szCs w:val="21"/>
          <w:highlight w:val="none"/>
        </w:rPr>
      </w:pPr>
      <w:r>
        <w:rPr>
          <w:rFonts w:hint="eastAsia" w:ascii="宋体" w:hAnsi="宋体" w:cs="Tahoma"/>
          <w:b/>
          <w:bCs/>
          <w:color w:val="000000" w:themeColor="text1"/>
          <w:highlight w:val="none"/>
        </w:rPr>
        <w:t>一、</w:t>
      </w:r>
      <w:r>
        <w:rPr>
          <w:rFonts w:hint="eastAsia" w:ascii="Tahoma" w:hAnsi="Tahoma" w:cs="Tahoma"/>
          <w:b/>
          <w:bCs/>
          <w:color w:val="000000" w:themeColor="text1"/>
          <w:szCs w:val="21"/>
          <w:highlight w:val="none"/>
        </w:rPr>
        <w:t>招标项目的名称、用途、数量、采购方式</w:t>
      </w:r>
    </w:p>
    <w:p w14:paraId="0295C11F">
      <w:pPr>
        <w:keepNext w:val="0"/>
        <w:keepLines w:val="0"/>
        <w:pageBreakBefore w:val="0"/>
        <w:widowControl/>
        <w:numPr>
          <w:ilvl w:val="0"/>
          <w:numId w:val="20"/>
        </w:numPr>
        <w:tabs>
          <w:tab w:val="left" w:pos="735"/>
          <w:tab w:val="clear" w:pos="528"/>
        </w:tabs>
        <w:kinsoku/>
        <w:wordWrap/>
        <w:overflowPunct/>
        <w:topLinePunct w:val="0"/>
        <w:bidi w:val="0"/>
        <w:adjustRightInd w:val="0"/>
        <w:snapToGrid w:val="0"/>
        <w:spacing w:line="420" w:lineRule="exact"/>
        <w:ind w:left="1785" w:leftChars="200" w:hanging="1365" w:hangingChars="650"/>
        <w:textAlignment w:val="auto"/>
        <w:rPr>
          <w:rFonts w:ascii="宋体" w:hAnsi="宋体"/>
          <w:bCs/>
          <w:color w:val="000000" w:themeColor="text1"/>
          <w:highlight w:val="none"/>
        </w:rPr>
      </w:pPr>
      <w:r>
        <w:rPr>
          <w:rFonts w:hint="eastAsia" w:ascii="宋体" w:hAnsi="宋体"/>
          <w:bCs/>
          <w:color w:val="000000" w:themeColor="text1"/>
          <w:highlight w:val="none"/>
        </w:rPr>
        <w:t>项目名称：</w:t>
      </w:r>
      <w:r>
        <w:rPr>
          <w:rFonts w:hint="eastAsia" w:ascii="宋体" w:hAnsi="宋体"/>
          <w:bCs/>
          <w:color w:val="000000" w:themeColor="text1"/>
          <w:highlight w:val="none"/>
          <w:lang w:eastAsia="zh-CN"/>
        </w:rPr>
        <w:t>阳江市江城第一中学第一饭堂（2025-2026学年）食材配送项目</w:t>
      </w:r>
    </w:p>
    <w:p w14:paraId="20E08C48">
      <w:pPr>
        <w:keepNext w:val="0"/>
        <w:keepLines w:val="0"/>
        <w:pageBreakBefore w:val="0"/>
        <w:widowControl/>
        <w:numPr>
          <w:ilvl w:val="0"/>
          <w:numId w:val="20"/>
        </w:numPr>
        <w:tabs>
          <w:tab w:val="left" w:pos="735"/>
          <w:tab w:val="clear" w:pos="528"/>
        </w:tabs>
        <w:kinsoku/>
        <w:wordWrap/>
        <w:overflowPunct/>
        <w:topLinePunct w:val="0"/>
        <w:bidi w:val="0"/>
        <w:adjustRightInd w:val="0"/>
        <w:snapToGrid w:val="0"/>
        <w:spacing w:line="420" w:lineRule="exact"/>
        <w:ind w:left="420" w:leftChars="200" w:firstLine="0"/>
        <w:textAlignment w:val="auto"/>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Cs/>
          <w:color w:val="000000" w:themeColor="text1"/>
          <w:highlight w:val="none"/>
          <w:lang w:eastAsia="zh-CN"/>
        </w:rPr>
        <w:t>：YXCG-20250728</w:t>
      </w:r>
    </w:p>
    <w:p w14:paraId="0A8B5A09">
      <w:pPr>
        <w:keepNext w:val="0"/>
        <w:keepLines w:val="0"/>
        <w:pageBreakBefore w:val="0"/>
        <w:widowControl/>
        <w:numPr>
          <w:ilvl w:val="0"/>
          <w:numId w:val="20"/>
        </w:numPr>
        <w:tabs>
          <w:tab w:val="left" w:pos="735"/>
          <w:tab w:val="clear" w:pos="528"/>
        </w:tabs>
        <w:kinsoku/>
        <w:wordWrap/>
        <w:overflowPunct/>
        <w:topLinePunct w:val="0"/>
        <w:bidi w:val="0"/>
        <w:adjustRightInd w:val="0"/>
        <w:snapToGrid w:val="0"/>
        <w:spacing w:line="420" w:lineRule="exact"/>
        <w:ind w:left="735" w:leftChars="200" w:hanging="315" w:hangingChars="150"/>
        <w:textAlignment w:val="auto"/>
        <w:rPr>
          <w:rFonts w:ascii="宋体" w:hAnsi="宋体"/>
          <w:bCs/>
          <w:color w:val="000000" w:themeColor="text1"/>
          <w:highlight w:val="none"/>
        </w:rPr>
      </w:pPr>
      <w:r>
        <w:rPr>
          <w:rFonts w:hint="eastAsia" w:ascii="宋体" w:hAnsi="宋体"/>
          <w:bCs/>
          <w:color w:val="000000" w:themeColor="text1"/>
          <w:highlight w:val="none"/>
          <w:lang w:val="en-US" w:eastAsia="zh-CN"/>
        </w:rPr>
        <w:t>服务期：合同签订后1年。</w:t>
      </w:r>
      <w:r>
        <w:rPr>
          <w:rFonts w:hint="eastAsia" w:ascii="宋体" w:hAnsi="宋体" w:eastAsia="宋体" w:cs="宋体"/>
          <w:b w:val="0"/>
          <w:bCs w:val="0"/>
          <w:color w:val="000000" w:themeColor="text1"/>
          <w:highlight w:val="none"/>
          <w:lang w:val="en-US" w:eastAsia="zh-CN"/>
        </w:rPr>
        <w:t>（超</w:t>
      </w:r>
      <w:r>
        <w:rPr>
          <w:rFonts w:hint="eastAsia" w:ascii="宋体" w:hAnsi="宋体" w:cs="宋体"/>
          <w:b w:val="0"/>
          <w:bCs w:val="0"/>
          <w:color w:val="000000" w:themeColor="text1"/>
          <w:highlight w:val="none"/>
          <w:lang w:val="en-US" w:eastAsia="zh-CN"/>
        </w:rPr>
        <w:t>出</w:t>
      </w:r>
      <w:r>
        <w:rPr>
          <w:rFonts w:hint="eastAsia" w:ascii="宋体" w:hAnsi="宋体" w:eastAsia="宋体" w:cs="宋体"/>
          <w:b w:val="0"/>
          <w:bCs w:val="0"/>
          <w:color w:val="000000" w:themeColor="text1"/>
          <w:highlight w:val="none"/>
          <w:lang w:val="en-US" w:eastAsia="zh-CN"/>
        </w:rPr>
        <w:t>该服务期作无效投标处理）</w:t>
      </w:r>
    </w:p>
    <w:p w14:paraId="4A0E9523">
      <w:pPr>
        <w:keepNext w:val="0"/>
        <w:keepLines w:val="0"/>
        <w:pageBreakBefore w:val="0"/>
        <w:widowControl/>
        <w:numPr>
          <w:ilvl w:val="0"/>
          <w:numId w:val="20"/>
        </w:numPr>
        <w:tabs>
          <w:tab w:val="left" w:pos="735"/>
          <w:tab w:val="clear" w:pos="528"/>
        </w:tabs>
        <w:kinsoku/>
        <w:wordWrap/>
        <w:overflowPunct/>
        <w:topLinePunct w:val="0"/>
        <w:bidi w:val="0"/>
        <w:adjustRightInd w:val="0"/>
        <w:snapToGrid w:val="0"/>
        <w:spacing w:line="420" w:lineRule="exact"/>
        <w:ind w:left="735" w:leftChars="200" w:hanging="315" w:hangingChars="150"/>
        <w:textAlignment w:val="auto"/>
        <w:rPr>
          <w:rFonts w:ascii="宋体" w:hAnsi="宋体"/>
          <w:bCs/>
          <w:color w:val="000000" w:themeColor="text1"/>
          <w:highlight w:val="none"/>
        </w:rPr>
      </w:pPr>
      <w:r>
        <w:rPr>
          <w:rFonts w:hint="eastAsia" w:ascii="宋体" w:hAnsi="宋体"/>
          <w:bCs/>
          <w:color w:val="000000" w:themeColor="text1"/>
          <w:highlight w:val="none"/>
          <w:lang w:val="en-US" w:eastAsia="zh-CN"/>
        </w:rPr>
        <w:t>采购预算金额</w:t>
      </w:r>
      <w:r>
        <w:rPr>
          <w:rFonts w:hint="eastAsia" w:ascii="宋体" w:hAnsi="宋体"/>
          <w:bCs/>
          <w:color w:val="000000" w:themeColor="text1"/>
          <w:highlight w:val="none"/>
        </w:rPr>
        <w:t>：</w:t>
      </w:r>
      <w:r>
        <w:rPr>
          <w:rFonts w:hint="eastAsia" w:ascii="宋体" w:hAnsi="宋体"/>
          <w:bCs/>
          <w:color w:val="000000" w:themeColor="text1"/>
          <w:highlight w:val="none"/>
          <w:lang w:val="en-US" w:eastAsia="zh-CN"/>
        </w:rPr>
        <w:t>人民币2500000.00元。</w:t>
      </w:r>
    </w:p>
    <w:p w14:paraId="11FB3B7D">
      <w:pPr>
        <w:keepNext w:val="0"/>
        <w:keepLines w:val="0"/>
        <w:pageBreakBefore w:val="0"/>
        <w:widowControl/>
        <w:numPr>
          <w:ilvl w:val="0"/>
          <w:numId w:val="20"/>
        </w:numPr>
        <w:tabs>
          <w:tab w:val="left" w:pos="735"/>
          <w:tab w:val="clear" w:pos="528"/>
        </w:tabs>
        <w:kinsoku/>
        <w:wordWrap/>
        <w:overflowPunct/>
        <w:topLinePunct w:val="0"/>
        <w:bidi w:val="0"/>
        <w:adjustRightInd w:val="0"/>
        <w:snapToGrid w:val="0"/>
        <w:spacing w:line="420" w:lineRule="exact"/>
        <w:ind w:left="735" w:leftChars="200" w:hanging="315" w:hangingChars="150"/>
        <w:textAlignment w:val="auto"/>
        <w:rPr>
          <w:rFonts w:hint="eastAsia" w:ascii="宋体" w:hAnsi="宋体"/>
          <w:bCs/>
          <w:color w:val="000000" w:themeColor="text1"/>
          <w:highlight w:val="none"/>
          <w:lang w:eastAsia="zh-CN"/>
        </w:rPr>
      </w:pPr>
      <w:r>
        <w:rPr>
          <w:rFonts w:hint="eastAsia" w:ascii="宋体" w:hAnsi="宋体"/>
          <w:bCs/>
          <w:color w:val="000000" w:themeColor="text1"/>
          <w:highlight w:val="none"/>
        </w:rPr>
        <w:t>报价方式：</w:t>
      </w:r>
      <w:r>
        <w:rPr>
          <w:rFonts w:hint="eastAsia" w:ascii="宋体" w:hAnsi="宋体"/>
          <w:bCs/>
          <w:color w:val="000000" w:themeColor="text1"/>
          <w:highlight w:val="none"/>
          <w:lang w:val="en-US" w:eastAsia="zh-CN"/>
        </w:rPr>
        <w:t>折扣率报价（0-95%）</w:t>
      </w:r>
      <w:r>
        <w:rPr>
          <w:rFonts w:hint="eastAsia" w:ascii="宋体" w:hAnsi="宋体"/>
          <w:bCs/>
          <w:color w:val="000000" w:themeColor="text1"/>
          <w:highlight w:val="none"/>
          <w:lang w:eastAsia="zh-CN"/>
        </w:rPr>
        <w:t>。</w:t>
      </w:r>
    </w:p>
    <w:p w14:paraId="0C98C67C">
      <w:pPr>
        <w:keepNext w:val="0"/>
        <w:keepLines w:val="0"/>
        <w:pageBreakBefore w:val="0"/>
        <w:widowControl/>
        <w:numPr>
          <w:ilvl w:val="0"/>
          <w:numId w:val="0"/>
        </w:numPr>
        <w:tabs>
          <w:tab w:val="left" w:pos="735"/>
        </w:tabs>
        <w:kinsoku/>
        <w:wordWrap/>
        <w:overflowPunct/>
        <w:topLinePunct w:val="0"/>
        <w:bidi w:val="0"/>
        <w:adjustRightInd w:val="0"/>
        <w:snapToGrid w:val="0"/>
        <w:spacing w:line="420" w:lineRule="exact"/>
        <w:ind w:leftChars="50" w:firstLine="420" w:firstLineChars="200"/>
        <w:textAlignment w:val="auto"/>
        <w:rPr>
          <w:rFonts w:hint="eastAsia" w:ascii="宋体" w:hAnsi="宋体"/>
          <w:bCs/>
          <w:color w:val="000000" w:themeColor="text1"/>
          <w:highlight w:val="none"/>
          <w:lang w:eastAsia="zh-CN"/>
        </w:rPr>
      </w:pPr>
      <w:r>
        <w:rPr>
          <w:rFonts w:hint="eastAsia" w:ascii="宋体" w:hAnsi="宋体"/>
          <w:bCs/>
          <w:color w:val="000000" w:themeColor="text1"/>
          <w:highlight w:val="none"/>
          <w:lang w:val="en-US" w:eastAsia="zh-CN"/>
        </w:rPr>
        <w:t>注：投标人必须对所有内容进行投标，不允许只对其中部分内容进行投标。</w:t>
      </w:r>
    </w:p>
    <w:p w14:paraId="474DAADE">
      <w:pPr>
        <w:keepNext w:val="0"/>
        <w:keepLines w:val="0"/>
        <w:pageBreakBefore w:val="0"/>
        <w:widowControl/>
        <w:numPr>
          <w:ilvl w:val="0"/>
          <w:numId w:val="20"/>
        </w:numPr>
        <w:tabs>
          <w:tab w:val="left" w:pos="735"/>
          <w:tab w:val="clear" w:pos="528"/>
        </w:tabs>
        <w:kinsoku/>
        <w:wordWrap/>
        <w:overflowPunct/>
        <w:topLinePunct w:val="0"/>
        <w:bidi w:val="0"/>
        <w:adjustRightInd w:val="0"/>
        <w:snapToGrid w:val="0"/>
        <w:spacing w:line="420" w:lineRule="exact"/>
        <w:ind w:left="735" w:leftChars="200" w:hanging="315" w:hangingChars="150"/>
        <w:textAlignment w:val="auto"/>
        <w:rPr>
          <w:rFonts w:ascii="宋体" w:hAnsi="宋体"/>
          <w:bCs/>
          <w:color w:val="000000" w:themeColor="text1"/>
          <w:highlight w:val="none"/>
        </w:rPr>
      </w:pPr>
      <w:r>
        <w:rPr>
          <w:rFonts w:hint="eastAsia" w:ascii="宋体" w:hAnsi="宋体"/>
          <w:bCs/>
          <w:color w:val="000000" w:themeColor="text1"/>
          <w:highlight w:val="none"/>
          <w:lang w:val="en-US" w:eastAsia="zh-CN"/>
        </w:rPr>
        <w:t>中标供应商数量：两家。</w:t>
      </w:r>
    </w:p>
    <w:p w14:paraId="472D5198">
      <w:pPr>
        <w:keepNext w:val="0"/>
        <w:keepLines w:val="0"/>
        <w:pageBreakBefore w:val="0"/>
        <w:widowControl/>
        <w:numPr>
          <w:ilvl w:val="0"/>
          <w:numId w:val="20"/>
        </w:numPr>
        <w:tabs>
          <w:tab w:val="left" w:pos="735"/>
          <w:tab w:val="clear" w:pos="528"/>
        </w:tabs>
        <w:kinsoku/>
        <w:wordWrap/>
        <w:overflowPunct/>
        <w:topLinePunct w:val="0"/>
        <w:bidi w:val="0"/>
        <w:adjustRightInd w:val="0"/>
        <w:snapToGrid w:val="0"/>
        <w:spacing w:line="420" w:lineRule="exact"/>
        <w:ind w:left="735" w:leftChars="200" w:hanging="315" w:hangingChars="150"/>
        <w:textAlignment w:val="auto"/>
        <w:rPr>
          <w:rFonts w:ascii="宋体" w:hAnsi="宋体"/>
          <w:bCs/>
          <w:color w:val="000000" w:themeColor="text1"/>
          <w:highlight w:val="none"/>
        </w:rPr>
      </w:pPr>
      <w:r>
        <w:rPr>
          <w:rFonts w:hint="eastAsia" w:ascii="宋体" w:hAnsi="宋体"/>
          <w:bCs/>
          <w:color w:val="000000" w:themeColor="text1"/>
          <w:highlight w:val="none"/>
        </w:rPr>
        <w:t>数  量：</w:t>
      </w:r>
      <w:r>
        <w:rPr>
          <w:rFonts w:hint="eastAsia" w:ascii="宋体" w:hAnsi="宋体"/>
          <w:bCs/>
          <w:color w:val="000000" w:themeColor="text1"/>
          <w:highlight w:val="none"/>
          <w:lang w:val="en-US" w:eastAsia="zh-CN"/>
        </w:rPr>
        <w:t>一</w:t>
      </w:r>
      <w:r>
        <w:rPr>
          <w:rFonts w:hint="eastAsia" w:ascii="宋体" w:hAnsi="宋体"/>
          <w:bCs/>
          <w:color w:val="000000" w:themeColor="text1"/>
          <w:highlight w:val="none"/>
        </w:rPr>
        <w:t>项</w:t>
      </w:r>
    </w:p>
    <w:p w14:paraId="4BE9F1A5">
      <w:pPr>
        <w:keepNext w:val="0"/>
        <w:keepLines w:val="0"/>
        <w:pageBreakBefore w:val="0"/>
        <w:widowControl/>
        <w:numPr>
          <w:ilvl w:val="0"/>
          <w:numId w:val="20"/>
        </w:numPr>
        <w:tabs>
          <w:tab w:val="left" w:pos="315"/>
          <w:tab w:val="left" w:pos="735"/>
          <w:tab w:val="clear" w:pos="528"/>
        </w:tabs>
        <w:kinsoku/>
        <w:wordWrap/>
        <w:overflowPunct/>
        <w:topLinePunct w:val="0"/>
        <w:bidi w:val="0"/>
        <w:adjustRightInd w:val="0"/>
        <w:snapToGrid w:val="0"/>
        <w:spacing w:line="420" w:lineRule="exact"/>
        <w:ind w:left="420" w:leftChars="200" w:firstLine="0"/>
        <w:textAlignment w:val="auto"/>
        <w:rPr>
          <w:rFonts w:ascii="宋体" w:hAnsi="宋体"/>
          <w:bCs/>
          <w:color w:val="000000" w:themeColor="text1"/>
          <w:highlight w:val="none"/>
        </w:rPr>
      </w:pPr>
      <w:r>
        <w:rPr>
          <w:rFonts w:hint="eastAsia" w:ascii="宋体" w:hAnsi="宋体" w:cs="Tahoma"/>
          <w:color w:val="000000" w:themeColor="text1"/>
          <w:kern w:val="28"/>
          <w:szCs w:val="21"/>
          <w:highlight w:val="none"/>
        </w:rPr>
        <w:t>项目采购方式：公开招标</w:t>
      </w:r>
    </w:p>
    <w:p w14:paraId="65E57183">
      <w:pPr>
        <w:keepNext w:val="0"/>
        <w:keepLines w:val="0"/>
        <w:pageBreakBefore w:val="0"/>
        <w:widowControl/>
        <w:tabs>
          <w:tab w:val="left" w:pos="502"/>
        </w:tabs>
        <w:kinsoku/>
        <w:wordWrap/>
        <w:overflowPunct/>
        <w:topLinePunct w:val="0"/>
        <w:bidi w:val="0"/>
        <w:adjustRightInd w:val="0"/>
        <w:snapToGrid w:val="0"/>
        <w:spacing w:line="420" w:lineRule="exact"/>
        <w:textAlignment w:val="auto"/>
        <w:rPr>
          <w:rFonts w:ascii="宋体" w:hAnsi="宋体" w:cs="Tahoma"/>
          <w:b/>
          <w:bCs/>
          <w:color w:val="000000" w:themeColor="text1"/>
          <w:highlight w:val="none"/>
        </w:rPr>
      </w:pPr>
      <w:r>
        <w:rPr>
          <w:rFonts w:hint="eastAsia" w:ascii="宋体" w:hAnsi="宋体" w:cs="Tahoma"/>
          <w:b/>
          <w:bCs/>
          <w:color w:val="000000" w:themeColor="text1"/>
          <w:highlight w:val="none"/>
        </w:rPr>
        <w:t>二、投标人资格要求为：</w:t>
      </w:r>
    </w:p>
    <w:p w14:paraId="0935DC06">
      <w:pPr>
        <w:keepNext w:val="0"/>
        <w:keepLines w:val="0"/>
        <w:pageBreakBefore w:val="0"/>
        <w:widowControl/>
        <w:tabs>
          <w:tab w:val="left" w:pos="525"/>
        </w:tabs>
        <w:kinsoku/>
        <w:wordWrap/>
        <w:overflowPunct/>
        <w:topLinePunct w:val="0"/>
        <w:bidi w:val="0"/>
        <w:adjustRightInd w:val="0"/>
        <w:snapToGrid w:val="0"/>
        <w:spacing w:line="420" w:lineRule="exact"/>
        <w:ind w:firstLine="422" w:firstLineChars="200"/>
        <w:textAlignment w:val="auto"/>
        <w:rPr>
          <w:rFonts w:hint="default" w:ascii="宋体" w:hAnsi="宋体"/>
          <w:b/>
          <w:bCs/>
          <w:color w:val="000000" w:themeColor="text1"/>
          <w:highlight w:val="none"/>
        </w:rPr>
      </w:pPr>
      <w:r>
        <w:rPr>
          <w:rFonts w:ascii="宋体" w:hAnsi="宋体"/>
          <w:b/>
          <w:bCs/>
          <w:color w:val="000000" w:themeColor="text1"/>
          <w:highlight w:val="none"/>
        </w:rPr>
        <w:t>1.投标人应具备《中华人民共和国政府采购法》第二十二条规定的条件，提供下列材料：</w:t>
      </w:r>
    </w:p>
    <w:p w14:paraId="36063038">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58ECA732">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2）有依法缴纳税收和社会保障资金的良好记录：提供投标截止日前6个月内任意1个月依法缴纳税收和社会保障资金的相关材料或出具《承诺函》。如依法免税或不需要缴纳社会保障资金的，提供相应证明材料。</w:t>
      </w:r>
    </w:p>
    <w:p w14:paraId="67EFEC09">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3）具有良好的商业信誉和健全的财务会计制度：投标人必须具有良好的商业信誉和健全的财务会计制度（提供2024年度财务状况报告或2025年至今任意一个月的财务报表或基本开户行出具的资信证明或出具《承诺函》）。</w:t>
      </w:r>
    </w:p>
    <w:p w14:paraId="485CCC6C">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4）履行合同所必需的设备和专业技术能力：提供设备及专业技术能力情况或出具《承诺函》。</w:t>
      </w:r>
    </w:p>
    <w:p w14:paraId="233B3A32">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5）参加采购活动前3年内，在经营活动中没有重大违法记录：提供《承诺函》。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2334B74">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2.为采购项目提供整体设计、规范编制或者项目管理、监理、检测等服务的供应商，不得再参加该采购项目的其他采购活动；（提供《投标函》承诺）</w:t>
      </w:r>
    </w:p>
    <w:p w14:paraId="23DE6CEF">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3.单位负责人为同一人或者存在直接控股、管理关系的不同供应商，不得参加同一合同项下的政府采购活动；（提供《投标函》承诺）</w:t>
      </w:r>
    </w:p>
    <w:p w14:paraId="1DCDA5AC">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64582277">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5.投标人必须具备有效的《食品经营许可证》（提供复印件加盖投标人公章）。</w:t>
      </w:r>
    </w:p>
    <w:p w14:paraId="54C7AD6F">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6.经营场所、仓库距离粪坑、污水池、暴露垃圾场（站）、旱厕等污染源25米以上，不得设置在粉尘、有害气体、放射性物质和其他扩散性污染源的影响范围之内。（提供承诺函，格式自拟）</w:t>
      </w:r>
    </w:p>
    <w:p w14:paraId="5D17D57B">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7.建立良好的食品安全管理体系，建立食品安全管理架构和相关食品安全管理制度，建立“日管控、周排查、月调度”食品安全自查制度，食品采购、贮存、加工、运输符合相关法律法规要求。（提供承诺函，格式自拟）</w:t>
      </w:r>
    </w:p>
    <w:p w14:paraId="51800ADC">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8.建有监控系统，能够保存15天或以上的食品贮存、加工过程视频监控。（提供承诺函，格式自拟）</w:t>
      </w:r>
    </w:p>
    <w:p w14:paraId="74D5B1F7">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9.本项目不接受联合体投标。</w:t>
      </w:r>
    </w:p>
    <w:p w14:paraId="36FB72C7">
      <w:pPr>
        <w:pStyle w:val="192"/>
        <w:keepNext w:val="0"/>
        <w:keepLines w:val="0"/>
        <w:pageBreakBefore w:val="0"/>
        <w:tabs>
          <w:tab w:val="left" w:pos="420"/>
        </w:tabs>
        <w:kinsoku/>
        <w:wordWrap/>
        <w:overflowPunct/>
        <w:topLinePunct w:val="0"/>
        <w:autoSpaceDE w:val="0"/>
        <w:autoSpaceDN w:val="0"/>
        <w:bidi w:val="0"/>
        <w:spacing w:before="1" w:line="420" w:lineRule="exact"/>
        <w:ind w:firstLine="420" w:firstLineChars="200"/>
        <w:jc w:val="left"/>
        <w:textAlignment w:val="auto"/>
        <w:rPr>
          <w:rFonts w:hint="eastAsia" w:ascii="宋体" w:hAnsi="宋体" w:cs="宋体"/>
          <w:b w:val="0"/>
          <w:bCs w:val="0"/>
          <w:color w:val="000000" w:themeColor="text1"/>
          <w:kern w:val="0"/>
          <w:szCs w:val="21"/>
          <w:highlight w:val="none"/>
          <w:lang w:val="en-US" w:eastAsia="zh-CN"/>
        </w:rPr>
      </w:pPr>
      <w:r>
        <w:rPr>
          <w:rFonts w:hint="eastAsia" w:ascii="宋体" w:hAnsi="宋体" w:cs="宋体"/>
          <w:b w:val="0"/>
          <w:bCs w:val="0"/>
          <w:color w:val="000000" w:themeColor="text1"/>
          <w:kern w:val="0"/>
          <w:szCs w:val="21"/>
          <w:highlight w:val="none"/>
          <w:lang w:val="en-US" w:eastAsia="zh-CN"/>
        </w:rPr>
        <w:t>10.投标人须在采购代理机构登记并购买招标文件。</w:t>
      </w:r>
    </w:p>
    <w:p w14:paraId="14DBA8E7">
      <w:pPr>
        <w:pStyle w:val="192"/>
        <w:keepNext w:val="0"/>
        <w:keepLines w:val="0"/>
        <w:pageBreakBefore w:val="0"/>
        <w:tabs>
          <w:tab w:val="left" w:pos="420"/>
        </w:tabs>
        <w:kinsoku/>
        <w:wordWrap/>
        <w:overflowPunct/>
        <w:topLinePunct w:val="0"/>
        <w:autoSpaceDE w:val="0"/>
        <w:autoSpaceDN w:val="0"/>
        <w:bidi w:val="0"/>
        <w:spacing w:before="1" w:line="420" w:lineRule="exact"/>
        <w:ind w:firstLine="422" w:firstLineChars="200"/>
        <w:jc w:val="left"/>
        <w:textAlignment w:val="auto"/>
        <w:rPr>
          <w:rFonts w:hint="eastAsia" w:ascii="宋体" w:hAnsi="宋体" w:eastAsia="宋体" w:cs="宋体"/>
          <w:b/>
          <w:bCs/>
          <w:color w:val="000000" w:themeColor="text1"/>
          <w:kern w:val="0"/>
          <w:szCs w:val="21"/>
          <w:highlight w:val="none"/>
          <w:lang w:val="en-US" w:eastAsia="zh-CN"/>
        </w:rPr>
      </w:pPr>
      <w:r>
        <w:rPr>
          <w:rFonts w:hint="eastAsia" w:ascii="宋体" w:hAnsi="宋体" w:cs="宋体"/>
          <w:b/>
          <w:bCs/>
          <w:color w:val="000000" w:themeColor="text1"/>
          <w:kern w:val="0"/>
          <w:szCs w:val="21"/>
          <w:highlight w:val="none"/>
          <w:lang w:val="en-US" w:eastAsia="zh-CN"/>
        </w:rPr>
        <w:t>11.落实政府采购政策需满足的资格要求：</w:t>
      </w:r>
      <w:r>
        <w:rPr>
          <w:color w:val="000000" w:themeColor="text1"/>
          <w:highlight w:val="none"/>
        </w:rPr>
        <w:t>本项目整体专门面向中小企业采购。</w:t>
      </w:r>
      <w:r>
        <w:rPr>
          <w:rFonts w:hint="eastAsia"/>
          <w:color w:val="000000" w:themeColor="text1"/>
          <w:highlight w:val="none"/>
          <w:lang w:eastAsia="zh-CN"/>
        </w:rPr>
        <w:t>（</w:t>
      </w:r>
      <w:r>
        <w:rPr>
          <w:color w:val="000000" w:themeColor="text1"/>
          <w:highlight w:val="none"/>
        </w:rPr>
        <w:t>本项目</w:t>
      </w:r>
      <w:r>
        <w:rPr>
          <w:rFonts w:hint="eastAsia"/>
          <w:color w:val="000000" w:themeColor="text1"/>
          <w:highlight w:val="none"/>
          <w:lang w:val="en-US" w:eastAsia="zh-CN"/>
        </w:rPr>
        <w:t>所属</w:t>
      </w:r>
      <w:r>
        <w:rPr>
          <w:color w:val="000000" w:themeColor="text1"/>
          <w:highlight w:val="none"/>
        </w:rPr>
        <w:t>行业：</w:t>
      </w:r>
      <w:r>
        <w:rPr>
          <w:rFonts w:hint="eastAsia"/>
          <w:color w:val="000000" w:themeColor="text1"/>
          <w:highlight w:val="none"/>
          <w:lang w:val="en-US" w:eastAsia="zh-CN"/>
        </w:rPr>
        <w:t>批发业</w:t>
      </w:r>
      <w:r>
        <w:rPr>
          <w:rFonts w:hint="eastAsia"/>
          <w:color w:val="000000" w:themeColor="text1"/>
          <w:highlight w:val="none"/>
          <w:lang w:eastAsia="zh-CN"/>
        </w:rPr>
        <w:t>）</w:t>
      </w:r>
    </w:p>
    <w:p w14:paraId="6569E2C8">
      <w:pPr>
        <w:keepNext w:val="0"/>
        <w:keepLines w:val="0"/>
        <w:pageBreakBefore w:val="0"/>
        <w:widowControl/>
        <w:tabs>
          <w:tab w:val="left" w:pos="502"/>
        </w:tabs>
        <w:kinsoku/>
        <w:wordWrap/>
        <w:overflowPunct/>
        <w:topLinePunct w:val="0"/>
        <w:bidi w:val="0"/>
        <w:adjustRightInd w:val="0"/>
        <w:snapToGrid w:val="0"/>
        <w:spacing w:line="420" w:lineRule="exact"/>
        <w:textAlignment w:val="auto"/>
        <w:rPr>
          <w:rFonts w:ascii="Tahoma" w:hAnsi="Tahoma" w:cs="Tahoma"/>
          <w:b/>
          <w:bCs/>
          <w:color w:val="000000" w:themeColor="text1"/>
          <w:szCs w:val="21"/>
          <w:highlight w:val="none"/>
        </w:rPr>
      </w:pPr>
      <w:r>
        <w:rPr>
          <w:rFonts w:hint="eastAsia" w:ascii="Tahoma" w:hAnsi="Tahoma" w:cs="Tahoma"/>
          <w:b/>
          <w:bCs/>
          <w:color w:val="000000" w:themeColor="text1"/>
          <w:szCs w:val="21"/>
          <w:highlight w:val="none"/>
        </w:rPr>
        <w:t>三、</w:t>
      </w:r>
      <w:r>
        <w:rPr>
          <w:rFonts w:ascii="Tahoma" w:hAnsi="Tahoma" w:cs="Tahoma"/>
          <w:b/>
          <w:bCs/>
          <w:color w:val="000000" w:themeColor="text1"/>
          <w:szCs w:val="21"/>
          <w:highlight w:val="none"/>
        </w:rPr>
        <w:t>招标文件的公示</w:t>
      </w:r>
    </w:p>
    <w:p w14:paraId="5E039D0D">
      <w:pPr>
        <w:keepNext w:val="0"/>
        <w:keepLines w:val="0"/>
        <w:pageBreakBefore w:val="0"/>
        <w:kinsoku/>
        <w:wordWrap/>
        <w:overflowPunct/>
        <w:topLinePunct w:val="0"/>
        <w:bidi w:val="0"/>
        <w:spacing w:line="420" w:lineRule="exact"/>
        <w:ind w:firstLine="210" w:firstLineChars="100"/>
        <w:textAlignment w:val="auto"/>
        <w:rPr>
          <w:rFonts w:hint="eastAsia" w:ascii="宋体" w:hAnsi="宋体" w:eastAsia="宋体" w:cs="宋体"/>
          <w:bCs/>
          <w:color w:val="000000" w:themeColor="text1"/>
          <w:highlight w:val="none"/>
        </w:rPr>
      </w:pPr>
      <w:r>
        <w:rPr>
          <w:rFonts w:hint="eastAsia" w:ascii="宋体" w:hAnsi="宋体" w:cs="宋体"/>
          <w:color w:val="000000" w:themeColor="text1"/>
          <w:kern w:val="0"/>
          <w:szCs w:val="21"/>
          <w:highlight w:val="none"/>
        </w:rPr>
        <w:t>1．</w:t>
      </w:r>
      <w:r>
        <w:rPr>
          <w:rFonts w:hint="eastAsia" w:ascii="宋体" w:hAnsi="宋体" w:cs="Arial"/>
          <w:color w:val="000000" w:themeColor="text1"/>
          <w:highlight w:val="none"/>
        </w:rPr>
        <w:t>招标文件公示时</w:t>
      </w:r>
      <w:r>
        <w:rPr>
          <w:rFonts w:hint="eastAsia" w:ascii="宋体" w:hAnsi="宋体"/>
          <w:bCs/>
          <w:color w:val="000000" w:themeColor="text1"/>
          <w:highlight w:val="none"/>
        </w:rPr>
        <w:t>间及下</w:t>
      </w:r>
      <w:r>
        <w:rPr>
          <w:rFonts w:hint="eastAsia" w:ascii="宋体" w:hAnsi="宋体" w:eastAsia="宋体" w:cs="宋体"/>
          <w:bCs/>
          <w:color w:val="000000" w:themeColor="text1"/>
          <w:highlight w:val="none"/>
        </w:rPr>
        <w:t>载：</w:t>
      </w:r>
      <w:r>
        <w:rPr>
          <w:rFonts w:hint="eastAsia" w:ascii="宋体" w:hAnsi="宋体" w:cs="宋体"/>
          <w:bCs/>
          <w:color w:val="000000" w:themeColor="text1"/>
          <w:highlight w:val="none"/>
          <w:lang w:val="en-US" w:eastAsia="zh-CN"/>
        </w:rPr>
        <w:t>2025</w:t>
      </w:r>
      <w:r>
        <w:rPr>
          <w:rFonts w:hint="eastAsia" w:ascii="宋体" w:hAnsi="宋体" w:cs="宋体"/>
          <w:color w:val="000000" w:themeColor="text1"/>
          <w:kern w:val="2"/>
          <w:sz w:val="21"/>
          <w:szCs w:val="24"/>
          <w:highlight w:val="none"/>
          <w:lang w:val="en-US" w:eastAsia="zh-CN" w:bidi="ar-SA"/>
        </w:rPr>
        <w:t xml:space="preserve"> </w:t>
      </w:r>
      <w:r>
        <w:rPr>
          <w:rFonts w:hint="eastAsia" w:ascii="宋体" w:hAnsi="宋体" w:eastAsia="宋体" w:cs="宋体"/>
          <w:color w:val="000000" w:themeColor="text1"/>
          <w:kern w:val="2"/>
          <w:sz w:val="21"/>
          <w:szCs w:val="24"/>
          <w:highlight w:val="none"/>
          <w:lang w:val="en-US" w:eastAsia="zh-CN" w:bidi="ar-SA"/>
        </w:rPr>
        <w:t>年</w:t>
      </w:r>
      <w:r>
        <w:rPr>
          <w:rFonts w:hint="eastAsia" w:ascii="宋体" w:hAnsi="宋体" w:cs="宋体"/>
          <w:color w:val="000000" w:themeColor="text1"/>
          <w:kern w:val="2"/>
          <w:sz w:val="21"/>
          <w:szCs w:val="24"/>
          <w:highlight w:val="none"/>
          <w:lang w:val="en-US" w:eastAsia="zh-CN" w:bidi="ar-SA"/>
        </w:rPr>
        <w:t xml:space="preserve">8 </w:t>
      </w:r>
      <w:r>
        <w:rPr>
          <w:rFonts w:hint="eastAsia" w:ascii="宋体" w:hAnsi="宋体" w:eastAsia="宋体" w:cs="宋体"/>
          <w:color w:val="000000" w:themeColor="text1"/>
          <w:kern w:val="2"/>
          <w:sz w:val="21"/>
          <w:szCs w:val="24"/>
          <w:highlight w:val="none"/>
          <w:lang w:val="en-US" w:eastAsia="zh-CN" w:bidi="ar-SA"/>
        </w:rPr>
        <w:t>月</w:t>
      </w:r>
      <w:r>
        <w:rPr>
          <w:rFonts w:hint="eastAsia" w:ascii="宋体" w:hAnsi="宋体" w:cs="宋体"/>
          <w:color w:val="000000" w:themeColor="text1"/>
          <w:kern w:val="2"/>
          <w:sz w:val="21"/>
          <w:szCs w:val="24"/>
          <w:highlight w:val="none"/>
          <w:lang w:val="en-US" w:eastAsia="zh-CN" w:bidi="ar-SA"/>
        </w:rPr>
        <w:t>4</w:t>
      </w:r>
      <w:r>
        <w:rPr>
          <w:rFonts w:hint="eastAsia" w:ascii="宋体" w:hAnsi="宋体" w:eastAsia="宋体" w:cs="宋体"/>
          <w:color w:val="000000" w:themeColor="text1"/>
          <w:kern w:val="2"/>
          <w:sz w:val="21"/>
          <w:szCs w:val="24"/>
          <w:highlight w:val="none"/>
          <w:lang w:val="en-US" w:eastAsia="zh-CN" w:bidi="ar-SA"/>
        </w:rPr>
        <w:t>日</w:t>
      </w:r>
      <w:r>
        <w:rPr>
          <w:rFonts w:hint="eastAsia" w:ascii="宋体" w:hAnsi="宋体" w:eastAsia="宋体" w:cs="宋体"/>
          <w:color w:val="000000" w:themeColor="text1"/>
          <w:szCs w:val="21"/>
          <w:highlight w:val="none"/>
        </w:rPr>
        <w:t>至</w:t>
      </w:r>
      <w:r>
        <w:rPr>
          <w:rFonts w:hint="eastAsia" w:ascii="宋体" w:hAnsi="宋体" w:cs="宋体"/>
          <w:bCs/>
          <w:color w:val="000000" w:themeColor="text1"/>
          <w:highlight w:val="none"/>
          <w:lang w:val="en-US" w:eastAsia="zh-CN"/>
        </w:rPr>
        <w:t>2025</w:t>
      </w:r>
      <w:r>
        <w:rPr>
          <w:rFonts w:hint="eastAsia" w:ascii="宋体" w:hAnsi="宋体" w:cs="宋体"/>
          <w:color w:val="000000" w:themeColor="text1"/>
          <w:kern w:val="2"/>
          <w:sz w:val="21"/>
          <w:szCs w:val="24"/>
          <w:highlight w:val="none"/>
          <w:lang w:val="en-US" w:eastAsia="zh-CN" w:bidi="ar-SA"/>
        </w:rPr>
        <w:t xml:space="preserve"> </w:t>
      </w:r>
      <w:r>
        <w:rPr>
          <w:rFonts w:hint="eastAsia" w:ascii="宋体" w:hAnsi="宋体" w:eastAsia="宋体" w:cs="宋体"/>
          <w:color w:val="000000" w:themeColor="text1"/>
          <w:kern w:val="2"/>
          <w:sz w:val="21"/>
          <w:szCs w:val="24"/>
          <w:highlight w:val="none"/>
          <w:lang w:val="en-US" w:eastAsia="zh-CN" w:bidi="ar-SA"/>
        </w:rPr>
        <w:t>年</w:t>
      </w:r>
      <w:r>
        <w:rPr>
          <w:rFonts w:hint="eastAsia" w:ascii="宋体" w:hAnsi="宋体" w:cs="宋体"/>
          <w:color w:val="000000" w:themeColor="text1"/>
          <w:kern w:val="2"/>
          <w:sz w:val="21"/>
          <w:szCs w:val="24"/>
          <w:highlight w:val="none"/>
          <w:lang w:val="en-US" w:eastAsia="zh-CN" w:bidi="ar-SA"/>
        </w:rPr>
        <w:t xml:space="preserve">8 </w:t>
      </w:r>
      <w:r>
        <w:rPr>
          <w:rFonts w:hint="eastAsia" w:ascii="宋体" w:hAnsi="宋体" w:eastAsia="宋体" w:cs="宋体"/>
          <w:color w:val="000000" w:themeColor="text1"/>
          <w:kern w:val="2"/>
          <w:sz w:val="21"/>
          <w:szCs w:val="24"/>
          <w:highlight w:val="none"/>
          <w:lang w:val="en-US" w:eastAsia="zh-CN" w:bidi="ar-SA"/>
        </w:rPr>
        <w:t>月</w:t>
      </w:r>
      <w:r>
        <w:rPr>
          <w:rFonts w:hint="eastAsia" w:ascii="宋体" w:hAnsi="宋体" w:cs="宋体"/>
          <w:color w:val="000000" w:themeColor="text1"/>
          <w:kern w:val="2"/>
          <w:sz w:val="21"/>
          <w:szCs w:val="24"/>
          <w:highlight w:val="none"/>
          <w:lang w:val="en-US" w:eastAsia="zh-CN" w:bidi="ar-SA"/>
        </w:rPr>
        <w:t>11</w:t>
      </w:r>
      <w:r>
        <w:rPr>
          <w:rFonts w:hint="eastAsia" w:ascii="宋体" w:hAnsi="宋体" w:eastAsia="宋体" w:cs="宋体"/>
          <w:color w:val="000000" w:themeColor="text1"/>
          <w:kern w:val="2"/>
          <w:sz w:val="21"/>
          <w:szCs w:val="24"/>
          <w:highlight w:val="none"/>
          <w:lang w:val="en-US" w:eastAsia="zh-CN" w:bidi="ar-SA"/>
        </w:rPr>
        <w:t>日</w:t>
      </w:r>
      <w:r>
        <w:rPr>
          <w:rFonts w:hint="eastAsia" w:ascii="宋体" w:hAnsi="宋体" w:eastAsia="宋体" w:cs="宋体"/>
          <w:bCs/>
          <w:color w:val="000000" w:themeColor="text1"/>
          <w:highlight w:val="none"/>
        </w:rPr>
        <w:t>。</w:t>
      </w:r>
    </w:p>
    <w:p w14:paraId="2E667AA8">
      <w:pPr>
        <w:keepNext w:val="0"/>
        <w:keepLines w:val="0"/>
        <w:pageBreakBefore w:val="0"/>
        <w:widowControl/>
        <w:kinsoku/>
        <w:wordWrap/>
        <w:overflowPunct/>
        <w:topLinePunct w:val="0"/>
        <w:bidi w:val="0"/>
        <w:adjustRightInd w:val="0"/>
        <w:snapToGrid w:val="0"/>
        <w:spacing w:line="420" w:lineRule="exact"/>
        <w:ind w:left="315" w:leftChars="100" w:hanging="105" w:hangingChars="50"/>
        <w:textAlignment w:val="auto"/>
        <w:rPr>
          <w:rFonts w:hint="eastAsia" w:ascii="宋体" w:hAnsi="宋体" w:eastAsia="宋体" w:cs="宋体"/>
          <w:color w:val="000000" w:themeColor="text1"/>
          <w:kern w:val="0"/>
          <w:szCs w:val="21"/>
          <w:highlight w:val="none"/>
        </w:rPr>
      </w:pPr>
      <w:r>
        <w:rPr>
          <w:rFonts w:hint="eastAsia" w:ascii="宋体" w:hAnsi="宋体" w:eastAsia="宋体" w:cs="宋体"/>
          <w:bCs/>
          <w:color w:val="000000" w:themeColor="text1"/>
          <w:highlight w:val="none"/>
        </w:rPr>
        <w:t>2．根据《广东省实施〈中华人民共和国政府采购法〉办法》第三十五条的规定，投标人认为政府采购文件的内容损害其权益</w:t>
      </w:r>
      <w:r>
        <w:rPr>
          <w:rFonts w:hint="eastAsia" w:ascii="宋体" w:hAnsi="宋体" w:eastAsia="宋体" w:cs="宋体"/>
          <w:color w:val="000000" w:themeColor="text1"/>
          <w:kern w:val="0"/>
          <w:szCs w:val="21"/>
          <w:highlight w:val="none"/>
        </w:rPr>
        <w:t>的，可以在公示期间或者自期满之日起七个工作日内以书面形式向采购人或代理采购机构提出质疑。质疑函应当由质疑投标人的法定代表人或主要负责人签字并加盖单位公章，留有联系人及联系电话并提供营业执照复印件、法定代表人（负责人）证明书、授权书、法定代表人（负责人）被授权人身份证复印件，并与代理采购机构工作人员做好确认工作，未被确认的质疑将作为无效质疑，采购人或代理采购机构可不予作答。</w:t>
      </w:r>
    </w:p>
    <w:p w14:paraId="01000055">
      <w:pPr>
        <w:keepNext w:val="0"/>
        <w:keepLines w:val="0"/>
        <w:pageBreakBefore w:val="0"/>
        <w:widowControl/>
        <w:numPr>
          <w:ilvl w:val="0"/>
          <w:numId w:val="22"/>
        </w:numPr>
        <w:tabs>
          <w:tab w:val="left" w:pos="502"/>
        </w:tabs>
        <w:kinsoku/>
        <w:wordWrap/>
        <w:overflowPunct/>
        <w:topLinePunct w:val="0"/>
        <w:bidi w:val="0"/>
        <w:adjustRightInd w:val="0"/>
        <w:snapToGrid w:val="0"/>
        <w:spacing w:line="420" w:lineRule="exact"/>
        <w:textAlignment w:val="auto"/>
        <w:rPr>
          <w:rFonts w:hint="eastAsia" w:ascii="宋体" w:hAnsi="宋体" w:eastAsia="宋体" w:cs="宋体"/>
          <w:b/>
          <w:bCs/>
          <w:color w:val="000000" w:themeColor="text1"/>
          <w:szCs w:val="21"/>
          <w:highlight w:val="none"/>
        </w:rPr>
      </w:pPr>
      <w:r>
        <w:rPr>
          <w:rFonts w:hint="eastAsia" w:ascii="宋体" w:hAnsi="宋体" w:eastAsia="宋体" w:cs="宋体"/>
          <w:b/>
          <w:bCs/>
          <w:color w:val="000000" w:themeColor="text1"/>
          <w:szCs w:val="21"/>
          <w:highlight w:val="none"/>
        </w:rPr>
        <w:t>购买招标文件的时间、地点、方式及招标文件售价</w:t>
      </w:r>
    </w:p>
    <w:p w14:paraId="1ABBEF0F">
      <w:pPr>
        <w:keepNext w:val="0"/>
        <w:keepLines w:val="0"/>
        <w:pageBreakBefore w:val="0"/>
        <w:widowControl/>
        <w:tabs>
          <w:tab w:val="left" w:pos="735"/>
        </w:tabs>
        <w:kinsoku/>
        <w:wordWrap/>
        <w:overflowPunct/>
        <w:topLinePunct w:val="0"/>
        <w:bidi w:val="0"/>
        <w:adjustRightInd w:val="0"/>
        <w:snapToGrid w:val="0"/>
        <w:spacing w:line="420" w:lineRule="exact"/>
        <w:ind w:left="210" w:leftChars="1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1.购买招标文件</w:t>
      </w:r>
      <w:r>
        <w:rPr>
          <w:rFonts w:hint="eastAsia" w:ascii="宋体" w:hAnsi="宋体" w:eastAsia="宋体" w:cs="宋体"/>
          <w:bCs/>
          <w:color w:val="000000" w:themeColor="text1"/>
          <w:highlight w:val="none"/>
        </w:rPr>
        <w:t>时间：</w:t>
      </w:r>
      <w:r>
        <w:rPr>
          <w:rFonts w:hint="eastAsia" w:ascii="宋体" w:hAnsi="宋体" w:cs="宋体"/>
          <w:bCs/>
          <w:color w:val="000000" w:themeColor="text1"/>
          <w:highlight w:val="none"/>
          <w:lang w:val="en-US" w:eastAsia="zh-CN"/>
        </w:rPr>
        <w:t>2025</w:t>
      </w:r>
      <w:r>
        <w:rPr>
          <w:rFonts w:hint="eastAsia" w:ascii="宋体" w:hAnsi="宋体" w:cs="宋体"/>
          <w:color w:val="000000" w:themeColor="text1"/>
          <w:kern w:val="2"/>
          <w:sz w:val="21"/>
          <w:szCs w:val="24"/>
          <w:highlight w:val="none"/>
          <w:lang w:val="en-US" w:eastAsia="zh-CN" w:bidi="ar-SA"/>
        </w:rPr>
        <w:t xml:space="preserve"> </w:t>
      </w:r>
      <w:r>
        <w:rPr>
          <w:rFonts w:hint="eastAsia" w:ascii="宋体" w:hAnsi="宋体" w:eastAsia="宋体" w:cs="宋体"/>
          <w:color w:val="000000" w:themeColor="text1"/>
          <w:kern w:val="2"/>
          <w:sz w:val="21"/>
          <w:szCs w:val="24"/>
          <w:highlight w:val="none"/>
          <w:lang w:val="en-US" w:eastAsia="zh-CN" w:bidi="ar-SA"/>
        </w:rPr>
        <w:t>年</w:t>
      </w:r>
      <w:r>
        <w:rPr>
          <w:rFonts w:hint="eastAsia" w:ascii="宋体" w:hAnsi="宋体" w:cs="宋体"/>
          <w:color w:val="000000" w:themeColor="text1"/>
          <w:kern w:val="2"/>
          <w:sz w:val="21"/>
          <w:szCs w:val="24"/>
          <w:highlight w:val="none"/>
          <w:lang w:val="en-US" w:eastAsia="zh-CN" w:bidi="ar-SA"/>
        </w:rPr>
        <w:t xml:space="preserve">8 </w:t>
      </w:r>
      <w:r>
        <w:rPr>
          <w:rFonts w:hint="eastAsia" w:ascii="宋体" w:hAnsi="宋体" w:eastAsia="宋体" w:cs="宋体"/>
          <w:color w:val="000000" w:themeColor="text1"/>
          <w:kern w:val="2"/>
          <w:sz w:val="21"/>
          <w:szCs w:val="24"/>
          <w:highlight w:val="none"/>
          <w:lang w:val="en-US" w:eastAsia="zh-CN" w:bidi="ar-SA"/>
        </w:rPr>
        <w:t>月</w:t>
      </w:r>
      <w:r>
        <w:rPr>
          <w:rFonts w:hint="eastAsia" w:ascii="宋体" w:hAnsi="宋体" w:cs="宋体"/>
          <w:color w:val="000000" w:themeColor="text1"/>
          <w:kern w:val="2"/>
          <w:sz w:val="21"/>
          <w:szCs w:val="24"/>
          <w:highlight w:val="none"/>
          <w:lang w:val="en-US" w:eastAsia="zh-CN" w:bidi="ar-SA"/>
        </w:rPr>
        <w:t>4</w:t>
      </w:r>
      <w:r>
        <w:rPr>
          <w:rFonts w:hint="eastAsia" w:ascii="宋体" w:hAnsi="宋体" w:eastAsia="宋体" w:cs="宋体"/>
          <w:color w:val="000000" w:themeColor="text1"/>
          <w:kern w:val="2"/>
          <w:sz w:val="21"/>
          <w:szCs w:val="24"/>
          <w:highlight w:val="none"/>
          <w:lang w:val="en-US" w:eastAsia="zh-CN" w:bidi="ar-SA"/>
        </w:rPr>
        <w:t>日</w:t>
      </w:r>
      <w:r>
        <w:rPr>
          <w:rFonts w:hint="eastAsia" w:ascii="宋体" w:hAnsi="宋体" w:eastAsia="宋体" w:cs="宋体"/>
          <w:color w:val="000000" w:themeColor="text1"/>
          <w:szCs w:val="21"/>
          <w:highlight w:val="none"/>
        </w:rPr>
        <w:t>至</w:t>
      </w:r>
      <w:r>
        <w:rPr>
          <w:rFonts w:hint="eastAsia" w:ascii="宋体" w:hAnsi="宋体" w:cs="宋体"/>
          <w:bCs/>
          <w:color w:val="000000" w:themeColor="text1"/>
          <w:highlight w:val="none"/>
          <w:lang w:val="en-US" w:eastAsia="zh-CN"/>
        </w:rPr>
        <w:t>2025</w:t>
      </w:r>
      <w:r>
        <w:rPr>
          <w:rFonts w:hint="eastAsia" w:ascii="宋体" w:hAnsi="宋体" w:cs="宋体"/>
          <w:color w:val="000000" w:themeColor="text1"/>
          <w:kern w:val="2"/>
          <w:sz w:val="21"/>
          <w:szCs w:val="24"/>
          <w:highlight w:val="none"/>
          <w:lang w:val="en-US" w:eastAsia="zh-CN" w:bidi="ar-SA"/>
        </w:rPr>
        <w:t xml:space="preserve"> </w:t>
      </w:r>
      <w:r>
        <w:rPr>
          <w:rFonts w:hint="eastAsia" w:ascii="宋体" w:hAnsi="宋体" w:eastAsia="宋体" w:cs="宋体"/>
          <w:color w:val="000000" w:themeColor="text1"/>
          <w:kern w:val="2"/>
          <w:sz w:val="21"/>
          <w:szCs w:val="24"/>
          <w:highlight w:val="none"/>
          <w:lang w:val="en-US" w:eastAsia="zh-CN" w:bidi="ar-SA"/>
        </w:rPr>
        <w:t>年</w:t>
      </w:r>
      <w:r>
        <w:rPr>
          <w:rFonts w:hint="eastAsia" w:ascii="宋体" w:hAnsi="宋体" w:cs="宋体"/>
          <w:color w:val="000000" w:themeColor="text1"/>
          <w:kern w:val="2"/>
          <w:sz w:val="21"/>
          <w:szCs w:val="24"/>
          <w:highlight w:val="none"/>
          <w:lang w:val="en-US" w:eastAsia="zh-CN" w:bidi="ar-SA"/>
        </w:rPr>
        <w:t xml:space="preserve">8 </w:t>
      </w:r>
      <w:r>
        <w:rPr>
          <w:rFonts w:hint="eastAsia" w:ascii="宋体" w:hAnsi="宋体" w:eastAsia="宋体" w:cs="宋体"/>
          <w:color w:val="000000" w:themeColor="text1"/>
          <w:kern w:val="2"/>
          <w:sz w:val="21"/>
          <w:szCs w:val="24"/>
          <w:highlight w:val="none"/>
          <w:lang w:val="en-US" w:eastAsia="zh-CN" w:bidi="ar-SA"/>
        </w:rPr>
        <w:t>月</w:t>
      </w:r>
      <w:r>
        <w:rPr>
          <w:rFonts w:hint="eastAsia" w:ascii="宋体" w:hAnsi="宋体" w:cs="宋体"/>
          <w:color w:val="000000" w:themeColor="text1"/>
          <w:kern w:val="2"/>
          <w:sz w:val="21"/>
          <w:szCs w:val="24"/>
          <w:highlight w:val="none"/>
          <w:lang w:val="en-US" w:eastAsia="zh-CN" w:bidi="ar-SA"/>
        </w:rPr>
        <w:t>11</w:t>
      </w:r>
      <w:r>
        <w:rPr>
          <w:rFonts w:hint="eastAsia" w:ascii="宋体" w:hAnsi="宋体" w:eastAsia="宋体" w:cs="宋体"/>
          <w:color w:val="000000" w:themeColor="text1"/>
          <w:kern w:val="2"/>
          <w:sz w:val="21"/>
          <w:szCs w:val="24"/>
          <w:highlight w:val="none"/>
          <w:lang w:val="en-US" w:eastAsia="zh-CN" w:bidi="ar-SA"/>
        </w:rPr>
        <w:t>日</w:t>
      </w:r>
      <w:r>
        <w:rPr>
          <w:rFonts w:hint="eastAsia" w:ascii="宋体" w:hAnsi="宋体" w:eastAsia="宋体" w:cs="宋体"/>
          <w:bCs/>
          <w:color w:val="000000" w:themeColor="text1"/>
          <w:highlight w:val="none"/>
        </w:rPr>
        <w:t>，上午9:00～12:00，下午2:30～5:30（节假日除外）（北</w:t>
      </w:r>
      <w:r>
        <w:rPr>
          <w:rFonts w:hint="eastAsia" w:ascii="宋体" w:hAnsi="宋体" w:eastAsia="宋体" w:cs="宋体"/>
          <w:color w:val="000000" w:themeColor="text1"/>
          <w:highlight w:val="none"/>
        </w:rPr>
        <w:t>京时间）。</w:t>
      </w:r>
    </w:p>
    <w:p w14:paraId="45E717A3">
      <w:pPr>
        <w:keepNext w:val="0"/>
        <w:keepLines w:val="0"/>
        <w:pageBreakBefore w:val="0"/>
        <w:widowControl/>
        <w:tabs>
          <w:tab w:val="left" w:pos="735"/>
        </w:tabs>
        <w:kinsoku/>
        <w:wordWrap/>
        <w:overflowPunct/>
        <w:topLinePunct w:val="0"/>
        <w:bidi w:val="0"/>
        <w:adjustRightInd w:val="0"/>
        <w:snapToGrid w:val="0"/>
        <w:spacing w:line="420" w:lineRule="exact"/>
        <w:ind w:left="210" w:leftChars="1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2.购买招标文件地点：阳江市江城区猫山四街33号A座2楼</w:t>
      </w:r>
      <w:r>
        <w:rPr>
          <w:rFonts w:hint="eastAsia" w:ascii="宋体" w:hAnsi="宋体" w:eastAsia="宋体" w:cs="宋体"/>
          <w:color w:val="000000" w:themeColor="text1"/>
          <w:szCs w:val="21"/>
          <w:highlight w:val="none"/>
          <w:lang w:val="en-US" w:eastAsia="zh-CN"/>
        </w:rPr>
        <w:t>2</w:t>
      </w:r>
      <w:r>
        <w:rPr>
          <w:rFonts w:hint="eastAsia" w:ascii="宋体" w:hAnsi="宋体" w:eastAsia="宋体" w:cs="宋体"/>
          <w:color w:val="000000" w:themeColor="text1"/>
          <w:szCs w:val="21"/>
          <w:highlight w:val="none"/>
        </w:rPr>
        <w:t>05室。</w:t>
      </w:r>
    </w:p>
    <w:p w14:paraId="375D92EA">
      <w:pPr>
        <w:keepNext w:val="0"/>
        <w:keepLines w:val="0"/>
        <w:pageBreakBefore w:val="0"/>
        <w:widowControl/>
        <w:tabs>
          <w:tab w:val="left" w:pos="735"/>
        </w:tabs>
        <w:kinsoku/>
        <w:wordWrap/>
        <w:overflowPunct/>
        <w:topLinePunct w:val="0"/>
        <w:bidi w:val="0"/>
        <w:adjustRightInd w:val="0"/>
        <w:snapToGrid w:val="0"/>
        <w:spacing w:line="420" w:lineRule="exact"/>
        <w:ind w:left="210" w:leftChars="100"/>
        <w:textAlignment w:val="auto"/>
        <w:rPr>
          <w:rFonts w:hint="eastAsia" w:ascii="宋体" w:hAnsi="宋体" w:eastAsia="宋体" w:cs="宋体"/>
          <w:color w:val="000000" w:themeColor="text1"/>
          <w:highlight w:val="none"/>
        </w:rPr>
      </w:pPr>
      <w:r>
        <w:rPr>
          <w:rFonts w:hint="eastAsia" w:ascii="宋体" w:hAnsi="宋体" w:eastAsia="宋体" w:cs="宋体"/>
          <w:bCs/>
          <w:color w:val="000000" w:themeColor="text1"/>
          <w:highlight w:val="none"/>
        </w:rPr>
        <w:t>3.招标文件售价：</w:t>
      </w:r>
      <w:r>
        <w:rPr>
          <w:rFonts w:hint="eastAsia" w:ascii="宋体" w:hAnsi="宋体" w:eastAsia="宋体" w:cs="宋体"/>
          <w:bCs/>
          <w:color w:val="000000" w:themeColor="text1"/>
          <w:szCs w:val="21"/>
          <w:highlight w:val="none"/>
        </w:rPr>
        <w:t>招标文件每套人民币</w:t>
      </w:r>
      <w:r>
        <w:rPr>
          <w:rFonts w:hint="eastAsia" w:ascii="宋体" w:hAnsi="宋体" w:cs="宋体"/>
          <w:bCs/>
          <w:color w:val="000000" w:themeColor="text1"/>
          <w:szCs w:val="21"/>
          <w:highlight w:val="none"/>
          <w:lang w:val="en-US" w:eastAsia="zh-CN"/>
        </w:rPr>
        <w:t>5</w:t>
      </w:r>
      <w:r>
        <w:rPr>
          <w:rFonts w:hint="eastAsia" w:ascii="宋体" w:hAnsi="宋体" w:eastAsia="宋体" w:cs="宋体"/>
          <w:bCs/>
          <w:color w:val="000000" w:themeColor="text1"/>
          <w:szCs w:val="21"/>
          <w:highlight w:val="none"/>
        </w:rPr>
        <w:t>00元，售后不退</w:t>
      </w:r>
      <w:r>
        <w:rPr>
          <w:rFonts w:hint="eastAsia" w:ascii="宋体" w:hAnsi="宋体" w:eastAsia="宋体" w:cs="宋体"/>
          <w:bCs/>
          <w:color w:val="000000" w:themeColor="text1"/>
          <w:highlight w:val="none"/>
        </w:rPr>
        <w:t>。</w:t>
      </w:r>
    </w:p>
    <w:p w14:paraId="4FD5D1FC">
      <w:pPr>
        <w:keepNext w:val="0"/>
        <w:keepLines w:val="0"/>
        <w:pageBreakBefore w:val="0"/>
        <w:widowControl/>
        <w:tabs>
          <w:tab w:val="left" w:pos="735"/>
        </w:tabs>
        <w:kinsoku/>
        <w:wordWrap/>
        <w:overflowPunct/>
        <w:topLinePunct w:val="0"/>
        <w:bidi w:val="0"/>
        <w:adjustRightInd w:val="0"/>
        <w:snapToGrid w:val="0"/>
        <w:spacing w:line="420" w:lineRule="exact"/>
        <w:ind w:left="420" w:leftChars="100" w:hanging="210" w:hangingChars="100"/>
        <w:textAlignment w:val="auto"/>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4.招标文件获取方式：现场发售。</w:t>
      </w:r>
    </w:p>
    <w:p w14:paraId="0FCD6CFE">
      <w:pPr>
        <w:keepNext w:val="0"/>
        <w:keepLines w:val="0"/>
        <w:pageBreakBefore w:val="0"/>
        <w:widowControl/>
        <w:tabs>
          <w:tab w:val="left" w:pos="735"/>
        </w:tabs>
        <w:kinsoku/>
        <w:wordWrap/>
        <w:overflowPunct/>
        <w:topLinePunct w:val="0"/>
        <w:bidi w:val="0"/>
        <w:adjustRightInd w:val="0"/>
        <w:snapToGrid w:val="0"/>
        <w:spacing w:line="420" w:lineRule="exact"/>
        <w:ind w:left="420" w:leftChars="100" w:hanging="210" w:hangingChars="100"/>
        <w:textAlignment w:val="auto"/>
        <w:rPr>
          <w:rFonts w:hint="eastAsia" w:ascii="宋体" w:hAnsi="宋体" w:eastAsia="宋体" w:cs="宋体"/>
          <w:bCs/>
          <w:color w:val="000000" w:themeColor="text1"/>
          <w:szCs w:val="21"/>
          <w:highlight w:val="none"/>
        </w:rPr>
      </w:pPr>
      <w:r>
        <w:rPr>
          <w:rFonts w:hint="eastAsia" w:ascii="宋体" w:hAnsi="宋体" w:eastAsia="宋体" w:cs="宋体"/>
          <w:bCs/>
          <w:color w:val="000000" w:themeColor="text1"/>
          <w:highlight w:val="none"/>
        </w:rPr>
        <w:t>5.</w:t>
      </w:r>
      <w:r>
        <w:rPr>
          <w:rFonts w:hint="eastAsia" w:ascii="宋体" w:hAnsi="宋体" w:eastAsia="宋体" w:cs="宋体"/>
          <w:bCs/>
          <w:color w:val="000000" w:themeColor="text1"/>
          <w:szCs w:val="21"/>
          <w:highlight w:val="none"/>
        </w:rPr>
        <w:t>购买招标文件必须携带:</w:t>
      </w:r>
    </w:p>
    <w:p w14:paraId="1F0F30FB">
      <w:pPr>
        <w:keepNext w:val="0"/>
        <w:keepLines w:val="0"/>
        <w:pageBreakBefore w:val="0"/>
        <w:widowControl/>
        <w:tabs>
          <w:tab w:val="left" w:pos="735"/>
        </w:tabs>
        <w:kinsoku/>
        <w:wordWrap/>
        <w:overflowPunct/>
        <w:topLinePunct w:val="0"/>
        <w:bidi w:val="0"/>
        <w:adjustRightInd w:val="0"/>
        <w:snapToGrid w:val="0"/>
        <w:spacing w:line="420" w:lineRule="exact"/>
        <w:ind w:left="659" w:leftChars="164" w:hanging="315" w:hangingChars="150"/>
        <w:textAlignment w:val="auto"/>
        <w:rPr>
          <w:rFonts w:hint="eastAsia" w:ascii="宋体" w:hAnsi="宋体" w:eastAsia="宋体" w:cs="宋体"/>
          <w:bCs/>
          <w:color w:val="000000" w:themeColor="text1"/>
          <w:highlight w:val="none"/>
        </w:rPr>
      </w:pPr>
      <w:r>
        <w:rPr>
          <w:rFonts w:hint="eastAsia" w:ascii="宋体" w:hAnsi="宋体" w:eastAsia="宋体" w:cs="宋体"/>
          <w:bCs/>
          <w:color w:val="000000" w:themeColor="text1"/>
          <w:szCs w:val="21"/>
          <w:highlight w:val="none"/>
        </w:rPr>
        <w:t>1）法定代表人（负责人）证明书原件、法定代表人（负责人）授权委托书原件、法定代表人（负责人）身份证复印件、授权委托人身份证复印件、营业执照副本复印件和相关资质证书复印件及《购买标书登记表》加盖公章到指定地址购买。</w:t>
      </w:r>
      <w:r>
        <w:rPr>
          <w:rFonts w:hint="eastAsia" w:ascii="宋体" w:hAnsi="宋体" w:eastAsia="宋体" w:cs="宋体"/>
          <w:b/>
          <w:bCs/>
          <w:color w:val="000000" w:themeColor="text1"/>
          <w:highlight w:val="none"/>
        </w:rPr>
        <w:t>报名时投标单位的资料与以上报名条件不符合、不齐全、复印件不清晰或未盖红色公章的将不予受理</w:t>
      </w:r>
      <w:r>
        <w:rPr>
          <w:rFonts w:hint="eastAsia" w:ascii="宋体" w:hAnsi="宋体" w:eastAsia="宋体" w:cs="宋体"/>
          <w:bCs/>
          <w:color w:val="000000" w:themeColor="text1"/>
          <w:highlight w:val="none"/>
        </w:rPr>
        <w:t>。</w:t>
      </w:r>
    </w:p>
    <w:p w14:paraId="38DAFB52">
      <w:pPr>
        <w:keepNext w:val="0"/>
        <w:keepLines w:val="0"/>
        <w:pageBreakBefore w:val="0"/>
        <w:widowControl/>
        <w:tabs>
          <w:tab w:val="left" w:pos="735"/>
        </w:tabs>
        <w:kinsoku/>
        <w:wordWrap/>
        <w:overflowPunct/>
        <w:topLinePunct w:val="0"/>
        <w:bidi w:val="0"/>
        <w:adjustRightInd w:val="0"/>
        <w:snapToGrid w:val="0"/>
        <w:spacing w:line="420" w:lineRule="exact"/>
        <w:ind w:left="660" w:leftChars="164" w:hanging="316" w:hangingChars="150"/>
        <w:textAlignment w:val="auto"/>
        <w:rPr>
          <w:rFonts w:hint="eastAsia" w:ascii="宋体" w:hAnsi="宋体" w:eastAsia="宋体" w:cs="宋体"/>
          <w:b/>
          <w:color w:val="000000" w:themeColor="text1"/>
          <w:highlight w:val="none"/>
        </w:rPr>
      </w:pPr>
      <w:r>
        <w:rPr>
          <w:rFonts w:hint="eastAsia" w:ascii="宋体" w:hAnsi="宋体" w:eastAsia="宋体" w:cs="宋体"/>
          <w:b/>
          <w:bCs/>
          <w:color w:val="000000" w:themeColor="text1"/>
          <w:highlight w:val="none"/>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采购代理机构或采购人查询结果为准，如相关失信记录已失效，供应商需提供相关证明资料）。</w:t>
      </w:r>
    </w:p>
    <w:p w14:paraId="3B42BA53">
      <w:pPr>
        <w:keepNext w:val="0"/>
        <w:keepLines w:val="0"/>
        <w:pageBreakBefore w:val="0"/>
        <w:widowControl/>
        <w:numPr>
          <w:ilvl w:val="0"/>
          <w:numId w:val="22"/>
        </w:numPr>
        <w:tabs>
          <w:tab w:val="left" w:pos="502"/>
        </w:tabs>
        <w:kinsoku/>
        <w:wordWrap/>
        <w:overflowPunct/>
        <w:topLinePunct w:val="0"/>
        <w:bidi w:val="0"/>
        <w:adjustRightInd w:val="0"/>
        <w:snapToGrid w:val="0"/>
        <w:spacing w:line="420" w:lineRule="exact"/>
        <w:textAlignment w:val="auto"/>
        <w:rPr>
          <w:rFonts w:hint="eastAsia" w:ascii="宋体" w:hAnsi="宋体" w:eastAsia="宋体" w:cs="宋体"/>
          <w:b/>
          <w:bCs/>
          <w:color w:val="000000" w:themeColor="text1"/>
          <w:szCs w:val="21"/>
          <w:highlight w:val="none"/>
        </w:rPr>
      </w:pPr>
      <w:r>
        <w:rPr>
          <w:rFonts w:hint="eastAsia" w:ascii="宋体" w:hAnsi="宋体" w:eastAsia="宋体" w:cs="宋体"/>
          <w:b/>
          <w:bCs/>
          <w:color w:val="000000" w:themeColor="text1"/>
          <w:szCs w:val="21"/>
          <w:highlight w:val="none"/>
        </w:rPr>
        <w:t>投标截止时间、开标时间及地点</w:t>
      </w:r>
    </w:p>
    <w:p w14:paraId="79076EE0">
      <w:pPr>
        <w:keepNext w:val="0"/>
        <w:keepLines w:val="0"/>
        <w:pageBreakBefore w:val="0"/>
        <w:widowControl/>
        <w:tabs>
          <w:tab w:val="left" w:pos="735"/>
        </w:tabs>
        <w:kinsoku/>
        <w:wordWrap/>
        <w:overflowPunct/>
        <w:topLinePunct w:val="0"/>
        <w:bidi w:val="0"/>
        <w:adjustRightInd w:val="0"/>
        <w:snapToGrid w:val="0"/>
        <w:spacing w:line="420" w:lineRule="exact"/>
        <w:ind w:firstLine="210" w:firstLineChars="1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1.递交投标文件时间：</w:t>
      </w:r>
      <w:r>
        <w:rPr>
          <w:rFonts w:hint="eastAsia" w:ascii="宋体" w:hAnsi="宋体" w:eastAsia="宋体" w:cs="宋体"/>
          <w:color w:val="000000" w:themeColor="text1"/>
          <w:kern w:val="2"/>
          <w:sz w:val="21"/>
          <w:szCs w:val="24"/>
          <w:highlight w:val="none"/>
          <w:lang w:val="en-US" w:eastAsia="zh-CN" w:bidi="ar-SA"/>
        </w:rPr>
        <w:t>202</w:t>
      </w:r>
      <w:r>
        <w:rPr>
          <w:rFonts w:hint="eastAsia" w:ascii="宋体" w:hAnsi="宋体" w:cs="宋体"/>
          <w:color w:val="000000" w:themeColor="text1"/>
          <w:kern w:val="2"/>
          <w:sz w:val="21"/>
          <w:szCs w:val="24"/>
          <w:highlight w:val="none"/>
          <w:lang w:val="en-US" w:eastAsia="zh-CN" w:bidi="ar-SA"/>
        </w:rPr>
        <w:t>5</w:t>
      </w:r>
      <w:r>
        <w:rPr>
          <w:rFonts w:hint="eastAsia" w:ascii="宋体" w:hAnsi="宋体" w:eastAsia="宋体" w:cs="宋体"/>
          <w:color w:val="000000" w:themeColor="text1"/>
          <w:kern w:val="2"/>
          <w:sz w:val="21"/>
          <w:szCs w:val="24"/>
          <w:highlight w:val="none"/>
          <w:lang w:val="en-US" w:eastAsia="zh-CN" w:bidi="ar-SA"/>
        </w:rPr>
        <w:t>年</w:t>
      </w:r>
      <w:r>
        <w:rPr>
          <w:rFonts w:hint="eastAsia" w:ascii="宋体" w:hAnsi="宋体" w:cs="宋体"/>
          <w:color w:val="000000" w:themeColor="text1"/>
          <w:kern w:val="2"/>
          <w:sz w:val="21"/>
          <w:szCs w:val="24"/>
          <w:highlight w:val="none"/>
          <w:lang w:val="en-US" w:eastAsia="zh-CN" w:bidi="ar-SA"/>
        </w:rPr>
        <w:t>8</w:t>
      </w:r>
      <w:r>
        <w:rPr>
          <w:rFonts w:hint="eastAsia" w:ascii="宋体" w:hAnsi="宋体" w:eastAsia="宋体" w:cs="宋体"/>
          <w:color w:val="000000" w:themeColor="text1"/>
          <w:kern w:val="2"/>
          <w:sz w:val="21"/>
          <w:szCs w:val="24"/>
          <w:highlight w:val="none"/>
          <w:lang w:val="en-US" w:eastAsia="zh-CN" w:bidi="ar-SA"/>
        </w:rPr>
        <w:t>月</w:t>
      </w:r>
      <w:r>
        <w:rPr>
          <w:rFonts w:hint="eastAsia" w:ascii="宋体" w:hAnsi="宋体" w:cs="宋体"/>
          <w:color w:val="000000" w:themeColor="text1"/>
          <w:kern w:val="2"/>
          <w:sz w:val="21"/>
          <w:szCs w:val="24"/>
          <w:highlight w:val="none"/>
          <w:lang w:val="en-US" w:eastAsia="zh-CN" w:bidi="ar-SA"/>
        </w:rPr>
        <w:t>25</w:t>
      </w:r>
      <w:r>
        <w:rPr>
          <w:rFonts w:hint="eastAsia" w:ascii="宋体" w:hAnsi="宋体" w:eastAsia="宋体" w:cs="宋体"/>
          <w:color w:val="000000" w:themeColor="text1"/>
          <w:kern w:val="2"/>
          <w:sz w:val="21"/>
          <w:szCs w:val="24"/>
          <w:highlight w:val="none"/>
          <w:lang w:val="en-US" w:eastAsia="zh-CN" w:bidi="ar-SA"/>
        </w:rPr>
        <w:t>日</w:t>
      </w:r>
      <w:r>
        <w:rPr>
          <w:rFonts w:hint="eastAsia" w:ascii="宋体" w:hAnsi="宋体" w:cs="宋体"/>
          <w:color w:val="000000" w:themeColor="text1"/>
          <w:highlight w:val="none"/>
          <w:lang w:val="en-US" w:eastAsia="zh-CN"/>
        </w:rPr>
        <w:t>9</w:t>
      </w:r>
      <w:r>
        <w:rPr>
          <w:rFonts w:hint="eastAsia" w:ascii="宋体" w:hAnsi="宋体" w:eastAsia="宋体" w:cs="宋体"/>
          <w:color w:val="000000" w:themeColor="text1"/>
          <w:highlight w:val="none"/>
        </w:rPr>
        <w:t>:</w:t>
      </w:r>
      <w:r>
        <w:rPr>
          <w:rFonts w:hint="eastAsia" w:ascii="宋体" w:hAnsi="宋体" w:cs="宋体"/>
          <w:color w:val="000000" w:themeColor="text1"/>
          <w:highlight w:val="none"/>
          <w:lang w:val="en-US" w:eastAsia="zh-CN"/>
        </w:rPr>
        <w:t>0</w:t>
      </w:r>
      <w:r>
        <w:rPr>
          <w:rFonts w:hint="eastAsia" w:ascii="宋体" w:hAnsi="宋体" w:eastAsia="宋体" w:cs="宋体"/>
          <w:color w:val="000000" w:themeColor="text1"/>
          <w:highlight w:val="none"/>
          <w:lang w:val="en-US" w:eastAsia="zh-CN"/>
        </w:rPr>
        <w:t>0</w:t>
      </w:r>
      <w:r>
        <w:rPr>
          <w:rFonts w:hint="eastAsia" w:ascii="宋体" w:hAnsi="宋体" w:eastAsia="宋体" w:cs="宋体"/>
          <w:color w:val="000000" w:themeColor="text1"/>
          <w:highlight w:val="none"/>
        </w:rPr>
        <w:t>-</w:t>
      </w:r>
      <w:r>
        <w:rPr>
          <w:rFonts w:hint="eastAsia" w:ascii="宋体" w:hAnsi="宋体" w:cs="宋体"/>
          <w:color w:val="000000" w:themeColor="text1"/>
          <w:highlight w:val="none"/>
          <w:lang w:val="en-US" w:eastAsia="zh-CN"/>
        </w:rPr>
        <w:t>9</w:t>
      </w:r>
      <w:r>
        <w:rPr>
          <w:rFonts w:hint="eastAsia" w:ascii="宋体" w:hAnsi="宋体" w:eastAsia="宋体" w:cs="宋体"/>
          <w:color w:val="000000" w:themeColor="text1"/>
          <w:highlight w:val="none"/>
        </w:rPr>
        <w:t>:</w:t>
      </w:r>
      <w:r>
        <w:rPr>
          <w:rFonts w:hint="eastAsia" w:ascii="宋体" w:hAnsi="宋体" w:cs="宋体"/>
          <w:color w:val="000000" w:themeColor="text1"/>
          <w:highlight w:val="none"/>
          <w:lang w:val="en-US" w:eastAsia="zh-CN"/>
        </w:rPr>
        <w:t>3</w:t>
      </w:r>
      <w:r>
        <w:rPr>
          <w:rFonts w:hint="eastAsia" w:ascii="宋体" w:hAnsi="宋体" w:eastAsia="宋体" w:cs="宋体"/>
          <w:color w:val="000000" w:themeColor="text1"/>
          <w:highlight w:val="none"/>
          <w:lang w:val="en-US" w:eastAsia="zh-CN"/>
        </w:rPr>
        <w:t>0</w:t>
      </w:r>
      <w:r>
        <w:rPr>
          <w:rFonts w:hint="eastAsia" w:ascii="宋体" w:hAnsi="宋体" w:eastAsia="宋体" w:cs="宋体"/>
          <w:color w:val="000000" w:themeColor="text1"/>
          <w:highlight w:val="none"/>
        </w:rPr>
        <w:t xml:space="preserve"> (北京时间)。</w:t>
      </w:r>
    </w:p>
    <w:p w14:paraId="061C7577">
      <w:pPr>
        <w:keepNext w:val="0"/>
        <w:keepLines w:val="0"/>
        <w:pageBreakBefore w:val="0"/>
        <w:widowControl/>
        <w:tabs>
          <w:tab w:val="left" w:pos="735"/>
        </w:tabs>
        <w:kinsoku/>
        <w:wordWrap/>
        <w:overflowPunct/>
        <w:topLinePunct w:val="0"/>
        <w:bidi w:val="0"/>
        <w:adjustRightInd w:val="0"/>
        <w:snapToGrid w:val="0"/>
        <w:spacing w:line="420" w:lineRule="exact"/>
        <w:ind w:firstLine="210" w:firstLineChars="100"/>
        <w:textAlignment w:val="auto"/>
        <w:rPr>
          <w:rFonts w:hint="eastAsia" w:ascii="宋体" w:hAnsi="宋体" w:eastAsia="宋体" w:cs="宋体"/>
          <w:bCs/>
          <w:color w:val="000000" w:themeColor="text1"/>
          <w:highlight w:val="none"/>
        </w:rPr>
      </w:pPr>
      <w:r>
        <w:rPr>
          <w:rFonts w:hint="eastAsia" w:ascii="宋体" w:hAnsi="宋体" w:eastAsia="宋体" w:cs="宋体"/>
          <w:color w:val="000000" w:themeColor="text1"/>
          <w:highlight w:val="none"/>
        </w:rPr>
        <w:t>2.投标截止时间、开标时间：</w:t>
      </w:r>
      <w:r>
        <w:rPr>
          <w:rFonts w:hint="eastAsia" w:ascii="宋体" w:hAnsi="宋体" w:eastAsia="宋体" w:cs="宋体"/>
          <w:color w:val="000000" w:themeColor="text1"/>
          <w:kern w:val="2"/>
          <w:sz w:val="21"/>
          <w:szCs w:val="24"/>
          <w:highlight w:val="none"/>
          <w:lang w:val="en-US" w:eastAsia="zh-CN" w:bidi="ar-SA"/>
        </w:rPr>
        <w:t>202</w:t>
      </w:r>
      <w:r>
        <w:rPr>
          <w:rFonts w:hint="eastAsia" w:ascii="宋体" w:hAnsi="宋体" w:cs="宋体"/>
          <w:color w:val="000000" w:themeColor="text1"/>
          <w:kern w:val="2"/>
          <w:sz w:val="21"/>
          <w:szCs w:val="24"/>
          <w:highlight w:val="none"/>
          <w:lang w:val="en-US" w:eastAsia="zh-CN" w:bidi="ar-SA"/>
        </w:rPr>
        <w:t>5</w:t>
      </w:r>
      <w:r>
        <w:rPr>
          <w:rFonts w:hint="eastAsia" w:ascii="宋体" w:hAnsi="宋体" w:eastAsia="宋体" w:cs="宋体"/>
          <w:color w:val="000000" w:themeColor="text1"/>
          <w:kern w:val="2"/>
          <w:sz w:val="21"/>
          <w:szCs w:val="24"/>
          <w:highlight w:val="none"/>
          <w:lang w:val="en-US" w:eastAsia="zh-CN" w:bidi="ar-SA"/>
        </w:rPr>
        <w:t>年</w:t>
      </w:r>
      <w:r>
        <w:rPr>
          <w:rFonts w:hint="eastAsia" w:ascii="宋体" w:hAnsi="宋体" w:cs="宋体"/>
          <w:color w:val="000000" w:themeColor="text1"/>
          <w:kern w:val="2"/>
          <w:sz w:val="21"/>
          <w:szCs w:val="24"/>
          <w:highlight w:val="none"/>
          <w:lang w:val="en-US" w:eastAsia="zh-CN" w:bidi="ar-SA"/>
        </w:rPr>
        <w:t>8</w:t>
      </w:r>
      <w:r>
        <w:rPr>
          <w:rFonts w:hint="eastAsia" w:ascii="宋体" w:hAnsi="宋体" w:eastAsia="宋体" w:cs="宋体"/>
          <w:color w:val="000000" w:themeColor="text1"/>
          <w:kern w:val="2"/>
          <w:sz w:val="21"/>
          <w:szCs w:val="24"/>
          <w:highlight w:val="none"/>
          <w:lang w:val="en-US" w:eastAsia="zh-CN" w:bidi="ar-SA"/>
        </w:rPr>
        <w:t>月</w:t>
      </w:r>
      <w:r>
        <w:rPr>
          <w:rFonts w:hint="eastAsia" w:ascii="宋体" w:hAnsi="宋体" w:cs="宋体"/>
          <w:color w:val="000000" w:themeColor="text1"/>
          <w:kern w:val="2"/>
          <w:sz w:val="21"/>
          <w:szCs w:val="24"/>
          <w:highlight w:val="none"/>
          <w:lang w:val="en-US" w:eastAsia="zh-CN" w:bidi="ar-SA"/>
        </w:rPr>
        <w:t>25</w:t>
      </w:r>
      <w:r>
        <w:rPr>
          <w:rFonts w:hint="eastAsia" w:ascii="宋体" w:hAnsi="宋体" w:eastAsia="宋体" w:cs="宋体"/>
          <w:color w:val="000000" w:themeColor="text1"/>
          <w:kern w:val="2"/>
          <w:sz w:val="21"/>
          <w:szCs w:val="24"/>
          <w:highlight w:val="none"/>
          <w:lang w:val="en-US" w:eastAsia="zh-CN" w:bidi="ar-SA"/>
        </w:rPr>
        <w:t>日</w:t>
      </w:r>
      <w:r>
        <w:rPr>
          <w:rFonts w:hint="eastAsia" w:ascii="宋体" w:hAnsi="宋体" w:cs="宋体"/>
          <w:color w:val="000000" w:themeColor="text1"/>
          <w:highlight w:val="none"/>
          <w:lang w:val="en-US" w:eastAsia="zh-CN"/>
        </w:rPr>
        <w:t>9</w:t>
      </w:r>
      <w:r>
        <w:rPr>
          <w:rFonts w:hint="eastAsia" w:ascii="宋体" w:hAnsi="宋体" w:eastAsia="宋体" w:cs="宋体"/>
          <w:color w:val="000000" w:themeColor="text1"/>
          <w:highlight w:val="none"/>
        </w:rPr>
        <w:t>:</w:t>
      </w:r>
      <w:r>
        <w:rPr>
          <w:rFonts w:hint="eastAsia" w:ascii="宋体" w:hAnsi="宋体" w:cs="宋体"/>
          <w:color w:val="000000" w:themeColor="text1"/>
          <w:highlight w:val="none"/>
          <w:lang w:val="en-US" w:eastAsia="zh-CN"/>
        </w:rPr>
        <w:t>3</w:t>
      </w:r>
      <w:r>
        <w:rPr>
          <w:rFonts w:hint="eastAsia" w:ascii="宋体" w:hAnsi="宋体" w:eastAsia="宋体" w:cs="宋体"/>
          <w:color w:val="000000" w:themeColor="text1"/>
          <w:highlight w:val="none"/>
          <w:lang w:val="en-US" w:eastAsia="zh-CN"/>
        </w:rPr>
        <w:t>0</w:t>
      </w:r>
      <w:r>
        <w:rPr>
          <w:rFonts w:hint="eastAsia" w:ascii="宋体" w:hAnsi="宋体" w:eastAsia="宋体" w:cs="宋体"/>
          <w:color w:val="000000" w:themeColor="text1"/>
          <w:highlight w:val="none"/>
        </w:rPr>
        <w:t>(北京时间)。</w:t>
      </w:r>
    </w:p>
    <w:p w14:paraId="13FB9526">
      <w:pPr>
        <w:keepNext w:val="0"/>
        <w:keepLines w:val="0"/>
        <w:pageBreakBefore w:val="0"/>
        <w:widowControl/>
        <w:tabs>
          <w:tab w:val="left" w:pos="735"/>
        </w:tabs>
        <w:kinsoku/>
        <w:wordWrap/>
        <w:overflowPunct/>
        <w:topLinePunct w:val="0"/>
        <w:bidi w:val="0"/>
        <w:adjustRightInd w:val="0"/>
        <w:snapToGrid w:val="0"/>
        <w:spacing w:line="420" w:lineRule="exact"/>
        <w:ind w:firstLine="210" w:firstLineChars="100"/>
        <w:textAlignment w:val="auto"/>
        <w:rPr>
          <w:rFonts w:hint="eastAsia" w:ascii="宋体" w:hAnsi="宋体" w:eastAsia="宋体" w:cs="宋体"/>
          <w:bCs/>
          <w:color w:val="000000" w:themeColor="text1"/>
          <w:highlight w:val="none"/>
        </w:rPr>
      </w:pPr>
      <w:r>
        <w:rPr>
          <w:rFonts w:hint="eastAsia" w:ascii="宋体" w:hAnsi="宋体" w:eastAsia="宋体" w:cs="宋体"/>
          <w:color w:val="000000" w:themeColor="text1"/>
          <w:highlight w:val="none"/>
        </w:rPr>
        <w:t>3.递交投标文件地点、开标地点：</w:t>
      </w:r>
      <w:bookmarkStart w:id="1964" w:name="_GoBack"/>
      <w:r>
        <w:rPr>
          <w:rFonts w:hint="eastAsia" w:ascii="宋体" w:hAnsi="宋体" w:eastAsia="宋体" w:cs="宋体"/>
          <w:color w:val="000000" w:themeColor="text1"/>
          <w:highlight w:val="none"/>
        </w:rPr>
        <w:t>阳江市江城区猫山四街33号A座2楼</w:t>
      </w:r>
      <w:r>
        <w:rPr>
          <w:rFonts w:hint="eastAsia" w:ascii="宋体" w:hAnsi="宋体" w:eastAsia="宋体" w:cs="宋体"/>
          <w:color w:val="000000" w:themeColor="text1"/>
          <w:highlight w:val="none"/>
          <w:lang w:val="en-US" w:eastAsia="zh-CN"/>
        </w:rPr>
        <w:t>201</w:t>
      </w:r>
      <w:r>
        <w:rPr>
          <w:rFonts w:hint="eastAsia" w:ascii="宋体" w:hAnsi="宋体" w:eastAsia="宋体" w:cs="宋体"/>
          <w:color w:val="000000" w:themeColor="text1"/>
          <w:highlight w:val="none"/>
        </w:rPr>
        <w:t>开标室</w:t>
      </w:r>
      <w:bookmarkEnd w:id="1964"/>
      <w:r>
        <w:rPr>
          <w:rFonts w:hint="eastAsia" w:ascii="宋体" w:hAnsi="宋体" w:eastAsia="宋体" w:cs="宋体"/>
          <w:color w:val="000000" w:themeColor="text1"/>
          <w:highlight w:val="none"/>
        </w:rPr>
        <w:t>。</w:t>
      </w:r>
    </w:p>
    <w:p w14:paraId="5D89AA22">
      <w:pPr>
        <w:keepNext w:val="0"/>
        <w:keepLines w:val="0"/>
        <w:pageBreakBefore w:val="0"/>
        <w:widowControl/>
        <w:tabs>
          <w:tab w:val="left" w:pos="735"/>
        </w:tabs>
        <w:kinsoku/>
        <w:wordWrap/>
        <w:overflowPunct/>
        <w:topLinePunct w:val="0"/>
        <w:bidi w:val="0"/>
        <w:adjustRightInd w:val="0"/>
        <w:snapToGrid w:val="0"/>
        <w:spacing w:line="420" w:lineRule="exact"/>
        <w:textAlignment w:val="auto"/>
        <w:rPr>
          <w:rFonts w:hint="eastAsia" w:ascii="宋体" w:hAnsi="宋体" w:eastAsia="宋体" w:cs="宋体"/>
          <w:b/>
          <w:bCs/>
          <w:color w:val="000000" w:themeColor="text1"/>
          <w:szCs w:val="21"/>
          <w:highlight w:val="none"/>
        </w:rPr>
      </w:pPr>
      <w:r>
        <w:rPr>
          <w:rFonts w:hint="eastAsia" w:ascii="宋体" w:hAnsi="宋体" w:eastAsia="宋体" w:cs="宋体"/>
          <w:b/>
          <w:bCs/>
          <w:color w:val="000000" w:themeColor="text1"/>
          <w:szCs w:val="21"/>
          <w:highlight w:val="none"/>
        </w:rPr>
        <w:t>六、采购人、代理采购机构的名称、地址和联系方式</w:t>
      </w:r>
    </w:p>
    <w:p w14:paraId="2E1FA0F0">
      <w:pPr>
        <w:keepNext w:val="0"/>
        <w:keepLines w:val="0"/>
        <w:pageBreakBefore w:val="0"/>
        <w:widowControl/>
        <w:tabs>
          <w:tab w:val="left" w:pos="630"/>
        </w:tabs>
        <w:kinsoku/>
        <w:wordWrap/>
        <w:overflowPunct/>
        <w:topLinePunct w:val="0"/>
        <w:bidi w:val="0"/>
        <w:adjustRightInd w:val="0"/>
        <w:snapToGrid w:val="0"/>
        <w:spacing w:line="420" w:lineRule="exact"/>
        <w:ind w:firstLine="315" w:firstLineChars="150"/>
        <w:textAlignment w:val="auto"/>
        <w:rPr>
          <w:rFonts w:hint="eastAsia" w:ascii="宋体" w:hAnsi="宋体" w:eastAsia="宋体" w:cs="宋体"/>
          <w:bCs/>
          <w:color w:val="000000" w:themeColor="text1"/>
          <w:highlight w:val="none"/>
        </w:rPr>
      </w:pPr>
      <w:r>
        <w:rPr>
          <w:rFonts w:hint="eastAsia" w:ascii="宋体" w:hAnsi="宋体" w:eastAsia="宋体" w:cs="宋体"/>
          <w:color w:val="000000" w:themeColor="text1"/>
          <w:highlight w:val="none"/>
        </w:rPr>
        <w:t>1．采购人联系方式：</w:t>
      </w:r>
    </w:p>
    <w:p w14:paraId="242B7C77">
      <w:pPr>
        <w:keepNext w:val="0"/>
        <w:keepLines w:val="0"/>
        <w:pageBreakBefore w:val="0"/>
        <w:tabs>
          <w:tab w:val="left" w:pos="735"/>
          <w:tab w:val="left" w:pos="4680"/>
        </w:tabs>
        <w:kinsoku/>
        <w:wordWrap/>
        <w:overflowPunct/>
        <w:topLinePunct w:val="0"/>
        <w:bidi w:val="0"/>
        <w:adjustRightInd w:val="0"/>
        <w:snapToGrid w:val="0"/>
        <w:spacing w:line="420" w:lineRule="exact"/>
        <w:ind w:firstLine="630" w:firstLineChars="300"/>
        <w:textAlignment w:val="auto"/>
        <w:rPr>
          <w:rFonts w:hint="eastAsia" w:ascii="宋体" w:hAnsi="宋体" w:eastAsia="宋体" w:cs="宋体"/>
          <w:color w:val="000000" w:themeColor="text1"/>
          <w:kern w:val="28"/>
          <w:szCs w:val="21"/>
          <w:highlight w:val="none"/>
          <w:lang w:eastAsia="zh-CN"/>
        </w:rPr>
      </w:pPr>
      <w:r>
        <w:rPr>
          <w:rFonts w:hint="eastAsia" w:ascii="宋体" w:hAnsi="宋体" w:eastAsia="宋体" w:cs="宋体"/>
          <w:color w:val="000000" w:themeColor="text1"/>
          <w:kern w:val="28"/>
          <w:szCs w:val="21"/>
          <w:highlight w:val="none"/>
        </w:rPr>
        <w:t>名    称：</w:t>
      </w:r>
      <w:r>
        <w:rPr>
          <w:rFonts w:hint="eastAsia" w:ascii="宋体" w:hAnsi="宋体" w:cs="宋体"/>
          <w:color w:val="000000" w:themeColor="text1"/>
          <w:kern w:val="28"/>
          <w:szCs w:val="21"/>
          <w:highlight w:val="none"/>
          <w:lang w:eastAsia="zh-CN"/>
        </w:rPr>
        <w:t>阳江市江城第一中学</w:t>
      </w:r>
    </w:p>
    <w:p w14:paraId="1D483F6F">
      <w:pPr>
        <w:keepNext w:val="0"/>
        <w:keepLines w:val="0"/>
        <w:pageBreakBefore w:val="0"/>
        <w:tabs>
          <w:tab w:val="left" w:pos="735"/>
          <w:tab w:val="left" w:pos="4680"/>
        </w:tabs>
        <w:kinsoku/>
        <w:wordWrap/>
        <w:overflowPunct/>
        <w:topLinePunct w:val="0"/>
        <w:bidi w:val="0"/>
        <w:adjustRightInd w:val="0"/>
        <w:snapToGrid w:val="0"/>
        <w:spacing w:line="420" w:lineRule="exact"/>
        <w:ind w:firstLine="630" w:firstLineChars="300"/>
        <w:textAlignment w:val="auto"/>
        <w:rPr>
          <w:rFonts w:hint="eastAsia" w:ascii="宋体" w:hAnsi="宋体" w:eastAsia="宋体" w:cs="宋体"/>
          <w:color w:val="000000" w:themeColor="text1"/>
          <w:kern w:val="28"/>
          <w:szCs w:val="21"/>
          <w:highlight w:val="none"/>
          <w:lang w:val="en-US" w:eastAsia="zh-CN"/>
        </w:rPr>
      </w:pPr>
      <w:r>
        <w:rPr>
          <w:rFonts w:hint="eastAsia" w:ascii="宋体" w:hAnsi="宋体" w:eastAsia="宋体" w:cs="宋体"/>
          <w:color w:val="000000" w:themeColor="text1"/>
          <w:kern w:val="28"/>
          <w:szCs w:val="21"/>
          <w:highlight w:val="none"/>
        </w:rPr>
        <w:t>地    址：</w:t>
      </w:r>
      <w:r>
        <w:rPr>
          <w:rFonts w:hint="eastAsia" w:ascii="宋体" w:hAnsi="宋体" w:eastAsia="宋体" w:cs="宋体"/>
          <w:color w:val="000000" w:themeColor="text1"/>
          <w:highlight w:val="none"/>
          <w:lang w:val="en-US" w:eastAsia="zh-CN"/>
        </w:rPr>
        <w:t>阳江市江城区白沙街道228国道六村段35号</w:t>
      </w:r>
    </w:p>
    <w:p w14:paraId="66C0AFC0">
      <w:pPr>
        <w:keepNext w:val="0"/>
        <w:keepLines w:val="0"/>
        <w:pageBreakBefore w:val="0"/>
        <w:tabs>
          <w:tab w:val="left" w:pos="735"/>
          <w:tab w:val="left" w:pos="4680"/>
        </w:tabs>
        <w:kinsoku/>
        <w:wordWrap/>
        <w:overflowPunct/>
        <w:topLinePunct w:val="0"/>
        <w:bidi w:val="0"/>
        <w:adjustRightInd w:val="0"/>
        <w:snapToGrid w:val="0"/>
        <w:spacing w:line="420" w:lineRule="exact"/>
        <w:ind w:firstLine="630" w:firstLineChars="300"/>
        <w:textAlignment w:val="auto"/>
        <w:rPr>
          <w:rFonts w:hint="eastAsia" w:ascii="宋体" w:hAnsi="宋体" w:eastAsia="宋体" w:cs="宋体"/>
          <w:color w:val="000000" w:themeColor="text1"/>
          <w:kern w:val="28"/>
          <w:szCs w:val="21"/>
          <w:highlight w:val="none"/>
        </w:rPr>
      </w:pPr>
      <w:r>
        <w:rPr>
          <w:rFonts w:hint="eastAsia" w:ascii="宋体" w:hAnsi="宋体" w:eastAsia="宋体" w:cs="宋体"/>
          <w:color w:val="000000" w:themeColor="text1"/>
          <w:kern w:val="28"/>
          <w:szCs w:val="21"/>
          <w:highlight w:val="none"/>
        </w:rPr>
        <w:t>联 系 人：黄老师</w:t>
      </w:r>
    </w:p>
    <w:p w14:paraId="2A0D03E2">
      <w:pPr>
        <w:keepNext w:val="0"/>
        <w:keepLines w:val="0"/>
        <w:pageBreakBefore w:val="0"/>
        <w:tabs>
          <w:tab w:val="left" w:pos="735"/>
          <w:tab w:val="left" w:pos="4680"/>
        </w:tabs>
        <w:kinsoku/>
        <w:wordWrap/>
        <w:overflowPunct/>
        <w:topLinePunct w:val="0"/>
        <w:bidi w:val="0"/>
        <w:adjustRightInd w:val="0"/>
        <w:snapToGrid w:val="0"/>
        <w:spacing w:line="420" w:lineRule="exact"/>
        <w:ind w:firstLine="630" w:firstLineChars="300"/>
        <w:textAlignment w:val="auto"/>
        <w:rPr>
          <w:rFonts w:hint="default" w:ascii="宋体" w:hAnsi="宋体" w:eastAsia="宋体" w:cs="宋体"/>
          <w:color w:val="000000" w:themeColor="text1"/>
          <w:kern w:val="28"/>
          <w:szCs w:val="21"/>
          <w:highlight w:val="none"/>
          <w:lang w:val="en-US" w:eastAsia="zh-CN"/>
        </w:rPr>
      </w:pPr>
      <w:r>
        <w:rPr>
          <w:rFonts w:hint="eastAsia" w:ascii="宋体" w:hAnsi="宋体" w:eastAsia="宋体" w:cs="宋体"/>
          <w:color w:val="000000" w:themeColor="text1"/>
          <w:kern w:val="28"/>
          <w:szCs w:val="21"/>
          <w:highlight w:val="none"/>
        </w:rPr>
        <w:t>联系电话：0662</w:t>
      </w:r>
      <w:r>
        <w:rPr>
          <w:rFonts w:hint="eastAsia" w:ascii="宋体" w:hAnsi="宋体" w:cs="宋体"/>
          <w:color w:val="000000" w:themeColor="text1"/>
          <w:kern w:val="28"/>
          <w:szCs w:val="21"/>
          <w:highlight w:val="none"/>
          <w:lang w:val="en-US" w:eastAsia="zh-CN"/>
        </w:rPr>
        <w:t>-</w:t>
      </w:r>
      <w:r>
        <w:rPr>
          <w:rFonts w:hint="eastAsia" w:ascii="宋体" w:hAnsi="宋体" w:eastAsia="宋体" w:cs="宋体"/>
          <w:color w:val="000000" w:themeColor="text1"/>
          <w:kern w:val="28"/>
          <w:szCs w:val="21"/>
          <w:highlight w:val="none"/>
        </w:rPr>
        <w:t>2200201</w:t>
      </w:r>
    </w:p>
    <w:p w14:paraId="10AB9D39">
      <w:pPr>
        <w:keepNext w:val="0"/>
        <w:keepLines w:val="0"/>
        <w:pageBreakBefore w:val="0"/>
        <w:tabs>
          <w:tab w:val="left" w:pos="735"/>
          <w:tab w:val="left" w:pos="4680"/>
        </w:tabs>
        <w:kinsoku/>
        <w:wordWrap/>
        <w:overflowPunct/>
        <w:topLinePunct w:val="0"/>
        <w:bidi w:val="0"/>
        <w:adjustRightInd w:val="0"/>
        <w:snapToGrid w:val="0"/>
        <w:spacing w:line="420" w:lineRule="exact"/>
        <w:ind w:firstLine="315" w:firstLineChars="150"/>
        <w:textAlignment w:val="auto"/>
        <w:rPr>
          <w:rFonts w:hint="eastAsia" w:ascii="宋体" w:hAnsi="宋体" w:eastAsia="宋体" w:cs="宋体"/>
          <w:color w:val="000000" w:themeColor="text1"/>
          <w:kern w:val="28"/>
          <w:szCs w:val="21"/>
          <w:highlight w:val="none"/>
        </w:rPr>
      </w:pPr>
      <w:r>
        <w:rPr>
          <w:rFonts w:hint="eastAsia" w:ascii="宋体" w:hAnsi="宋体" w:eastAsia="宋体" w:cs="宋体"/>
          <w:color w:val="000000" w:themeColor="text1"/>
          <w:kern w:val="28"/>
          <w:szCs w:val="21"/>
          <w:highlight w:val="none"/>
        </w:rPr>
        <w:t>2．</w:t>
      </w:r>
      <w:r>
        <w:rPr>
          <w:rFonts w:hint="eastAsia" w:ascii="宋体" w:hAnsi="宋体" w:eastAsia="宋体" w:cs="宋体"/>
          <w:color w:val="000000" w:themeColor="text1"/>
          <w:highlight w:val="none"/>
        </w:rPr>
        <w:t>代理采购机构联系方式：</w:t>
      </w:r>
    </w:p>
    <w:p w14:paraId="06AF3C7C">
      <w:pPr>
        <w:keepNext w:val="0"/>
        <w:keepLines w:val="0"/>
        <w:pageBreakBefore w:val="0"/>
        <w:widowControl/>
        <w:tabs>
          <w:tab w:val="left" w:pos="735"/>
        </w:tabs>
        <w:kinsoku/>
        <w:wordWrap/>
        <w:overflowPunct/>
        <w:topLinePunct w:val="0"/>
        <w:bidi w:val="0"/>
        <w:adjustRightInd w:val="0"/>
        <w:snapToGrid w:val="0"/>
        <w:spacing w:line="420" w:lineRule="exact"/>
        <w:ind w:firstLine="630" w:firstLineChars="3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名    称：广东业信采购招标有限公司</w:t>
      </w:r>
    </w:p>
    <w:p w14:paraId="729B4257">
      <w:pPr>
        <w:keepNext w:val="0"/>
        <w:keepLines w:val="0"/>
        <w:pageBreakBefore w:val="0"/>
        <w:widowControl/>
        <w:tabs>
          <w:tab w:val="left" w:pos="735"/>
        </w:tabs>
        <w:kinsoku/>
        <w:wordWrap/>
        <w:overflowPunct/>
        <w:topLinePunct w:val="0"/>
        <w:bidi w:val="0"/>
        <w:adjustRightInd w:val="0"/>
        <w:snapToGrid w:val="0"/>
        <w:spacing w:line="420" w:lineRule="exact"/>
        <w:ind w:firstLine="630" w:firstLineChars="3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地    址：阳江市江城区猫山四街33号A座2楼</w:t>
      </w:r>
    </w:p>
    <w:p w14:paraId="6462AF30">
      <w:pPr>
        <w:keepNext w:val="0"/>
        <w:keepLines w:val="0"/>
        <w:pageBreakBefore w:val="0"/>
        <w:widowControl/>
        <w:tabs>
          <w:tab w:val="left" w:pos="735"/>
        </w:tabs>
        <w:kinsoku/>
        <w:wordWrap/>
        <w:overflowPunct/>
        <w:topLinePunct w:val="0"/>
        <w:bidi w:val="0"/>
        <w:adjustRightInd w:val="0"/>
        <w:snapToGrid w:val="0"/>
        <w:spacing w:line="420" w:lineRule="exact"/>
        <w:ind w:firstLine="630" w:firstLineChars="300"/>
        <w:textAlignment w:val="auto"/>
        <w:rPr>
          <w:rFonts w:hint="default"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rPr>
        <w:t>联 系 人：冯</w:t>
      </w:r>
      <w:r>
        <w:rPr>
          <w:rFonts w:hint="eastAsia" w:ascii="宋体" w:hAnsi="宋体" w:cs="宋体"/>
          <w:color w:val="000000" w:themeColor="text1"/>
          <w:highlight w:val="none"/>
          <w:lang w:val="en-US" w:eastAsia="zh-CN"/>
        </w:rPr>
        <w:t>先生</w:t>
      </w:r>
    </w:p>
    <w:p w14:paraId="024CDBBD">
      <w:pPr>
        <w:keepNext w:val="0"/>
        <w:keepLines w:val="0"/>
        <w:pageBreakBefore w:val="0"/>
        <w:widowControl/>
        <w:tabs>
          <w:tab w:val="left" w:pos="735"/>
        </w:tabs>
        <w:kinsoku/>
        <w:wordWrap/>
        <w:overflowPunct/>
        <w:topLinePunct w:val="0"/>
        <w:bidi w:val="0"/>
        <w:adjustRightInd w:val="0"/>
        <w:snapToGrid w:val="0"/>
        <w:spacing w:line="420" w:lineRule="exact"/>
        <w:ind w:firstLine="630" w:firstLineChars="3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联系电话：0662-3167266</w:t>
      </w:r>
    </w:p>
    <w:p w14:paraId="28FF5DEC">
      <w:pPr>
        <w:keepNext w:val="0"/>
        <w:keepLines w:val="0"/>
        <w:pageBreakBefore w:val="0"/>
        <w:widowControl/>
        <w:tabs>
          <w:tab w:val="left" w:pos="735"/>
        </w:tabs>
        <w:kinsoku/>
        <w:wordWrap/>
        <w:overflowPunct/>
        <w:topLinePunct w:val="0"/>
        <w:bidi w:val="0"/>
        <w:adjustRightInd w:val="0"/>
        <w:snapToGrid w:val="0"/>
        <w:spacing w:line="420" w:lineRule="exact"/>
        <w:ind w:firstLine="630" w:firstLineChars="3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传    真：0662-2669666</w:t>
      </w:r>
    </w:p>
    <w:p w14:paraId="3C522587">
      <w:pPr>
        <w:keepNext w:val="0"/>
        <w:keepLines w:val="0"/>
        <w:pageBreakBefore w:val="0"/>
        <w:tabs>
          <w:tab w:val="left" w:pos="4680"/>
        </w:tabs>
        <w:kinsoku/>
        <w:wordWrap/>
        <w:overflowPunct/>
        <w:topLinePunct w:val="0"/>
        <w:autoSpaceDE/>
        <w:autoSpaceDN/>
        <w:bidi w:val="0"/>
        <w:adjustRightInd w:val="0"/>
        <w:snapToGrid w:val="0"/>
        <w:spacing w:line="420" w:lineRule="exact"/>
        <w:ind w:firstLine="630" w:firstLineChars="300"/>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highlight w:val="none"/>
        </w:rPr>
        <w:t>网    址：</w:t>
      </w:r>
      <w:r>
        <w:rPr>
          <w:rFonts w:hint="eastAsia" w:ascii="宋体" w:hAnsi="宋体" w:eastAsia="宋体" w:cs="宋体"/>
          <w:color w:val="000000" w:themeColor="text1"/>
          <w:szCs w:val="21"/>
          <w:highlight w:val="none"/>
          <w:u w:val="none"/>
        </w:rPr>
        <w:t>http://www.gdgpo.</w:t>
      </w:r>
      <w:r>
        <w:rPr>
          <w:rFonts w:hint="eastAsia" w:ascii="宋体" w:hAnsi="宋体" w:eastAsia="宋体" w:cs="宋体"/>
          <w:color w:val="000000" w:themeColor="text1"/>
          <w:szCs w:val="21"/>
          <w:highlight w:val="none"/>
          <w:u w:val="none"/>
          <w:lang w:val="en-US" w:eastAsia="zh-CN"/>
        </w:rPr>
        <w:t>com.</w:t>
      </w:r>
      <w:r>
        <w:rPr>
          <w:rFonts w:hint="eastAsia" w:ascii="宋体" w:hAnsi="宋体" w:eastAsia="宋体" w:cs="宋体"/>
          <w:color w:val="000000" w:themeColor="text1"/>
          <w:szCs w:val="21"/>
          <w:highlight w:val="none"/>
          <w:u w:val="none"/>
        </w:rPr>
        <w:t>cn</w:t>
      </w:r>
    </w:p>
    <w:p w14:paraId="4AF0737D">
      <w:pPr>
        <w:keepNext w:val="0"/>
        <w:keepLines w:val="0"/>
        <w:pageBreakBefore w:val="0"/>
        <w:tabs>
          <w:tab w:val="left" w:pos="4680"/>
        </w:tabs>
        <w:kinsoku/>
        <w:wordWrap/>
        <w:overflowPunct/>
        <w:topLinePunct w:val="0"/>
        <w:bidi w:val="0"/>
        <w:adjustRightInd w:val="0"/>
        <w:snapToGrid w:val="0"/>
        <w:spacing w:line="420" w:lineRule="exact"/>
        <w:ind w:firstLine="1680" w:firstLineChars="800"/>
        <w:textAlignment w:val="auto"/>
        <w:rPr>
          <w:rFonts w:hint="eastAsia" w:ascii="宋体" w:hAnsi="宋体" w:eastAsia="宋体" w:cs="宋体"/>
          <w:b/>
          <w:color w:val="000000" w:themeColor="text1"/>
          <w:spacing w:val="20"/>
          <w:szCs w:val="21"/>
          <w:highlight w:val="none"/>
        </w:rPr>
      </w:pPr>
      <w:r>
        <w:rPr>
          <w:rFonts w:hint="eastAsia" w:ascii="宋体" w:hAnsi="宋体" w:eastAsia="宋体" w:cs="宋体"/>
          <w:bCs/>
          <w:color w:val="000000" w:themeColor="text1"/>
          <w:highlight w:val="none"/>
        </w:rPr>
        <w:t>http://www.yjcg.cc</w:t>
      </w:r>
    </w:p>
    <w:p w14:paraId="211435FF">
      <w:pPr>
        <w:keepNext w:val="0"/>
        <w:keepLines w:val="0"/>
        <w:pageBreakBefore w:val="0"/>
        <w:widowControl/>
        <w:tabs>
          <w:tab w:val="left" w:pos="4769"/>
        </w:tabs>
        <w:kinsoku/>
        <w:wordWrap/>
        <w:overflowPunct/>
        <w:topLinePunct w:val="0"/>
        <w:bidi w:val="0"/>
        <w:adjustRightInd w:val="0"/>
        <w:snapToGrid w:val="0"/>
        <w:spacing w:line="420" w:lineRule="exact"/>
        <w:ind w:left="105" w:leftChars="50" w:firstLine="420" w:firstLineChars="200"/>
        <w:jc w:val="right"/>
        <w:textAlignment w:val="auto"/>
        <w:rPr>
          <w:rFonts w:hint="eastAsia" w:ascii="宋体" w:hAnsi="宋体" w:eastAsia="宋体" w:cs="宋体"/>
          <w:bCs/>
          <w:color w:val="000000" w:themeColor="text1"/>
          <w:highlight w:val="none"/>
        </w:rPr>
      </w:pPr>
    </w:p>
    <w:p w14:paraId="0F53DAF8">
      <w:pPr>
        <w:keepNext w:val="0"/>
        <w:keepLines w:val="0"/>
        <w:pageBreakBefore w:val="0"/>
        <w:widowControl/>
        <w:tabs>
          <w:tab w:val="left" w:pos="4769"/>
        </w:tabs>
        <w:kinsoku/>
        <w:wordWrap/>
        <w:overflowPunct/>
        <w:topLinePunct w:val="0"/>
        <w:bidi w:val="0"/>
        <w:adjustRightInd w:val="0"/>
        <w:snapToGrid w:val="0"/>
        <w:spacing w:line="420" w:lineRule="exact"/>
        <w:ind w:left="105" w:leftChars="50" w:firstLine="420" w:firstLineChars="200"/>
        <w:jc w:val="right"/>
        <w:textAlignment w:val="auto"/>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广东业信采购招标有限公司</w:t>
      </w:r>
    </w:p>
    <w:p w14:paraId="615913BC">
      <w:pPr>
        <w:jc w:val="right"/>
        <w:rPr>
          <w:rFonts w:hint="eastAsia"/>
          <w:color w:val="000000" w:themeColor="text1"/>
          <w:highlight w:val="none"/>
        </w:rPr>
      </w:pPr>
      <w:bookmarkStart w:id="37" w:name="_Toc340672831"/>
      <w:bookmarkStart w:id="38" w:name="_Toc342060323"/>
      <w:bookmarkStart w:id="39" w:name="_Toc349127584"/>
      <w:bookmarkStart w:id="40" w:name="_Toc339362258"/>
      <w:bookmarkStart w:id="41" w:name="_Toc350756404"/>
      <w:bookmarkStart w:id="42" w:name="_Toc333935620"/>
      <w:bookmarkStart w:id="43" w:name="_Toc339019829"/>
      <w:bookmarkStart w:id="44" w:name="_Toc366072458"/>
      <w:bookmarkStart w:id="45" w:name="_Toc350438703"/>
      <w:bookmarkStart w:id="46" w:name="_Toc340677032"/>
      <w:bookmarkStart w:id="47" w:name="_Toc339019955"/>
      <w:bookmarkStart w:id="48" w:name="_Toc331512857"/>
      <w:bookmarkStart w:id="49" w:name="_Toc339020187"/>
      <w:bookmarkStart w:id="50" w:name="_Toc337632316"/>
      <w:bookmarkStart w:id="51" w:name="_Toc332206658"/>
      <w:bookmarkStart w:id="52" w:name="_Toc342296709"/>
      <w:bookmarkStart w:id="53" w:name="_Toc339020049"/>
      <w:bookmarkStart w:id="54" w:name="_Toc339441045"/>
      <w:bookmarkStart w:id="55" w:name="_Toc333238572"/>
      <w:bookmarkStart w:id="56" w:name="_Toc331683995"/>
      <w:bookmarkStart w:id="57" w:name="_Toc330459946"/>
      <w:bookmarkStart w:id="58" w:name="_Toc336681538"/>
      <w:bookmarkStart w:id="59" w:name="_Toc341348292"/>
      <w:bookmarkStart w:id="60" w:name="_Toc345513763"/>
      <w:bookmarkStart w:id="61" w:name="_Toc336681893"/>
      <w:bookmarkStart w:id="62" w:name="_Toc333935279"/>
      <w:bookmarkStart w:id="63" w:name="_Toc365985109"/>
      <w:bookmarkStart w:id="64" w:name="_Toc333237613"/>
      <w:bookmarkStart w:id="65" w:name="_Toc332270306"/>
      <w:bookmarkStart w:id="66" w:name="_Toc365967003"/>
      <w:bookmarkStart w:id="67" w:name="_Toc340507404"/>
      <w:bookmarkStart w:id="68" w:name="_Toc333237724"/>
      <w:bookmarkStart w:id="69" w:name="_Toc349143547"/>
      <w:r>
        <w:rPr>
          <w:rFonts w:hint="eastAsia" w:ascii="宋体" w:hAnsi="宋体" w:eastAsia="宋体" w:cs="宋体"/>
          <w:color w:val="000000" w:themeColor="text1"/>
          <w:kern w:val="2"/>
          <w:sz w:val="21"/>
          <w:szCs w:val="24"/>
          <w:highlight w:val="none"/>
          <w:lang w:val="en-US" w:eastAsia="zh-CN" w:bidi="ar-SA"/>
        </w:rPr>
        <w:t>202</w:t>
      </w:r>
      <w:r>
        <w:rPr>
          <w:rFonts w:hint="eastAsia" w:ascii="宋体" w:hAnsi="宋体" w:cs="宋体"/>
          <w:color w:val="000000" w:themeColor="text1"/>
          <w:kern w:val="2"/>
          <w:sz w:val="21"/>
          <w:szCs w:val="24"/>
          <w:highlight w:val="none"/>
          <w:lang w:val="en-US" w:eastAsia="zh-CN" w:bidi="ar-SA"/>
        </w:rPr>
        <w:t>5</w:t>
      </w:r>
      <w:r>
        <w:rPr>
          <w:rFonts w:hint="eastAsia" w:ascii="宋体" w:hAnsi="宋体" w:eastAsia="宋体" w:cs="宋体"/>
          <w:color w:val="000000" w:themeColor="text1"/>
          <w:kern w:val="2"/>
          <w:sz w:val="21"/>
          <w:szCs w:val="24"/>
          <w:highlight w:val="none"/>
          <w:lang w:val="en-US" w:eastAsia="zh-CN" w:bidi="ar-SA"/>
        </w:rPr>
        <w:t>年</w:t>
      </w:r>
      <w:r>
        <w:rPr>
          <w:rFonts w:hint="eastAsia" w:ascii="宋体" w:hAnsi="宋体" w:cs="宋体"/>
          <w:color w:val="000000" w:themeColor="text1"/>
          <w:kern w:val="2"/>
          <w:sz w:val="21"/>
          <w:szCs w:val="24"/>
          <w:highlight w:val="none"/>
          <w:lang w:val="en-US" w:eastAsia="zh-CN" w:bidi="ar-SA"/>
        </w:rPr>
        <w:t>8</w:t>
      </w:r>
      <w:r>
        <w:rPr>
          <w:rFonts w:hint="eastAsia" w:ascii="宋体" w:hAnsi="宋体" w:eastAsia="宋体" w:cs="宋体"/>
          <w:color w:val="000000" w:themeColor="text1"/>
          <w:kern w:val="2"/>
          <w:sz w:val="21"/>
          <w:szCs w:val="24"/>
          <w:highlight w:val="none"/>
          <w:lang w:val="en-US" w:eastAsia="zh-CN" w:bidi="ar-SA"/>
        </w:rPr>
        <w:t>月</w:t>
      </w:r>
      <w:r>
        <w:rPr>
          <w:rFonts w:hint="eastAsia" w:ascii="宋体" w:hAnsi="宋体" w:cs="宋体"/>
          <w:color w:val="000000" w:themeColor="text1"/>
          <w:kern w:val="2"/>
          <w:sz w:val="21"/>
          <w:szCs w:val="24"/>
          <w:highlight w:val="none"/>
          <w:lang w:val="en-US" w:eastAsia="zh-CN" w:bidi="ar-SA"/>
        </w:rPr>
        <w:t>4</w:t>
      </w:r>
      <w:r>
        <w:rPr>
          <w:rFonts w:hint="eastAsia" w:ascii="宋体" w:hAnsi="宋体" w:eastAsia="宋体" w:cs="宋体"/>
          <w:color w:val="000000" w:themeColor="text1"/>
          <w:kern w:val="2"/>
          <w:sz w:val="21"/>
          <w:szCs w:val="24"/>
          <w:highlight w:val="none"/>
          <w:lang w:val="en-US" w:eastAsia="zh-CN" w:bidi="ar-SA"/>
        </w:rPr>
        <w:t>日</w:t>
      </w:r>
      <w:r>
        <w:rPr>
          <w:rFonts w:hint="eastAsia"/>
          <w:color w:val="000000" w:themeColor="text1"/>
          <w:highlight w:val="none"/>
        </w:rPr>
        <w:br w:type="page"/>
      </w:r>
    </w:p>
    <w:p w14:paraId="4FC1F2B1">
      <w:pPr>
        <w:pStyle w:val="2"/>
        <w:numPr>
          <w:ilvl w:val="0"/>
          <w:numId w:val="0"/>
        </w:numPr>
        <w:spacing w:beforeLines="0" w:afterLines="50" w:line="390" w:lineRule="exact"/>
        <w:ind w:left="105" w:leftChars="50" w:firstLine="480" w:firstLineChars="200"/>
        <w:rPr>
          <w:color w:val="000000" w:themeColor="text1"/>
          <w:highlight w:val="none"/>
        </w:rPr>
      </w:pPr>
      <w:bookmarkStart w:id="70" w:name="_Toc17182"/>
      <w:r>
        <w:rPr>
          <w:rFonts w:hint="eastAsia"/>
          <w:color w:val="000000" w:themeColor="text1"/>
          <w:highlight w:val="none"/>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75570886"/>
      <w:bookmarkStart w:id="73" w:name="_Toc333238573"/>
      <w:bookmarkStart w:id="74" w:name="_Toc333237614"/>
      <w:bookmarkStart w:id="75" w:name="_Toc333935280"/>
      <w:bookmarkStart w:id="76" w:name="_Toc333935621"/>
      <w:bookmarkStart w:id="77" w:name="_Toc333237725"/>
      <w:bookmarkStart w:id="78" w:name="_Toc330459949"/>
      <w:r>
        <w:rPr>
          <w:rFonts w:hint="eastAsia"/>
          <w:color w:val="000000" w:themeColor="text1"/>
          <w:highlight w:val="none"/>
        </w:rPr>
        <w:t>采购项目内容</w:t>
      </w:r>
      <w:bookmarkEnd w:id="70"/>
    </w:p>
    <w:bookmarkEnd w:id="72"/>
    <w:bookmarkEnd w:id="73"/>
    <w:bookmarkEnd w:id="74"/>
    <w:bookmarkEnd w:id="75"/>
    <w:bookmarkEnd w:id="76"/>
    <w:bookmarkEnd w:id="77"/>
    <w:bookmarkEnd w:id="78"/>
    <w:p w14:paraId="74243B35">
      <w:pPr>
        <w:pStyle w:val="3"/>
        <w:numPr>
          <w:ilvl w:val="0"/>
          <w:numId w:val="0"/>
        </w:numPr>
        <w:spacing w:beforeLines="150" w:after="0" w:line="360" w:lineRule="auto"/>
        <w:rPr>
          <w:rFonts w:hint="eastAsia"/>
          <w:color w:val="000000" w:themeColor="text1"/>
          <w:kern w:val="0"/>
          <w:sz w:val="24"/>
          <w:highlight w:val="none"/>
        </w:rPr>
      </w:pPr>
      <w:bookmarkStart w:id="79" w:name="_Toc15104"/>
      <w:bookmarkStart w:id="80" w:name="_Toc339441054"/>
      <w:bookmarkStart w:id="81" w:name="_Toc339362267"/>
      <w:bookmarkStart w:id="82" w:name="_Toc333237755"/>
      <w:bookmarkStart w:id="83" w:name="_Toc330459952"/>
      <w:bookmarkStart w:id="84" w:name="_Toc339020200"/>
      <w:bookmarkStart w:id="85" w:name="_Toc333935313"/>
      <w:bookmarkStart w:id="86" w:name="_Toc350756417"/>
      <w:bookmarkStart w:id="87" w:name="_Toc333237644"/>
      <w:bookmarkStart w:id="88" w:name="_Toc340677037"/>
      <w:bookmarkStart w:id="89" w:name="_Toc349127593"/>
      <w:bookmarkStart w:id="90" w:name="_Toc350438716"/>
      <w:bookmarkStart w:id="91" w:name="_Toc340507409"/>
      <w:bookmarkStart w:id="92" w:name="_Toc339020062"/>
      <w:bookmarkStart w:id="93" w:name="_Toc339019982"/>
      <w:bookmarkStart w:id="94" w:name="_Toc331512865"/>
      <w:bookmarkStart w:id="95" w:name="_Toc342060341"/>
      <w:bookmarkStart w:id="96" w:name="_Toc336681902"/>
      <w:bookmarkStart w:id="97" w:name="_Toc365967040"/>
      <w:bookmarkStart w:id="98" w:name="_Toc333935654"/>
      <w:bookmarkStart w:id="99" w:name="_Toc337632325"/>
      <w:bookmarkStart w:id="100" w:name="_Toc332270313"/>
      <w:bookmarkStart w:id="101" w:name="_Toc332206675"/>
      <w:bookmarkStart w:id="102" w:name="_Toc345513834"/>
      <w:bookmarkStart w:id="103" w:name="_Toc331684005"/>
      <w:bookmarkStart w:id="104" w:name="_Toc341348305"/>
      <w:bookmarkStart w:id="105" w:name="_Toc349143556"/>
      <w:bookmarkStart w:id="106" w:name="_Toc366072495"/>
      <w:bookmarkStart w:id="107" w:name="_Toc342296727"/>
      <w:bookmarkStart w:id="108" w:name="_Toc340672836"/>
      <w:bookmarkStart w:id="109" w:name="_Toc339019856"/>
      <w:bookmarkStart w:id="110" w:name="_Toc336681547"/>
      <w:bookmarkStart w:id="111" w:name="_Toc365985146"/>
      <w:bookmarkStart w:id="112" w:name="_Toc333238600"/>
      <w:r>
        <w:rPr>
          <w:color w:val="000000" w:themeColor="text1"/>
          <w:kern w:val="0"/>
          <w:sz w:val="24"/>
          <w:highlight w:val="none"/>
        </w:rPr>
        <w:t xml:space="preserve">A  </w:t>
      </w:r>
      <w:r>
        <w:rPr>
          <w:rFonts w:hint="eastAsia"/>
          <w:color w:val="000000" w:themeColor="text1"/>
          <w:kern w:val="0"/>
          <w:sz w:val="24"/>
          <w:highlight w:val="none"/>
        </w:rPr>
        <w:t>商务要求</w:t>
      </w:r>
      <w:bookmarkEnd w:id="79"/>
    </w:p>
    <w:tbl>
      <w:tblPr>
        <w:tblStyle w:val="46"/>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73"/>
        <w:gridCol w:w="1606"/>
        <w:gridCol w:w="4922"/>
      </w:tblGrid>
      <w:tr w14:paraId="733B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5DE5BD9E">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2373" w:type="dxa"/>
            <w:tcBorders>
              <w:top w:val="single" w:color="auto" w:sz="4" w:space="0"/>
              <w:left w:val="single" w:color="auto" w:sz="4" w:space="0"/>
              <w:bottom w:val="single" w:color="auto" w:sz="4" w:space="0"/>
              <w:right w:val="single" w:color="auto" w:sz="4" w:space="0"/>
            </w:tcBorders>
            <w:shd w:val="clear" w:color="auto" w:fill="F3F3F3"/>
            <w:vAlign w:val="center"/>
          </w:tcPr>
          <w:p w14:paraId="1E931F9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项目</w:t>
            </w:r>
          </w:p>
        </w:tc>
        <w:tc>
          <w:tcPr>
            <w:tcW w:w="6528"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0ADA640F">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主要内容</w:t>
            </w:r>
          </w:p>
        </w:tc>
      </w:tr>
      <w:tr w14:paraId="6CAE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088862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w:t>
            </w:r>
          </w:p>
        </w:tc>
        <w:tc>
          <w:tcPr>
            <w:tcW w:w="2373" w:type="dxa"/>
            <w:tcBorders>
              <w:top w:val="single" w:color="auto" w:sz="4" w:space="0"/>
              <w:left w:val="single" w:color="auto" w:sz="4" w:space="0"/>
              <w:bottom w:val="single" w:color="auto" w:sz="4" w:space="0"/>
              <w:right w:val="single" w:color="auto" w:sz="4" w:space="0"/>
            </w:tcBorders>
            <w:vAlign w:val="center"/>
          </w:tcPr>
          <w:p w14:paraId="51AEAE3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投标人投标资格要求</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2F6DE30A">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详见第一部份《投标邀请函》。</w:t>
            </w:r>
          </w:p>
        </w:tc>
      </w:tr>
      <w:tr w14:paraId="4A8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6B506A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w:t>
            </w:r>
          </w:p>
        </w:tc>
        <w:tc>
          <w:tcPr>
            <w:tcW w:w="2373" w:type="dxa"/>
            <w:tcBorders>
              <w:top w:val="single" w:color="auto" w:sz="4" w:space="0"/>
              <w:left w:val="single" w:color="auto" w:sz="4" w:space="0"/>
              <w:bottom w:val="single" w:color="auto" w:sz="4" w:space="0"/>
              <w:right w:val="single" w:color="auto" w:sz="4" w:space="0"/>
            </w:tcBorders>
            <w:vAlign w:val="center"/>
          </w:tcPr>
          <w:p w14:paraId="45BBD1B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服务期</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2B9834E4">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详见第一部份《投标邀请函》。</w:t>
            </w:r>
          </w:p>
        </w:tc>
      </w:tr>
      <w:tr w14:paraId="3DDB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48B59A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3</w:t>
            </w:r>
          </w:p>
        </w:tc>
        <w:tc>
          <w:tcPr>
            <w:tcW w:w="2373" w:type="dxa"/>
            <w:tcBorders>
              <w:top w:val="single" w:color="auto" w:sz="4" w:space="0"/>
              <w:left w:val="single" w:color="auto" w:sz="4" w:space="0"/>
              <w:bottom w:val="single" w:color="auto" w:sz="4" w:space="0"/>
              <w:right w:val="single" w:color="auto" w:sz="4" w:space="0"/>
            </w:tcBorders>
            <w:vAlign w:val="center"/>
          </w:tcPr>
          <w:p w14:paraId="35D7B9B7">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bCs w:val="0"/>
                <w:color w:val="000000" w:themeColor="text1"/>
                <w:sz w:val="21"/>
                <w:szCs w:val="21"/>
                <w:highlight w:val="none"/>
              </w:rPr>
              <w:t>投标报价包括</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557221F5">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运输费、搬运费、仓储费、检验检疫费、及相关税费等一切费用，采购人不再支付其他任何费用。</w:t>
            </w:r>
          </w:p>
        </w:tc>
      </w:tr>
      <w:tr w14:paraId="1513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144B3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4</w:t>
            </w:r>
          </w:p>
        </w:tc>
        <w:tc>
          <w:tcPr>
            <w:tcW w:w="2373" w:type="dxa"/>
            <w:tcBorders>
              <w:top w:val="single" w:color="auto" w:sz="4" w:space="0"/>
              <w:left w:val="single" w:color="auto" w:sz="4" w:space="0"/>
              <w:bottom w:val="single" w:color="auto" w:sz="4" w:space="0"/>
              <w:right w:val="single" w:color="auto" w:sz="4" w:space="0"/>
            </w:tcBorders>
            <w:vAlign w:val="center"/>
          </w:tcPr>
          <w:p w14:paraId="6141F4C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合同签订要求</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382D856B">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0"/>
                <w:sz w:val="21"/>
                <w:szCs w:val="21"/>
                <w:highlight w:val="none"/>
              </w:rPr>
              <w:t>采购合同由中标供应商</w:t>
            </w:r>
            <w:r>
              <w:rPr>
                <w:rFonts w:hint="eastAsia" w:ascii="宋体" w:hAnsi="宋体" w:cs="宋体"/>
                <w:color w:val="000000" w:themeColor="text1"/>
                <w:kern w:val="0"/>
                <w:sz w:val="21"/>
                <w:szCs w:val="21"/>
                <w:highlight w:val="none"/>
                <w:lang w:val="en-US" w:eastAsia="zh-CN"/>
              </w:rPr>
              <w:t>凭《中标通知书》</w:t>
            </w:r>
            <w:r>
              <w:rPr>
                <w:rFonts w:hint="eastAsia" w:ascii="宋体" w:hAnsi="宋体" w:eastAsia="宋体" w:cs="宋体"/>
                <w:color w:val="000000" w:themeColor="text1"/>
                <w:kern w:val="0"/>
                <w:sz w:val="21"/>
                <w:szCs w:val="21"/>
                <w:highlight w:val="none"/>
              </w:rPr>
              <w:t>与采购人双方签订，签订时间为《中标通知书》发出之日起</w:t>
            </w:r>
            <w:r>
              <w:rPr>
                <w:rFonts w:hint="eastAsia" w:ascii="宋体" w:hAnsi="宋体" w:cs="宋体"/>
                <w:color w:val="000000" w:themeColor="text1"/>
                <w:kern w:val="0"/>
                <w:sz w:val="21"/>
                <w:szCs w:val="21"/>
                <w:highlight w:val="none"/>
                <w:lang w:val="en-US" w:eastAsia="zh-CN"/>
              </w:rPr>
              <w:t>30</w:t>
            </w:r>
            <w:r>
              <w:rPr>
                <w:rFonts w:hint="eastAsia" w:ascii="宋体" w:hAnsi="宋体" w:eastAsia="宋体" w:cs="宋体"/>
                <w:color w:val="000000" w:themeColor="text1"/>
                <w:kern w:val="0"/>
                <w:sz w:val="21"/>
                <w:szCs w:val="21"/>
                <w:highlight w:val="none"/>
              </w:rPr>
              <w:t>个日历日内。</w:t>
            </w:r>
          </w:p>
        </w:tc>
      </w:tr>
      <w:tr w14:paraId="70AF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1E5D3F">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5</w:t>
            </w:r>
          </w:p>
        </w:tc>
        <w:tc>
          <w:tcPr>
            <w:tcW w:w="2373" w:type="dxa"/>
            <w:tcBorders>
              <w:top w:val="single" w:color="auto" w:sz="4" w:space="0"/>
              <w:left w:val="single" w:color="auto" w:sz="4" w:space="0"/>
              <w:bottom w:val="single" w:color="auto" w:sz="4" w:space="0"/>
              <w:right w:val="single" w:color="auto" w:sz="4" w:space="0"/>
            </w:tcBorders>
            <w:vAlign w:val="center"/>
          </w:tcPr>
          <w:p w14:paraId="4EB6EF5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lang w:val="en-US" w:eastAsia="zh-CN"/>
              </w:rPr>
              <w:t>服务</w:t>
            </w:r>
            <w:r>
              <w:rPr>
                <w:rFonts w:hint="eastAsia" w:ascii="宋体" w:hAnsi="宋体" w:eastAsia="宋体" w:cs="宋体"/>
                <w:b/>
                <w:color w:val="000000" w:themeColor="text1"/>
                <w:sz w:val="21"/>
                <w:szCs w:val="21"/>
                <w:highlight w:val="none"/>
              </w:rPr>
              <w:t>地点</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26F50B3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b w:val="0"/>
                <w:bCs/>
                <w:color w:val="000000" w:themeColor="text1"/>
                <w:highlight w:val="none"/>
                <w:lang w:val="en-US" w:eastAsia="zh-CN"/>
              </w:rPr>
              <w:t>采购人指定地点。</w:t>
            </w:r>
          </w:p>
        </w:tc>
      </w:tr>
      <w:tr w14:paraId="3653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23034F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6</w:t>
            </w:r>
          </w:p>
        </w:tc>
        <w:tc>
          <w:tcPr>
            <w:tcW w:w="2373" w:type="dxa"/>
            <w:tcBorders>
              <w:top w:val="single" w:color="auto" w:sz="4" w:space="0"/>
              <w:left w:val="single" w:color="auto" w:sz="4" w:space="0"/>
              <w:bottom w:val="single" w:color="auto" w:sz="4" w:space="0"/>
              <w:right w:val="single" w:color="auto" w:sz="4" w:space="0"/>
            </w:tcBorders>
            <w:vAlign w:val="center"/>
          </w:tcPr>
          <w:p w14:paraId="73A42D64">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任务分配</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3980853F">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1.两家中标供应商分别按单月、双月配送，按得分排名顺序开始首次配送任务。</w:t>
            </w:r>
          </w:p>
          <w:p w14:paraId="270EFA2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采购人每月对中标供应商配送工作考核一次，考核分值低于80分（不含80分）的为不合格，取消该中标供应商下一次的配送资格，该月的配送任务由另一名中标供应商按原项目要求执行，为临时供应商，报价按临时供应商投标时的报价折扣率结算。</w:t>
            </w:r>
          </w:p>
          <w:p w14:paraId="6B44142A">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3.临时供应商当月的配送任务结束后，按原配送任务分配继续执行。</w:t>
            </w:r>
          </w:p>
        </w:tc>
      </w:tr>
      <w:tr w14:paraId="54DF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0DC9A98">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7</w:t>
            </w:r>
          </w:p>
        </w:tc>
        <w:tc>
          <w:tcPr>
            <w:tcW w:w="2373" w:type="dxa"/>
            <w:tcBorders>
              <w:top w:val="single" w:color="auto" w:sz="4" w:space="0"/>
              <w:left w:val="single" w:color="auto" w:sz="4" w:space="0"/>
              <w:bottom w:val="single" w:color="auto" w:sz="4" w:space="0"/>
              <w:right w:val="single" w:color="auto" w:sz="4" w:space="0"/>
            </w:tcBorders>
            <w:vAlign w:val="center"/>
          </w:tcPr>
          <w:p w14:paraId="21851448">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bCs/>
                <w:color w:val="000000" w:themeColor="text1"/>
                <w:kern w:val="2"/>
                <w:sz w:val="21"/>
                <w:szCs w:val="21"/>
                <w:highlight w:val="none"/>
                <w:lang w:val="en-US" w:eastAsia="zh-CN" w:bidi="ar-SA"/>
              </w:rPr>
              <w:t>配送时间</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74FC3187">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每天上午6：30前配送到采购人指定地点。（具体配送时间以采购人实际需求为准）</w:t>
            </w:r>
          </w:p>
        </w:tc>
      </w:tr>
      <w:tr w14:paraId="2B59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right w:val="single" w:color="auto" w:sz="4" w:space="0"/>
            </w:tcBorders>
            <w:vAlign w:val="center"/>
          </w:tcPr>
          <w:p w14:paraId="0D026CD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8</w:t>
            </w:r>
          </w:p>
        </w:tc>
        <w:tc>
          <w:tcPr>
            <w:tcW w:w="2373" w:type="dxa"/>
            <w:tcBorders>
              <w:top w:val="single" w:color="auto" w:sz="4" w:space="0"/>
              <w:left w:val="single" w:color="auto" w:sz="4" w:space="0"/>
              <w:right w:val="single" w:color="auto" w:sz="4" w:space="0"/>
            </w:tcBorders>
            <w:vAlign w:val="center"/>
          </w:tcPr>
          <w:p w14:paraId="0379C176">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lang w:val="en-US" w:eastAsia="zh-CN"/>
              </w:rPr>
              <w:t>定价方式</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6F9D63F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能保持供货价格相对稳定，并以随行就市、保本微利为原则确定供货价格。每月由学校食堂食品市场价格调查小组成员核定（成员组成：学校成员、家委代表、中标供应商），在核定价格前，随机抽取三个市场进行物价调查，根据三个市场的调查报价，取调查报价的平均值作为核定价。（所有食品、食材的价格要造册存档，由食堂市场核价小组成员签名作为当月支付货款的资料）。</w:t>
            </w:r>
          </w:p>
          <w:p w14:paraId="0C20E099">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2.糕点供应商对各类糕点进行单独报价，学校食堂食品市场价格调查小组成员，根据市场的实际价格情况，每月对各类糕点进行核定价配送。</w:t>
            </w:r>
          </w:p>
        </w:tc>
      </w:tr>
      <w:tr w14:paraId="6CAC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right w:val="single" w:color="auto" w:sz="4" w:space="0"/>
            </w:tcBorders>
            <w:vAlign w:val="center"/>
          </w:tcPr>
          <w:p w14:paraId="429DA0B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9</w:t>
            </w:r>
          </w:p>
        </w:tc>
        <w:tc>
          <w:tcPr>
            <w:tcW w:w="2373" w:type="dxa"/>
            <w:tcBorders>
              <w:top w:val="single" w:color="auto" w:sz="4" w:space="0"/>
              <w:left w:val="single" w:color="auto" w:sz="4" w:space="0"/>
              <w:right w:val="single" w:color="auto" w:sz="4" w:space="0"/>
            </w:tcBorders>
            <w:vAlign w:val="center"/>
          </w:tcPr>
          <w:p w14:paraId="141662C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bCs w:val="0"/>
                <w:color w:val="000000" w:themeColor="text1"/>
                <w:sz w:val="21"/>
                <w:szCs w:val="21"/>
                <w:highlight w:val="none"/>
                <w:lang w:eastAsia="zh-CN"/>
              </w:rPr>
              <w:t>付款</w:t>
            </w:r>
            <w:r>
              <w:rPr>
                <w:rFonts w:hint="eastAsia" w:ascii="宋体" w:hAnsi="宋体" w:eastAsia="宋体" w:cs="宋体"/>
                <w:b/>
                <w:bCs w:val="0"/>
                <w:color w:val="000000" w:themeColor="text1"/>
                <w:sz w:val="21"/>
                <w:szCs w:val="21"/>
                <w:highlight w:val="none"/>
                <w:lang w:val="en-US" w:eastAsia="zh-CN"/>
              </w:rPr>
              <w:t>和结算</w:t>
            </w:r>
            <w:r>
              <w:rPr>
                <w:rFonts w:hint="eastAsia" w:ascii="宋体" w:hAnsi="宋体" w:eastAsia="宋体" w:cs="宋体"/>
                <w:b/>
                <w:bCs w:val="0"/>
                <w:color w:val="000000" w:themeColor="text1"/>
                <w:sz w:val="21"/>
                <w:szCs w:val="21"/>
                <w:highlight w:val="none"/>
                <w:lang w:eastAsia="zh-CN"/>
              </w:rPr>
              <w:t>方式</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4F44E8D3">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1.付款方式：中标供应商完成当月供货，根据采购人和中标供应商确定的价格，采购人与供应商核对当月供货数量和金额后，采购人收到供应商发票后在15日内支付当月货款，每月结算一次。</w:t>
            </w:r>
          </w:p>
          <w:p w14:paraId="64A549B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2.结算价=核定价×实际供货数量×中标折扣率</w:t>
            </w:r>
          </w:p>
        </w:tc>
      </w:tr>
      <w:tr w14:paraId="1FAE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left w:val="single" w:color="auto" w:sz="4" w:space="0"/>
              <w:right w:val="single" w:color="auto" w:sz="4" w:space="0"/>
            </w:tcBorders>
            <w:vAlign w:val="center"/>
          </w:tcPr>
          <w:p w14:paraId="740A2167">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10</w:t>
            </w:r>
          </w:p>
        </w:tc>
        <w:tc>
          <w:tcPr>
            <w:tcW w:w="2373" w:type="dxa"/>
            <w:tcBorders>
              <w:left w:val="single" w:color="auto" w:sz="4" w:space="0"/>
              <w:right w:val="single" w:color="auto" w:sz="4" w:space="0"/>
            </w:tcBorders>
            <w:vAlign w:val="center"/>
          </w:tcPr>
          <w:p w14:paraId="5D6BFAD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 w:val="21"/>
                <w:szCs w:val="21"/>
                <w:highlight w:val="none"/>
              </w:rPr>
            </w:pPr>
            <w:r>
              <w:rPr>
                <w:rFonts w:hint="eastAsia" w:ascii="宋体" w:hAnsi="宋体" w:cs="宋体"/>
                <w:b/>
                <w:bCs/>
                <w:color w:val="000000" w:themeColor="text1"/>
                <w:kern w:val="44"/>
                <w:sz w:val="21"/>
                <w:szCs w:val="21"/>
                <w:highlight w:val="none"/>
                <w:lang w:val="en-US" w:eastAsia="zh-CN"/>
              </w:rPr>
              <w:t>履约保证金</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59D96700">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1.为了使中标供应商能够认真履行合同，确保食品按时按质供应，在签订合同之日起5个工作日内，各中标供应商须向采购人缴交合同履约保证金：伍万元整（￥50000.00元）。</w:t>
            </w:r>
          </w:p>
          <w:p w14:paraId="5404AA0E">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2.交纳方式：以支票、汇票、本票或者金融机构、担保机构出具的保函等非现金形式提交。</w:t>
            </w:r>
          </w:p>
          <w:p w14:paraId="56920FC1">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3.履约保证金于合同期满并在中标供应商完全履行合同义务之日起20个工作日内无息退还。</w:t>
            </w:r>
          </w:p>
          <w:p w14:paraId="2741B50B">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4.中标供应商在合同履行期间保证对采购人的货物供应，若中标后反悔或不能履行合同的，采购人有权单方终止合同并没收全额履约保证金，由此产生的一切经济损失由该中标供应商自行承担。</w:t>
            </w:r>
          </w:p>
          <w:p w14:paraId="422ECA49">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5.履约保证金用于补偿采购人因中标供应商的过失导致未能达到合同约定的服务和质量要求而蒙受的损失，若履约保证金已经不足以补偿或赔偿采购人的损失，采购人有权要求中标人承担足额的补偿或赔偿责任。</w:t>
            </w:r>
          </w:p>
          <w:p w14:paraId="458FB029">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6.如果中标供应商无违反合同，合同期满后保证金全额无息退还中标供应商；如中标供应商违反合同，合同期满后采购人扣除相应的保证金剩余部分无息退还中标供应商。</w:t>
            </w:r>
          </w:p>
          <w:p w14:paraId="25DF2668">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7.因中标供应商供应的食材质量问题造成采购人员发生食物中毒事件的，采购人有权单方解除合同，没收所有履约保证金；中毒人员的全部医疗费用及法律规定的其他费用全部由中标供应商承担；采购人保留通过法律途径追究中标供应商责任的权利。</w:t>
            </w:r>
          </w:p>
        </w:tc>
      </w:tr>
      <w:tr w14:paraId="7E41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left w:val="single" w:color="auto" w:sz="4" w:space="0"/>
              <w:bottom w:val="single" w:color="auto" w:sz="4" w:space="0"/>
              <w:right w:val="single" w:color="auto" w:sz="4" w:space="0"/>
            </w:tcBorders>
            <w:vAlign w:val="center"/>
          </w:tcPr>
          <w:p w14:paraId="0E1424AE">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11</w:t>
            </w:r>
          </w:p>
        </w:tc>
        <w:tc>
          <w:tcPr>
            <w:tcW w:w="2373" w:type="dxa"/>
            <w:tcBorders>
              <w:left w:val="single" w:color="auto" w:sz="4" w:space="0"/>
              <w:bottom w:val="single" w:color="auto" w:sz="4" w:space="0"/>
              <w:right w:val="single" w:color="auto" w:sz="4" w:space="0"/>
            </w:tcBorders>
            <w:vAlign w:val="center"/>
          </w:tcPr>
          <w:p w14:paraId="5B55DD16">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bCs/>
                <w:color w:val="000000" w:themeColor="text1"/>
                <w:kern w:val="2"/>
                <w:sz w:val="21"/>
                <w:szCs w:val="21"/>
                <w:highlight w:val="none"/>
                <w:lang w:val="en-US" w:eastAsia="zh-CN" w:bidi="ar-SA"/>
              </w:rPr>
              <w:t>双方权利义务</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1A4595E7">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 xml:space="preserve">1.签订服务合同的同时中标供应商必须向采购人出具针对本项目的《食品质量安全承诺书》。 </w:t>
            </w:r>
          </w:p>
          <w:p w14:paraId="589BC7AB">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 xml:space="preserve">2.就餐人数即采购金额以实际发生为准，本预算采购为预估采购金额。 </w:t>
            </w:r>
          </w:p>
          <w:p w14:paraId="63A47738">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 xml:space="preserve">3.服务期内，中标供应商提供的货品质量不符合质量考核标准或因中标供应商责任出现重大事故或严重违反违法、犯罪事件，采购人有权立即解除合同、没收其履约保证金，如履约保证金不足弥补损失的，采购人还有权按实际损失要求中标供应商承担。中标供应商因前述原因解除合同，采购人有权将中标供应商剔除并列入黑名单。 </w:t>
            </w:r>
          </w:p>
          <w:p w14:paraId="493349CF">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 xml:space="preserve">4.采购人有权在合同期内根据实际实施情况，对相关的管理制度和考核办法进行必要的调整。实行动态管理方式，中标供应商完全理解并自觉遵守这些管理制度、办法，并接受采购人上级职能部门及相关单位的监督和管理。 </w:t>
            </w:r>
          </w:p>
          <w:p w14:paraId="029D354A">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 xml:space="preserve">5.中标供应商同意采购人有权安排专职小组对中标供应商生产或配送等场所进行查访，如发现场所与中标供应商投标文件中所描述及承诺内容不符，采购人有权要求中标供应商限期整改，整改期间暂停接受中标供应商服务。整改完毕后并经采购人验收合格，可继续履行合同，整改期间采购人的损失由中标供应商足额赔偿。中标供应商拒不整改或整改不合格，采购人有权立即解除合同、没收履约保证金并要求中标供应商赔偿采购人全部损失。 </w:t>
            </w:r>
          </w:p>
          <w:p w14:paraId="0EFCF656">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6.中标供应商不得将本合同项下权利义务向任何第三方转包、分包或转让。否则采购人有权立即解除合同、没收其履约保证金。</w:t>
            </w:r>
          </w:p>
        </w:tc>
      </w:tr>
      <w:tr w14:paraId="3754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left w:val="single" w:color="auto" w:sz="4" w:space="0"/>
              <w:bottom w:val="single" w:color="auto" w:sz="4" w:space="0"/>
              <w:right w:val="single" w:color="auto" w:sz="4" w:space="0"/>
            </w:tcBorders>
            <w:vAlign w:val="center"/>
          </w:tcPr>
          <w:p w14:paraId="0EB697BD">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12</w:t>
            </w:r>
          </w:p>
        </w:tc>
        <w:tc>
          <w:tcPr>
            <w:tcW w:w="2373" w:type="dxa"/>
            <w:tcBorders>
              <w:left w:val="single" w:color="auto" w:sz="4" w:space="0"/>
              <w:bottom w:val="single" w:color="auto" w:sz="4" w:space="0"/>
              <w:right w:val="single" w:color="auto" w:sz="4" w:space="0"/>
            </w:tcBorders>
            <w:vAlign w:val="center"/>
          </w:tcPr>
          <w:p w14:paraId="095B091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验收要求</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6C639A34">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学校要建立和健全食堂食品食材验收制度。食品食材采购回来后，应放置在监控可视范围内，在固定地方由固定人员进行验收，验收环节应完整、详细、真实。</w:t>
            </w:r>
          </w:p>
          <w:p w14:paraId="2F5A3C7E">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(一)所有采购的食品食材或物资验收都必须实行2人以上(含2人)验收，且必须有轮值的中层以上(含中层)教职员工参与。验收小组要建立内控机制，轮流上岗、定期更换。验收人员与采购人员组成不得相同。</w:t>
            </w:r>
          </w:p>
          <w:p w14:paraId="20DEBA13">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(二)信息核对：核对采购食品食材与购货凭证(或者送货单据)上的名称、数量是否相符；</w:t>
            </w:r>
          </w:p>
          <w:p w14:paraId="09A85F97">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(三)外观检查：检查感官性状，包装是否有破损、污迹、霉变、腐烂，是否有异味，是否有病虫害附着等；</w:t>
            </w:r>
          </w:p>
          <w:p w14:paraId="0D66566F">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四)标签检查：检查外包装标注信息是否完整，是否有产品的名称、规格或者净含量、生产日期、保质期、成分或者配料表、贮存条件等信息，是否标识生产者的名称、地址、联系方式以及产品标准代号、生产许可证编号等；</w:t>
            </w:r>
          </w:p>
          <w:p w14:paraId="30216128">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(五)温度检查：需冷藏冷冻的食品食材是否冷链运输，冷藏食品表面温度与标签标识的温度是否超过+3℃，冷冻食品食材表面温度是否高于-9℃；</w:t>
            </w:r>
          </w:p>
          <w:p w14:paraId="4A800414">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(六)票据核验:检查随货同行的产品合格证明文件，文件上载明的内容是否与到货的食品生产日期、规格等信息保持一致；</w:t>
            </w:r>
          </w:p>
          <w:p w14:paraId="769F1F41">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(七)抽样检测：鼓励学校食堂对采购的蔬菜、肉类进行药物残留检测。</w:t>
            </w:r>
          </w:p>
          <w:p w14:paraId="404ADC37">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(八)供货商供货时，需同步提供该批次食用农产品的《承诺达标证》(或附带有二维码的电子承诺达标合格证)作为验收必要条件；不提供此证，可不予验收。</w:t>
            </w:r>
            <w:r>
              <w:rPr>
                <w:rFonts w:hint="eastAsia" w:ascii="宋体" w:hAnsi="宋体" w:eastAsia="宋体" w:cs="宋体"/>
                <w:b/>
                <w:bCs/>
                <w:color w:val="000000" w:themeColor="text1"/>
                <w:sz w:val="21"/>
                <w:szCs w:val="21"/>
                <w:highlight w:val="none"/>
                <w:lang w:val="en-US" w:eastAsia="zh-CN"/>
              </w:rPr>
              <w:t>此外，大米应每批次向供应商索取检验合格证明，合格证明中应含有国家和省的规定必检的重金属(包含铅、镉、汞等)含量项目;没有重金属检验合格证明的，不得采购和验收。</w:t>
            </w:r>
          </w:p>
        </w:tc>
      </w:tr>
      <w:tr w14:paraId="5D4B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left w:val="single" w:color="auto" w:sz="4" w:space="0"/>
              <w:bottom w:val="single" w:color="auto" w:sz="4" w:space="0"/>
              <w:right w:val="single" w:color="auto" w:sz="4" w:space="0"/>
            </w:tcBorders>
            <w:vAlign w:val="center"/>
          </w:tcPr>
          <w:p w14:paraId="1D4904A3">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13</w:t>
            </w:r>
          </w:p>
        </w:tc>
        <w:tc>
          <w:tcPr>
            <w:tcW w:w="2373" w:type="dxa"/>
            <w:tcBorders>
              <w:left w:val="single" w:color="auto" w:sz="4" w:space="0"/>
              <w:bottom w:val="single" w:color="auto" w:sz="4" w:space="0"/>
              <w:right w:val="single" w:color="auto" w:sz="4" w:space="0"/>
            </w:tcBorders>
            <w:vAlign w:val="center"/>
          </w:tcPr>
          <w:p w14:paraId="6B9B439E">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cs="宋体"/>
                <w:b/>
                <w:bCs w:val="0"/>
                <w:color w:val="000000" w:themeColor="text1"/>
                <w:sz w:val="21"/>
                <w:szCs w:val="21"/>
                <w:highlight w:val="none"/>
                <w:lang w:val="en-US" w:eastAsia="zh-CN"/>
              </w:rPr>
              <w:t>其他要求</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545E6798">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 xml:space="preserve">1.供应商供应的农产品必须要提供农产品合格证以及来源证明等证明材料。 </w:t>
            </w:r>
          </w:p>
          <w:p w14:paraId="4F680C79">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 xml:space="preserve">2.采购数量和金额是参考往年进行估算，采购人无法确保每家中标供应商的供货数量是否能达到预算金额，若采购人的采购数量未达到本招标文件的预算金额，该风险由中标人承担，投标人应注意相关风险。 </w:t>
            </w:r>
          </w:p>
          <w:p w14:paraId="69572933">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3.上述采购金额为预估金额，具体根据师生人数和口味偏好以及营养需求等情况确定采购食品食材的种类、数量和质量要求，中标人不得因采购数量的多少而拒绝履行合同义务。</w:t>
            </w:r>
          </w:p>
        </w:tc>
      </w:tr>
      <w:tr w14:paraId="16F7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left w:val="single" w:color="auto" w:sz="4" w:space="0"/>
              <w:bottom w:val="single" w:color="auto" w:sz="4" w:space="0"/>
              <w:right w:val="single" w:color="auto" w:sz="4" w:space="0"/>
            </w:tcBorders>
            <w:vAlign w:val="center"/>
          </w:tcPr>
          <w:p w14:paraId="596B2994">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14</w:t>
            </w:r>
          </w:p>
        </w:tc>
        <w:tc>
          <w:tcPr>
            <w:tcW w:w="2373" w:type="dxa"/>
            <w:tcBorders>
              <w:left w:val="single" w:color="auto" w:sz="4" w:space="0"/>
              <w:bottom w:val="single" w:color="auto" w:sz="4" w:space="0"/>
              <w:right w:val="single" w:color="auto" w:sz="4" w:space="0"/>
            </w:tcBorders>
            <w:vAlign w:val="center"/>
          </w:tcPr>
          <w:p w14:paraId="5084ABC7">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cs="宋体"/>
                <w:b/>
                <w:bCs w:val="0"/>
                <w:color w:val="000000" w:themeColor="text1"/>
                <w:sz w:val="21"/>
                <w:szCs w:val="21"/>
                <w:highlight w:val="none"/>
                <w:lang w:val="en-US" w:eastAsia="zh-CN"/>
              </w:rPr>
            </w:pPr>
            <w:r>
              <w:rPr>
                <w:rFonts w:hint="eastAsia" w:ascii="宋体" w:hAnsi="宋体" w:cs="宋体"/>
                <w:b/>
                <w:bCs w:val="0"/>
                <w:color w:val="000000" w:themeColor="text1"/>
                <w:sz w:val="21"/>
                <w:szCs w:val="21"/>
                <w:highlight w:val="none"/>
                <w:lang w:val="en-US" w:eastAsia="zh-CN"/>
              </w:rPr>
              <w:t>考核标准</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0EF01BF1">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 xml:space="preserve">1.采购人在服务期限内对中标供应商实行考核制度，服务期内若扣分累计达到30分或以上则采购人有权利取消中标供应商的配送资格，并终止采购合同。 </w:t>
            </w:r>
          </w:p>
          <w:p w14:paraId="07405E69">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2.考核标准：如因肉菜质量问题造成食品安全事故，中标供应商须负一切责任并且采购人有权利取消其中标供应商的配送资格。考核细则见技术要求附件《配送服务质量考核评价办法》。</w:t>
            </w:r>
          </w:p>
          <w:p w14:paraId="10AD2BD9">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3.采购人每月对中标供应商工作考核一次，考核分值低于80分（不含80分）的为不合格，若服务期内考核3次不达标的中标供应商，采购人有权终止该中标供应商的合同。</w:t>
            </w:r>
          </w:p>
          <w:p w14:paraId="0CAC5476">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中标供应商须及时对采购人提出的存在问题作出响应并实施整改，次月未作出整改的，采购人将发出警告信1次，连续因同一问题发出警告信息3次且拒不改正，采购人有权终止其采购合同，并以书面形式通知对方。</w:t>
            </w:r>
          </w:p>
          <w:p w14:paraId="0BBE5EBF">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5.采购人对考核标准保持最终修改权和解释权。</w:t>
            </w:r>
          </w:p>
        </w:tc>
      </w:tr>
      <w:tr w14:paraId="33CB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5" w:type="dxa"/>
            <w:tcBorders>
              <w:top w:val="single" w:color="auto" w:sz="4" w:space="0"/>
              <w:left w:val="single" w:color="auto" w:sz="4" w:space="0"/>
              <w:right w:val="single" w:color="auto" w:sz="4" w:space="0"/>
            </w:tcBorders>
            <w:vAlign w:val="center"/>
          </w:tcPr>
          <w:p w14:paraId="6A36DB95">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15</w:t>
            </w:r>
          </w:p>
        </w:tc>
        <w:tc>
          <w:tcPr>
            <w:tcW w:w="2373" w:type="dxa"/>
            <w:tcBorders>
              <w:top w:val="single" w:color="auto" w:sz="4" w:space="0"/>
              <w:left w:val="single" w:color="auto" w:sz="4" w:space="0"/>
              <w:right w:val="single" w:color="auto" w:sz="4" w:space="0"/>
            </w:tcBorders>
            <w:vAlign w:val="center"/>
          </w:tcPr>
          <w:p w14:paraId="15613EF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b/>
                <w:color w:val="000000" w:themeColor="text1"/>
                <w:sz w:val="21"/>
                <w:szCs w:val="21"/>
                <w:highlight w:val="none"/>
              </w:rPr>
              <w:t>投标保证金</w:t>
            </w:r>
          </w:p>
        </w:tc>
        <w:tc>
          <w:tcPr>
            <w:tcW w:w="6528" w:type="dxa"/>
            <w:gridSpan w:val="2"/>
            <w:tcBorders>
              <w:top w:val="single" w:color="auto" w:sz="4" w:space="0"/>
              <w:left w:val="single" w:color="auto" w:sz="4" w:space="0"/>
              <w:bottom w:val="single" w:color="auto" w:sz="4" w:space="0"/>
              <w:right w:val="single" w:color="auto" w:sz="4" w:space="0"/>
            </w:tcBorders>
            <w:vAlign w:val="center"/>
          </w:tcPr>
          <w:p w14:paraId="54179C60">
            <w:pPr>
              <w:keepNext w:val="0"/>
              <w:keepLines w:val="0"/>
              <w:pageBreakBefore w:val="0"/>
              <w:kinsoku/>
              <w:wordWrap/>
              <w:overflowPunct/>
              <w:topLinePunct w:val="0"/>
              <w:autoSpaceDE/>
              <w:autoSpaceDN/>
              <w:bidi w:val="0"/>
              <w:adjustRightInd/>
              <w:snapToGrid w:val="0"/>
              <w:spacing w:line="320" w:lineRule="exact"/>
              <w:ind w:left="316" w:hanging="316" w:hangingChars="150"/>
              <w:jc w:val="left"/>
              <w:textAlignment w:val="auto"/>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不收取。</w:t>
            </w:r>
          </w:p>
        </w:tc>
      </w:tr>
      <w:tr w14:paraId="7410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restart"/>
            <w:tcBorders>
              <w:top w:val="single" w:color="auto" w:sz="4" w:space="0"/>
              <w:left w:val="single" w:color="auto" w:sz="4" w:space="0"/>
              <w:right w:val="single" w:color="auto" w:sz="4" w:space="0"/>
            </w:tcBorders>
            <w:vAlign w:val="center"/>
          </w:tcPr>
          <w:p w14:paraId="73CEA019">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16</w:t>
            </w:r>
          </w:p>
        </w:tc>
        <w:tc>
          <w:tcPr>
            <w:tcW w:w="2373" w:type="dxa"/>
            <w:vMerge w:val="restart"/>
            <w:tcBorders>
              <w:top w:val="single" w:color="auto" w:sz="4" w:space="0"/>
              <w:left w:val="single" w:color="auto" w:sz="4" w:space="0"/>
              <w:right w:val="single" w:color="auto" w:sz="4" w:space="0"/>
            </w:tcBorders>
            <w:vAlign w:val="center"/>
          </w:tcPr>
          <w:p w14:paraId="5E910BE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中标服务费</w:t>
            </w:r>
          </w:p>
          <w:p w14:paraId="62E9732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bCs/>
                <w:color w:val="000000" w:themeColor="text1"/>
                <w:sz w:val="21"/>
                <w:szCs w:val="21"/>
                <w:highlight w:val="none"/>
              </w:rPr>
              <w:t>（以银行转账、电汇方式提交）</w:t>
            </w:r>
          </w:p>
        </w:tc>
        <w:tc>
          <w:tcPr>
            <w:tcW w:w="1606" w:type="dxa"/>
            <w:tcBorders>
              <w:top w:val="single" w:color="auto" w:sz="4" w:space="0"/>
              <w:left w:val="single" w:color="auto" w:sz="4" w:space="0"/>
              <w:bottom w:val="single" w:color="auto" w:sz="4" w:space="0"/>
              <w:right w:val="single" w:color="auto" w:sz="4" w:space="0"/>
            </w:tcBorders>
            <w:vAlign w:val="center"/>
          </w:tcPr>
          <w:p w14:paraId="066D9C4E">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color w:val="000000" w:themeColor="text1"/>
                <w:sz w:val="21"/>
                <w:szCs w:val="21"/>
                <w:highlight w:val="none"/>
              </w:rPr>
              <w:t>收费标准：</w:t>
            </w:r>
          </w:p>
        </w:tc>
        <w:tc>
          <w:tcPr>
            <w:tcW w:w="4922" w:type="dxa"/>
            <w:tcBorders>
              <w:top w:val="single" w:color="auto" w:sz="4" w:space="0"/>
              <w:left w:val="single" w:color="auto" w:sz="4" w:space="0"/>
              <w:bottom w:val="single" w:color="auto" w:sz="4" w:space="0"/>
              <w:right w:val="single" w:color="auto" w:sz="4" w:space="0"/>
            </w:tcBorders>
            <w:vAlign w:val="center"/>
          </w:tcPr>
          <w:p w14:paraId="16659355">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Cs/>
                <w:color w:val="000000" w:themeColor="text1"/>
                <w:sz w:val="21"/>
                <w:szCs w:val="21"/>
                <w:highlight w:val="none"/>
                <w:lang w:val="en-US" w:eastAsia="zh-CN"/>
              </w:rPr>
              <w:t>参考</w:t>
            </w:r>
            <w:r>
              <w:rPr>
                <w:rFonts w:hint="eastAsia" w:ascii="宋体" w:hAnsi="宋体" w:eastAsia="宋体" w:cs="宋体"/>
                <w:bCs/>
                <w:color w:val="000000" w:themeColor="text1"/>
                <w:sz w:val="21"/>
                <w:szCs w:val="21"/>
                <w:highlight w:val="none"/>
              </w:rPr>
              <w:t>发改价格[2011]534号文的规定</w:t>
            </w:r>
            <w:r>
              <w:rPr>
                <w:rFonts w:hint="eastAsia" w:ascii="宋体" w:hAnsi="宋体" w:eastAsia="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各</w:t>
            </w:r>
            <w:r>
              <w:rPr>
                <w:rFonts w:hint="eastAsia" w:ascii="宋体" w:hAnsi="宋体"/>
                <w:bCs/>
                <w:color w:val="000000" w:themeColor="text1"/>
                <w:highlight w:val="none"/>
                <w:lang w:val="en-US" w:eastAsia="zh-CN"/>
              </w:rPr>
              <w:t>中标供应商的</w:t>
            </w:r>
            <w:r>
              <w:rPr>
                <w:rFonts w:hint="eastAsia" w:ascii="宋体" w:hAnsi="宋体" w:eastAsia="宋体" w:cs="宋体"/>
                <w:color w:val="000000" w:themeColor="text1"/>
                <w:sz w:val="21"/>
                <w:szCs w:val="21"/>
                <w:highlight w:val="none"/>
              </w:rPr>
              <w:t>招标代理服务费</w:t>
            </w:r>
            <w:r>
              <w:rPr>
                <w:rFonts w:hint="eastAsia" w:ascii="宋体" w:hAnsi="宋体" w:cs="宋体"/>
                <w:color w:val="000000" w:themeColor="text1"/>
                <w:sz w:val="21"/>
                <w:szCs w:val="21"/>
                <w:highlight w:val="none"/>
                <w:lang w:val="en-US" w:eastAsia="zh-CN"/>
              </w:rPr>
              <w:t>以预算金额</w:t>
            </w:r>
            <w:r>
              <w:rPr>
                <w:rFonts w:hint="eastAsia" w:ascii="宋体" w:hAnsi="宋体"/>
                <w:bCs/>
                <w:color w:val="000000" w:themeColor="text1"/>
                <w:highlight w:val="none"/>
                <w:lang w:val="en-US" w:eastAsia="zh-CN"/>
              </w:rPr>
              <w:t>/中标供应商数量为计费基数，</w:t>
            </w:r>
            <w:r>
              <w:rPr>
                <w:rFonts w:hint="eastAsia" w:ascii="宋体" w:hAnsi="宋体" w:eastAsia="宋体" w:cs="宋体"/>
                <w:color w:val="000000" w:themeColor="text1"/>
                <w:sz w:val="21"/>
                <w:szCs w:val="21"/>
                <w:highlight w:val="none"/>
              </w:rPr>
              <w:t>按差额定率累进法计算</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中标服务费由</w:t>
            </w:r>
            <w:r>
              <w:rPr>
                <w:rFonts w:hint="eastAsia" w:ascii="宋体" w:hAnsi="宋体" w:cs="宋体"/>
                <w:color w:val="000000" w:themeColor="text1"/>
                <w:sz w:val="21"/>
                <w:szCs w:val="21"/>
                <w:highlight w:val="none"/>
                <w:lang w:val="en-US" w:eastAsia="zh-CN"/>
              </w:rPr>
              <w:t>各中标供应商</w:t>
            </w:r>
            <w:r>
              <w:rPr>
                <w:rFonts w:hint="eastAsia" w:ascii="宋体" w:hAnsi="宋体" w:eastAsia="宋体" w:cs="宋体"/>
                <w:color w:val="000000" w:themeColor="text1"/>
                <w:sz w:val="21"/>
                <w:szCs w:val="21"/>
                <w:highlight w:val="none"/>
                <w:lang w:val="en-US" w:eastAsia="zh-CN"/>
              </w:rPr>
              <w:t>分别</w:t>
            </w:r>
            <w:r>
              <w:rPr>
                <w:rFonts w:hint="eastAsia" w:ascii="宋体" w:hAnsi="宋体" w:eastAsia="宋体" w:cs="宋体"/>
                <w:color w:val="000000" w:themeColor="text1"/>
                <w:sz w:val="21"/>
                <w:szCs w:val="21"/>
                <w:highlight w:val="none"/>
              </w:rPr>
              <w:t>在领取中标通知书前以银行转账方式一次性支付。</w:t>
            </w:r>
          </w:p>
        </w:tc>
      </w:tr>
      <w:tr w14:paraId="3CA5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6F63236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p>
        </w:tc>
        <w:tc>
          <w:tcPr>
            <w:tcW w:w="2373" w:type="dxa"/>
            <w:vMerge w:val="continue"/>
            <w:tcBorders>
              <w:left w:val="single" w:color="auto" w:sz="4" w:space="0"/>
              <w:right w:val="single" w:color="auto" w:sz="4" w:space="0"/>
            </w:tcBorders>
            <w:vAlign w:val="center"/>
          </w:tcPr>
          <w:p w14:paraId="7B42EBA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p>
        </w:tc>
        <w:tc>
          <w:tcPr>
            <w:tcW w:w="1606" w:type="dxa"/>
            <w:tcBorders>
              <w:top w:val="single" w:color="auto" w:sz="4" w:space="0"/>
              <w:left w:val="single" w:color="auto" w:sz="4" w:space="0"/>
              <w:bottom w:val="single" w:color="auto" w:sz="4" w:space="0"/>
              <w:right w:val="single" w:color="auto" w:sz="4" w:space="0"/>
            </w:tcBorders>
            <w:vAlign w:val="center"/>
          </w:tcPr>
          <w:p w14:paraId="552431B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Cs/>
                <w:color w:val="000000" w:themeColor="text1"/>
                <w:sz w:val="21"/>
                <w:szCs w:val="21"/>
                <w:highlight w:val="none"/>
              </w:rPr>
              <w:t>开户名称</w:t>
            </w:r>
          </w:p>
        </w:tc>
        <w:tc>
          <w:tcPr>
            <w:tcW w:w="4922" w:type="dxa"/>
            <w:tcBorders>
              <w:top w:val="single" w:color="auto" w:sz="4" w:space="0"/>
              <w:left w:val="single" w:color="auto" w:sz="4" w:space="0"/>
              <w:bottom w:val="single" w:color="auto" w:sz="4" w:space="0"/>
              <w:right w:val="single" w:color="auto" w:sz="4" w:space="0"/>
            </w:tcBorders>
            <w:vAlign w:val="center"/>
          </w:tcPr>
          <w:p w14:paraId="3A3CF98B">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
                <w:bCs/>
                <w:color w:val="000000" w:themeColor="text1"/>
                <w:sz w:val="21"/>
                <w:szCs w:val="21"/>
                <w:highlight w:val="none"/>
              </w:rPr>
              <w:t>广东业信采购招标有限公司</w:t>
            </w:r>
          </w:p>
        </w:tc>
      </w:tr>
      <w:tr w14:paraId="4CE8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0B88A37E">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p>
        </w:tc>
        <w:tc>
          <w:tcPr>
            <w:tcW w:w="2373" w:type="dxa"/>
            <w:vMerge w:val="continue"/>
            <w:tcBorders>
              <w:left w:val="single" w:color="auto" w:sz="4" w:space="0"/>
              <w:right w:val="single" w:color="auto" w:sz="4" w:space="0"/>
            </w:tcBorders>
            <w:vAlign w:val="center"/>
          </w:tcPr>
          <w:p w14:paraId="60371628">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p>
        </w:tc>
        <w:tc>
          <w:tcPr>
            <w:tcW w:w="1606" w:type="dxa"/>
            <w:tcBorders>
              <w:top w:val="single" w:color="auto" w:sz="4" w:space="0"/>
              <w:left w:val="single" w:color="auto" w:sz="4" w:space="0"/>
              <w:bottom w:val="single" w:color="auto" w:sz="4" w:space="0"/>
              <w:right w:val="single" w:color="auto" w:sz="4" w:space="0"/>
            </w:tcBorders>
            <w:vAlign w:val="center"/>
          </w:tcPr>
          <w:p w14:paraId="010AFEE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Cs/>
                <w:color w:val="000000" w:themeColor="text1"/>
                <w:sz w:val="21"/>
                <w:szCs w:val="21"/>
                <w:highlight w:val="none"/>
              </w:rPr>
              <w:t>账    号</w:t>
            </w:r>
          </w:p>
        </w:tc>
        <w:tc>
          <w:tcPr>
            <w:tcW w:w="4922" w:type="dxa"/>
            <w:tcBorders>
              <w:top w:val="single" w:color="auto" w:sz="4" w:space="0"/>
              <w:left w:val="single" w:color="auto" w:sz="4" w:space="0"/>
              <w:bottom w:val="single" w:color="auto" w:sz="4" w:space="0"/>
              <w:right w:val="single" w:color="auto" w:sz="4" w:space="0"/>
            </w:tcBorders>
            <w:vAlign w:val="center"/>
          </w:tcPr>
          <w:p w14:paraId="5CBB2200">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
                <w:bCs/>
                <w:color w:val="000000" w:themeColor="text1"/>
                <w:sz w:val="21"/>
                <w:szCs w:val="21"/>
                <w:highlight w:val="none"/>
              </w:rPr>
              <w:t>44547801040002249</w:t>
            </w:r>
          </w:p>
        </w:tc>
      </w:tr>
      <w:tr w14:paraId="23CF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bottom w:val="single" w:color="auto" w:sz="4" w:space="0"/>
              <w:right w:val="single" w:color="auto" w:sz="4" w:space="0"/>
            </w:tcBorders>
            <w:vAlign w:val="center"/>
          </w:tcPr>
          <w:p w14:paraId="1D7C344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p>
        </w:tc>
        <w:tc>
          <w:tcPr>
            <w:tcW w:w="2373" w:type="dxa"/>
            <w:vMerge w:val="continue"/>
            <w:tcBorders>
              <w:left w:val="single" w:color="auto" w:sz="4" w:space="0"/>
              <w:bottom w:val="single" w:color="auto" w:sz="4" w:space="0"/>
              <w:right w:val="single" w:color="auto" w:sz="4" w:space="0"/>
            </w:tcBorders>
            <w:vAlign w:val="center"/>
          </w:tcPr>
          <w:p w14:paraId="166F74C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highlight w:val="none"/>
              </w:rPr>
            </w:pPr>
          </w:p>
        </w:tc>
        <w:tc>
          <w:tcPr>
            <w:tcW w:w="1606" w:type="dxa"/>
            <w:tcBorders>
              <w:top w:val="single" w:color="auto" w:sz="4" w:space="0"/>
              <w:left w:val="single" w:color="auto" w:sz="4" w:space="0"/>
              <w:bottom w:val="single" w:color="auto" w:sz="4" w:space="0"/>
              <w:right w:val="single" w:color="auto" w:sz="4" w:space="0"/>
            </w:tcBorders>
            <w:vAlign w:val="center"/>
          </w:tcPr>
          <w:p w14:paraId="08D87C5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Cs/>
                <w:color w:val="000000" w:themeColor="text1"/>
                <w:sz w:val="21"/>
                <w:szCs w:val="21"/>
                <w:highlight w:val="none"/>
              </w:rPr>
              <w:t>开户银行</w:t>
            </w:r>
          </w:p>
        </w:tc>
        <w:tc>
          <w:tcPr>
            <w:tcW w:w="4922" w:type="dxa"/>
            <w:tcBorders>
              <w:top w:val="single" w:color="auto" w:sz="4" w:space="0"/>
              <w:left w:val="single" w:color="auto" w:sz="4" w:space="0"/>
              <w:bottom w:val="single" w:color="auto" w:sz="4" w:space="0"/>
              <w:right w:val="single" w:color="auto" w:sz="4" w:space="0"/>
            </w:tcBorders>
            <w:vAlign w:val="center"/>
          </w:tcPr>
          <w:p w14:paraId="5B902208">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 w:val="21"/>
                <w:szCs w:val="21"/>
                <w:highlight w:val="none"/>
              </w:rPr>
            </w:pPr>
            <w:r>
              <w:rPr>
                <w:rFonts w:hint="eastAsia" w:ascii="宋体" w:hAnsi="宋体" w:eastAsia="宋体" w:cs="宋体"/>
                <w:b/>
                <w:bCs/>
                <w:color w:val="000000" w:themeColor="text1"/>
                <w:sz w:val="21"/>
                <w:szCs w:val="21"/>
                <w:highlight w:val="none"/>
              </w:rPr>
              <w:t>中国农业银行股份有限公司阳江</w:t>
            </w:r>
            <w:r>
              <w:rPr>
                <w:rFonts w:hint="eastAsia" w:ascii="宋体" w:hAnsi="宋体" w:eastAsia="宋体" w:cs="宋体"/>
                <w:b/>
                <w:bCs/>
                <w:color w:val="000000" w:themeColor="text1"/>
                <w:sz w:val="21"/>
                <w:szCs w:val="21"/>
                <w:highlight w:val="none"/>
                <w:lang w:val="en-US" w:eastAsia="zh-CN"/>
              </w:rPr>
              <w:t>江城</w:t>
            </w:r>
            <w:r>
              <w:rPr>
                <w:rFonts w:hint="eastAsia" w:ascii="宋体" w:hAnsi="宋体" w:eastAsia="宋体" w:cs="宋体"/>
                <w:b/>
                <w:bCs/>
                <w:color w:val="000000" w:themeColor="text1"/>
                <w:sz w:val="21"/>
                <w:szCs w:val="21"/>
                <w:highlight w:val="none"/>
              </w:rPr>
              <w:t>支行</w:t>
            </w:r>
          </w:p>
        </w:tc>
      </w:tr>
    </w:tbl>
    <w:p w14:paraId="6918EB81">
      <w:pPr>
        <w:adjustRightInd w:val="0"/>
        <w:snapToGrid w:val="0"/>
        <w:spacing w:line="360" w:lineRule="auto"/>
        <w:rPr>
          <w:b/>
          <w:color w:val="000000" w:themeColor="text1"/>
          <w:szCs w:val="21"/>
          <w:highlight w:val="none"/>
        </w:rPr>
      </w:pPr>
    </w:p>
    <w:p w14:paraId="000639D8">
      <w:pPr>
        <w:rPr>
          <w:rFonts w:hint="eastAsia"/>
          <w:color w:val="000000" w:themeColor="text1"/>
          <w:kern w:val="0"/>
          <w:sz w:val="24"/>
          <w:highlight w:val="none"/>
        </w:rPr>
      </w:pPr>
      <w:r>
        <w:rPr>
          <w:rFonts w:hint="eastAsia"/>
          <w:color w:val="000000" w:themeColor="text1"/>
          <w:kern w:val="0"/>
          <w:sz w:val="24"/>
          <w:highlight w:val="none"/>
        </w:rPr>
        <w:br w:type="page"/>
      </w:r>
    </w:p>
    <w:p w14:paraId="5083D07F">
      <w:pPr>
        <w:pStyle w:val="3"/>
        <w:numPr>
          <w:ilvl w:val="0"/>
          <w:numId w:val="0"/>
        </w:numPr>
        <w:spacing w:beforeLines="150" w:after="0" w:line="360" w:lineRule="auto"/>
        <w:rPr>
          <w:color w:val="000000" w:themeColor="text1"/>
          <w:kern w:val="0"/>
          <w:sz w:val="24"/>
          <w:highlight w:val="none"/>
        </w:rPr>
      </w:pPr>
      <w:bookmarkStart w:id="113" w:name="_Toc25945"/>
      <w:r>
        <w:rPr>
          <w:rFonts w:hint="eastAsia"/>
          <w:color w:val="000000" w:themeColor="text1"/>
          <w:kern w:val="0"/>
          <w:sz w:val="24"/>
          <w:highlight w:val="none"/>
        </w:rPr>
        <w:t>B  技术要求</w:t>
      </w:r>
      <w:bookmarkEnd w:id="113"/>
    </w:p>
    <w:p w14:paraId="09CFA828">
      <w:pPr>
        <w:pStyle w:val="19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default" w:ascii="宋体" w:hAnsi="宋体"/>
          <w:b/>
          <w:color w:val="000000" w:themeColor="text1"/>
          <w:szCs w:val="21"/>
          <w:highlight w:val="none"/>
          <w:lang w:val="en-US" w:eastAsia="zh-CN"/>
        </w:rPr>
      </w:pPr>
      <w:r>
        <w:rPr>
          <w:rFonts w:hint="eastAsia" w:ascii="宋体" w:hAnsi="宋体"/>
          <w:b/>
          <w:color w:val="000000" w:themeColor="text1"/>
          <w:szCs w:val="21"/>
          <w:highlight w:val="none"/>
          <w:lang w:val="en-US" w:eastAsia="zh-CN"/>
        </w:rPr>
        <w:t>一、项目概况</w:t>
      </w:r>
    </w:p>
    <w:p w14:paraId="4848EF44">
      <w:pPr>
        <w:pStyle w:val="19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b/>
          <w:color w:val="000000" w:themeColor="text1"/>
          <w:szCs w:val="21"/>
          <w:highlight w:val="none"/>
          <w:lang w:val="en-US" w:eastAsia="zh-CN"/>
        </w:rPr>
      </w:pPr>
      <w:r>
        <w:rPr>
          <w:rFonts w:hint="eastAsia" w:ascii="宋体" w:hAnsi="宋体"/>
          <w:b w:val="0"/>
          <w:bCs/>
          <w:color w:val="000000" w:themeColor="text1"/>
          <w:szCs w:val="21"/>
          <w:highlight w:val="none"/>
          <w:lang w:val="en-US" w:eastAsia="zh-CN"/>
        </w:rPr>
        <w:t>现我校早餐就餐人数约650人，午餐就餐人数约1200人-1300人，晚餐就餐人数约650人。</w:t>
      </w:r>
    </w:p>
    <w:p w14:paraId="5957576A">
      <w:pPr>
        <w:pStyle w:val="19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9"/>
        <w:rPr>
          <w:rFonts w:hint="eastAsia" w:ascii="宋体" w:hAnsi="宋体"/>
          <w:b/>
          <w:color w:val="000000" w:themeColor="text1"/>
          <w:szCs w:val="21"/>
          <w:highlight w:val="none"/>
        </w:rPr>
      </w:pPr>
      <w:r>
        <w:rPr>
          <w:rFonts w:hint="eastAsia" w:ascii="宋体" w:hAnsi="宋体"/>
          <w:b/>
          <w:color w:val="000000" w:themeColor="text1"/>
          <w:szCs w:val="21"/>
          <w:highlight w:val="none"/>
          <w:lang w:val="en-US" w:eastAsia="zh-CN"/>
        </w:rPr>
        <w:t>二</w:t>
      </w:r>
      <w:r>
        <w:rPr>
          <w:rFonts w:hint="eastAsia" w:ascii="宋体" w:hAnsi="宋体"/>
          <w:b/>
          <w:color w:val="000000" w:themeColor="text1"/>
          <w:szCs w:val="21"/>
          <w:highlight w:val="none"/>
        </w:rPr>
        <w:t>、总体要求</w:t>
      </w:r>
    </w:p>
    <w:p w14:paraId="727E4CD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000000" w:themeColor="text1"/>
          <w:highlight w:val="none"/>
        </w:rPr>
      </w:pPr>
      <w:bookmarkStart w:id="114" w:name="_Toc468788725"/>
      <w:r>
        <w:rPr>
          <w:rFonts w:hint="eastAsia" w:ascii="宋体" w:hAnsi="宋体" w:cs="宋体"/>
          <w:color w:val="000000" w:themeColor="text1"/>
          <w:highlight w:val="none"/>
        </w:rPr>
        <w:t>1.★所有食材要求为非转基因食品（提供承诺函，格式自拟）。</w:t>
      </w:r>
    </w:p>
    <w:p w14:paraId="6BECA6F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000000" w:themeColor="text1"/>
          <w:highlight w:val="none"/>
        </w:rPr>
      </w:pPr>
      <w:r>
        <w:rPr>
          <w:rFonts w:hint="eastAsia" w:ascii="宋体" w:hAnsi="宋体" w:cs="宋体"/>
          <w:color w:val="000000" w:themeColor="text1"/>
          <w:highlight w:val="none"/>
        </w:rPr>
        <w:t>2.★冻品类距离生产日期不超过30天。食材（不包含冻品类）使用有效期的，其剩余有效期不得少于标注有效期的75%</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（提供承诺函，格式自拟）（举例：保质期12个月的产品，送到学校的产品必须在生产后3个月内）。</w:t>
      </w:r>
    </w:p>
    <w:p w14:paraId="427EBB0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000000" w:themeColor="text1"/>
          <w:highlight w:val="none"/>
        </w:rPr>
      </w:pPr>
      <w:r>
        <w:rPr>
          <w:rFonts w:hint="eastAsia" w:ascii="宋体" w:hAnsi="宋体" w:cs="宋体"/>
          <w:color w:val="000000" w:themeColor="text1"/>
          <w:highlight w:val="none"/>
        </w:rPr>
        <w:t>3.所供的物品必须符合《中华人民共和国食品安全法》、《中华人民共和国食品安全法实施条例》、《学校食品安全与营养健康管理规定》(教育部第45号令)要求。</w:t>
      </w:r>
    </w:p>
    <w:p w14:paraId="7EB85DA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000000" w:themeColor="text1"/>
          <w:highlight w:val="none"/>
        </w:rPr>
      </w:pPr>
      <w:r>
        <w:rPr>
          <w:rFonts w:hint="eastAsia" w:ascii="宋体" w:hAnsi="宋体" w:cs="宋体"/>
          <w:color w:val="000000" w:themeColor="text1"/>
          <w:highlight w:val="none"/>
        </w:rPr>
        <w:t>4.供应商需承诺所供的物品必须符合国家有关标准，保证无异味、无霉烂变质，如不符合投标文件所描述的质量标准，必须退货并承担违约责任。</w:t>
      </w:r>
    </w:p>
    <w:p w14:paraId="51F136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000000" w:themeColor="text1"/>
          <w:highlight w:val="none"/>
        </w:rPr>
      </w:pPr>
      <w:r>
        <w:rPr>
          <w:rFonts w:hint="eastAsia" w:ascii="宋体" w:hAnsi="宋体" w:cs="宋体"/>
          <w:color w:val="000000" w:themeColor="text1"/>
          <w:highlight w:val="none"/>
        </w:rPr>
        <w:t>5.所供商品必须符合国家行业生产及经营标准，货真价实，均能提供相应批次的合格检验证明。</w:t>
      </w:r>
    </w:p>
    <w:p w14:paraId="6CBA337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000000" w:themeColor="text1"/>
          <w:highlight w:val="none"/>
        </w:rPr>
      </w:pPr>
      <w:r>
        <w:rPr>
          <w:rFonts w:hint="eastAsia" w:ascii="宋体" w:hAnsi="宋体" w:cs="宋体"/>
          <w:color w:val="000000" w:themeColor="text1"/>
          <w:highlight w:val="none"/>
        </w:rPr>
        <w:t>6.供应的货物必须各项技术指标完全符合国家有关质量检测、环保标准及产品出厂标准。</w:t>
      </w:r>
    </w:p>
    <w:p w14:paraId="42B6D1E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color w:val="000000" w:themeColor="text1"/>
          <w:highlight w:val="none"/>
        </w:rPr>
      </w:pPr>
      <w:r>
        <w:rPr>
          <w:rFonts w:hint="eastAsia" w:ascii="宋体" w:hAnsi="宋体" w:cs="宋体"/>
          <w:color w:val="000000" w:themeColor="text1"/>
          <w:highlight w:val="none"/>
        </w:rPr>
        <w:t>7.供应商必须负责中标货物的运输、质量检测等工作，所产生的费用由中标供应商负责。</w:t>
      </w:r>
    </w:p>
    <w:p w14:paraId="29978A2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themeColor="text1"/>
          <w:highlight w:val="none"/>
        </w:rPr>
      </w:pPr>
      <w:r>
        <w:rPr>
          <w:rFonts w:hint="eastAsia" w:ascii="宋体" w:hAnsi="宋体" w:cs="宋体"/>
          <w:color w:val="000000" w:themeColor="text1"/>
          <w:highlight w:val="none"/>
        </w:rPr>
        <w:t>8.物品具体需求量以实际供应前一天通知的为准，中标供应商方需按照采购人通知的采购量按时进行配送。</w:t>
      </w:r>
    </w:p>
    <w:p w14:paraId="0764461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themeColor="text1"/>
          <w:highlight w:val="none"/>
        </w:rPr>
      </w:pPr>
      <w:r>
        <w:rPr>
          <w:rFonts w:hint="eastAsia" w:ascii="宋体" w:hAnsi="宋体" w:cs="宋体"/>
          <w:color w:val="000000" w:themeColor="text1"/>
          <w:highlight w:val="none"/>
        </w:rPr>
        <w:t>9.供应商不得将中标项目转包、分包，否则采购人有权单方终止合同,由此产生的一切经济损失由中标供应商自行承担。</w:t>
      </w:r>
    </w:p>
    <w:p w14:paraId="7BEE186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themeColor="text1"/>
          <w:highlight w:val="none"/>
        </w:rPr>
      </w:pPr>
      <w:r>
        <w:rPr>
          <w:rFonts w:hint="eastAsia" w:ascii="宋体" w:hAnsi="宋体" w:cs="宋体"/>
          <w:color w:val="000000" w:themeColor="text1"/>
          <w:highlight w:val="none"/>
        </w:rPr>
        <w:t>10.由于采购人工作的特殊性，供应商应做好本单位工作人员的教育工作，遵守采购人各项规定。</w:t>
      </w:r>
    </w:p>
    <w:p w14:paraId="63E8D15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themeColor="text1"/>
          <w:highlight w:val="none"/>
        </w:rPr>
      </w:pPr>
      <w:r>
        <w:rPr>
          <w:rFonts w:hint="eastAsia" w:ascii="宋体" w:hAnsi="宋体" w:cs="宋体"/>
          <w:color w:val="000000" w:themeColor="text1"/>
          <w:highlight w:val="none"/>
        </w:rPr>
        <w:t>11.供应商除不可抗力，不得因其他任何理由延迟送货。采购人如遇特殊情况需推迟送货，应提前通知供应商。因供应商原因延误交货时间的（采购人要求推迟的除外），采购人有权自行采购，并由供应商承担由此产生的一切损失和费用。</w:t>
      </w:r>
    </w:p>
    <w:p w14:paraId="7D4F2EA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000000" w:themeColor="text1"/>
          <w:highlight w:val="none"/>
        </w:rPr>
      </w:pPr>
      <w:r>
        <w:rPr>
          <w:rFonts w:hint="eastAsia" w:ascii="宋体" w:hAnsi="宋体" w:cs="宋体"/>
          <w:color w:val="000000" w:themeColor="text1"/>
          <w:highlight w:val="none"/>
        </w:rPr>
        <w:t>12.供应商不得变更供应商品，应严格按招标要求（含商标、名称、产地、规格和重量等）供应，否则，采购人有权拒收。如因市场流通问题确实需要变更的，应书面向采购人申请，按采购人书面回复的意见执行。</w:t>
      </w:r>
    </w:p>
    <w:p w14:paraId="3DD2D7F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s="宋体"/>
          <w:color w:val="000000" w:themeColor="text1"/>
          <w:highlight w:val="none"/>
        </w:rPr>
        <w:t>13.如有国家政策要求采购其他食品物资的，以国家政策为准，中标供应商需无条件执行。</w:t>
      </w:r>
    </w:p>
    <w:p w14:paraId="4BE600A6">
      <w:pPr>
        <w:keepNext w:val="0"/>
        <w:keepLines w:val="0"/>
        <w:pageBreakBefore w:val="0"/>
        <w:widowControl w:val="0"/>
        <w:kinsoku/>
        <w:wordWrap/>
        <w:overflowPunct/>
        <w:topLinePunct w:val="0"/>
        <w:bidi w:val="0"/>
        <w:snapToGrid/>
        <w:spacing w:line="360" w:lineRule="auto"/>
        <w:rPr>
          <w:rFonts w:hint="eastAsia" w:ascii="宋体" w:hAnsi="宋体" w:eastAsia="宋体" w:cs="宋体"/>
          <w:b/>
          <w:bCs/>
          <w:color w:val="000000" w:themeColor="text1"/>
          <w:kern w:val="44"/>
          <w:sz w:val="21"/>
          <w:szCs w:val="21"/>
          <w:highlight w:val="none"/>
          <w:lang w:val="en-US" w:eastAsia="zh-CN"/>
        </w:rPr>
      </w:pPr>
      <w:r>
        <w:rPr>
          <w:rFonts w:hint="eastAsia" w:ascii="宋体" w:hAnsi="宋体" w:cs="宋体"/>
          <w:b/>
          <w:bCs/>
          <w:color w:val="000000" w:themeColor="text1"/>
          <w:kern w:val="44"/>
          <w:sz w:val="21"/>
          <w:szCs w:val="21"/>
          <w:highlight w:val="none"/>
          <w:lang w:val="en-US" w:eastAsia="zh-CN"/>
        </w:rPr>
        <w:t>三、</w:t>
      </w:r>
      <w:r>
        <w:rPr>
          <w:rFonts w:hint="eastAsia" w:ascii="宋体" w:hAnsi="宋体" w:eastAsia="宋体" w:cs="宋体"/>
          <w:b/>
          <w:bCs/>
          <w:color w:val="000000" w:themeColor="text1"/>
          <w:kern w:val="44"/>
          <w:sz w:val="21"/>
          <w:szCs w:val="21"/>
          <w:highlight w:val="none"/>
          <w:lang w:val="en-US" w:eastAsia="zh-CN"/>
        </w:rPr>
        <w:t>采购食品验收标准</w:t>
      </w:r>
    </w:p>
    <w:p w14:paraId="2EBE5F37">
      <w:pPr>
        <w:keepNext w:val="0"/>
        <w:keepLines w:val="0"/>
        <w:pageBreakBefore w:val="0"/>
        <w:widowControl w:val="0"/>
        <w:numPr>
          <w:ilvl w:val="0"/>
          <w:numId w:val="0"/>
        </w:numPr>
        <w:kinsoku/>
        <w:wordWrap/>
        <w:overflowPunct/>
        <w:topLinePunct w:val="0"/>
        <w:bidi w:val="0"/>
        <w:snapToGrid/>
        <w:spacing w:line="360" w:lineRule="auto"/>
        <w:ind w:left="0" w:leftChars="0" w:firstLine="315" w:firstLineChars="150"/>
        <w:rPr>
          <w:rFonts w:hint="eastAsia" w:ascii="宋体" w:hAnsi="宋体" w:cs="宋体"/>
          <w:b w:val="0"/>
          <w:bCs w:val="0"/>
          <w:color w:val="000000" w:themeColor="text1"/>
          <w:kern w:val="44"/>
          <w:sz w:val="21"/>
          <w:szCs w:val="21"/>
          <w:highlight w:val="none"/>
          <w:lang w:val="en-US" w:eastAsia="zh-CN"/>
        </w:rPr>
      </w:pPr>
      <w:r>
        <w:rPr>
          <w:rFonts w:hint="eastAsia" w:ascii="宋体" w:hAnsi="宋体" w:cs="宋体"/>
          <w:b w:val="0"/>
          <w:bCs w:val="0"/>
          <w:color w:val="000000" w:themeColor="text1"/>
          <w:kern w:val="44"/>
          <w:sz w:val="21"/>
          <w:szCs w:val="21"/>
          <w:highlight w:val="none"/>
          <w:lang w:val="en-US" w:eastAsia="zh-CN"/>
        </w:rPr>
        <w:t>1.中标供应商必须办理针对本项目的《食品安全责任保险》。</w:t>
      </w:r>
    </w:p>
    <w:p w14:paraId="02EE6180">
      <w:pPr>
        <w:keepNext w:val="0"/>
        <w:keepLines w:val="0"/>
        <w:pageBreakBefore w:val="0"/>
        <w:widowControl w:val="0"/>
        <w:numPr>
          <w:ilvl w:val="0"/>
          <w:numId w:val="0"/>
        </w:numPr>
        <w:kinsoku/>
        <w:wordWrap/>
        <w:overflowPunct/>
        <w:topLinePunct w:val="0"/>
        <w:bidi w:val="0"/>
        <w:snapToGrid/>
        <w:spacing w:line="360" w:lineRule="auto"/>
        <w:ind w:left="0" w:leftChars="0" w:firstLine="315" w:firstLineChars="150"/>
        <w:rPr>
          <w:rFonts w:hint="eastAsia" w:ascii="宋体" w:hAnsi="宋体" w:cs="宋体"/>
          <w:b w:val="0"/>
          <w:bCs w:val="0"/>
          <w:color w:val="000000" w:themeColor="text1"/>
          <w:kern w:val="44"/>
          <w:sz w:val="21"/>
          <w:szCs w:val="21"/>
          <w:highlight w:val="none"/>
          <w:lang w:val="en-US" w:eastAsia="zh-CN"/>
        </w:rPr>
      </w:pPr>
      <w:r>
        <w:rPr>
          <w:rFonts w:hint="eastAsia" w:ascii="宋体" w:hAnsi="宋体" w:cs="宋体"/>
          <w:b w:val="0"/>
          <w:bCs w:val="0"/>
          <w:color w:val="000000" w:themeColor="text1"/>
          <w:kern w:val="44"/>
          <w:sz w:val="21"/>
          <w:szCs w:val="21"/>
          <w:highlight w:val="none"/>
          <w:lang w:val="en-US" w:eastAsia="zh-CN"/>
        </w:rPr>
        <w:t>2.符合《中华人民共和国食品安全法》、《中华人民共和国食品安全法实施条例》、《学校食品安全与营养健康管理规定》(教育部第45号令)要求。</w:t>
      </w:r>
    </w:p>
    <w:p w14:paraId="0DDC27CC">
      <w:pPr>
        <w:keepNext w:val="0"/>
        <w:keepLines w:val="0"/>
        <w:pageBreakBefore w:val="0"/>
        <w:widowControl w:val="0"/>
        <w:numPr>
          <w:ilvl w:val="0"/>
          <w:numId w:val="0"/>
        </w:numPr>
        <w:kinsoku/>
        <w:wordWrap/>
        <w:overflowPunct/>
        <w:topLinePunct w:val="0"/>
        <w:bidi w:val="0"/>
        <w:snapToGrid/>
        <w:spacing w:line="360" w:lineRule="auto"/>
        <w:ind w:left="0" w:leftChars="0" w:firstLine="315" w:firstLineChars="150"/>
        <w:rPr>
          <w:rFonts w:hint="eastAsia" w:ascii="宋体" w:hAnsi="宋体" w:cs="宋体"/>
          <w:b w:val="0"/>
          <w:bCs w:val="0"/>
          <w:color w:val="000000" w:themeColor="text1"/>
          <w:kern w:val="44"/>
          <w:sz w:val="21"/>
          <w:szCs w:val="21"/>
          <w:highlight w:val="none"/>
          <w:lang w:val="en-US" w:eastAsia="zh-CN"/>
        </w:rPr>
      </w:pPr>
      <w:r>
        <w:rPr>
          <w:rFonts w:hint="eastAsia" w:ascii="宋体" w:hAnsi="宋体" w:cs="宋体"/>
          <w:b w:val="0"/>
          <w:bCs w:val="0"/>
          <w:color w:val="000000" w:themeColor="text1"/>
          <w:kern w:val="44"/>
          <w:sz w:val="21"/>
          <w:szCs w:val="21"/>
          <w:highlight w:val="none"/>
          <w:lang w:val="en-US" w:eastAsia="zh-CN"/>
        </w:rPr>
        <w:t>3.符合中华人民共和国国家和履约地相关安全质量标准、行业规范标准、环保标准等。</w:t>
      </w:r>
    </w:p>
    <w:p w14:paraId="0B694802">
      <w:pPr>
        <w:keepNext w:val="0"/>
        <w:keepLines w:val="0"/>
        <w:pageBreakBefore w:val="0"/>
        <w:widowControl w:val="0"/>
        <w:numPr>
          <w:ilvl w:val="0"/>
          <w:numId w:val="0"/>
        </w:numPr>
        <w:kinsoku/>
        <w:wordWrap/>
        <w:overflowPunct/>
        <w:topLinePunct w:val="0"/>
        <w:bidi w:val="0"/>
        <w:snapToGrid/>
        <w:spacing w:line="360" w:lineRule="auto"/>
        <w:ind w:left="0" w:leftChars="0" w:firstLine="315" w:firstLineChars="150"/>
        <w:rPr>
          <w:rFonts w:hint="eastAsia" w:ascii="宋体" w:hAnsi="宋体" w:cs="宋体"/>
          <w:b w:val="0"/>
          <w:bCs w:val="0"/>
          <w:color w:val="000000" w:themeColor="text1"/>
          <w:kern w:val="44"/>
          <w:sz w:val="21"/>
          <w:szCs w:val="21"/>
          <w:highlight w:val="none"/>
          <w:lang w:val="en-US" w:eastAsia="zh-CN"/>
        </w:rPr>
      </w:pPr>
      <w:r>
        <w:rPr>
          <w:rFonts w:hint="eastAsia" w:ascii="宋体" w:hAnsi="宋体" w:cs="宋体"/>
          <w:b w:val="0"/>
          <w:bCs w:val="0"/>
          <w:color w:val="000000" w:themeColor="text1"/>
          <w:kern w:val="44"/>
          <w:sz w:val="21"/>
          <w:szCs w:val="21"/>
          <w:highlight w:val="none"/>
          <w:lang w:val="en-US" w:eastAsia="zh-CN"/>
        </w:rPr>
        <w:t>4.符合招标文件和投标承诺中各方共同认可的各项要求。</w:t>
      </w:r>
    </w:p>
    <w:p w14:paraId="411EBC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15" w:firstLineChars="150"/>
        <w:textAlignment w:val="auto"/>
        <w:outlineLvl w:val="9"/>
        <w:rPr>
          <w:rFonts w:hint="eastAsia" w:ascii="宋体" w:hAnsi="宋体" w:eastAsia="宋体" w:cs="宋体"/>
          <w:color w:val="000000" w:themeColor="text1"/>
          <w:sz w:val="21"/>
          <w:szCs w:val="21"/>
          <w:highlight w:val="none"/>
        </w:rPr>
      </w:pPr>
      <w:r>
        <w:rPr>
          <w:rFonts w:hint="eastAsia" w:ascii="宋体" w:hAnsi="宋体" w:cs="宋体"/>
          <w:b w:val="0"/>
          <w:bCs w:val="0"/>
          <w:color w:val="000000" w:themeColor="text1"/>
          <w:kern w:val="44"/>
          <w:sz w:val="21"/>
          <w:szCs w:val="21"/>
          <w:highlight w:val="none"/>
          <w:lang w:val="en-US" w:eastAsia="zh-CN"/>
        </w:rPr>
        <w:t>5.所供食品必须符合国家行业生产及经营标准，货真价实，并能提供相应批次的检验合格证明（如农药残留检测报告、动物检疫证、产品检验合格证等凭据）。</w:t>
      </w:r>
    </w:p>
    <w:p w14:paraId="5FCF821C">
      <w:pPr>
        <w:pStyle w:val="192"/>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9"/>
        <w:rPr>
          <w:rFonts w:ascii="宋体" w:hAnsi="宋体"/>
          <w:b/>
          <w:color w:val="000000" w:themeColor="text1"/>
          <w:szCs w:val="21"/>
          <w:highlight w:val="none"/>
        </w:rPr>
      </w:pPr>
      <w:r>
        <w:rPr>
          <w:rFonts w:hint="eastAsia" w:ascii="宋体" w:hAnsi="宋体"/>
          <w:b/>
          <w:color w:val="000000" w:themeColor="text1"/>
          <w:szCs w:val="21"/>
          <w:highlight w:val="none"/>
          <w:lang w:val="en-US" w:eastAsia="zh-CN"/>
        </w:rPr>
        <w:t>四</w:t>
      </w:r>
      <w:r>
        <w:rPr>
          <w:rFonts w:hint="eastAsia" w:ascii="宋体" w:hAnsi="宋体"/>
          <w:b/>
          <w:color w:val="000000" w:themeColor="text1"/>
          <w:szCs w:val="21"/>
          <w:highlight w:val="none"/>
        </w:rPr>
        <w:t>、</w:t>
      </w:r>
      <w:bookmarkEnd w:id="114"/>
      <w:r>
        <w:rPr>
          <w:rFonts w:hint="eastAsia" w:ascii="宋体" w:hAnsi="宋体"/>
          <w:b/>
          <w:color w:val="000000" w:themeColor="text1"/>
          <w:szCs w:val="21"/>
          <w:highlight w:val="none"/>
        </w:rPr>
        <w:t>食品配送要求</w:t>
      </w:r>
    </w:p>
    <w:p w14:paraId="6D3F7E4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b w:val="0"/>
          <w:bCs w:val="0"/>
          <w:color w:val="000000" w:themeColor="text1"/>
          <w:highlight w:val="none"/>
        </w:rPr>
      </w:pPr>
      <w:r>
        <w:rPr>
          <w:rFonts w:hint="eastAsia" w:ascii="宋体" w:hAnsi="宋体"/>
          <w:b w:val="0"/>
          <w:bCs w:val="0"/>
          <w:color w:val="000000" w:themeColor="text1"/>
          <w:highlight w:val="none"/>
        </w:rPr>
        <w:t>1. 包装与标志要求</w:t>
      </w:r>
    </w:p>
    <w:p w14:paraId="71C82CF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b w:val="0"/>
          <w:bCs w:val="0"/>
          <w:color w:val="000000" w:themeColor="text1"/>
          <w:highlight w:val="none"/>
        </w:rPr>
      </w:pPr>
      <w:r>
        <w:rPr>
          <w:rFonts w:hint="eastAsia" w:ascii="宋体" w:hAnsi="宋体"/>
          <w:b w:val="0"/>
          <w:bCs w:val="0"/>
          <w:color w:val="000000" w:themeColor="text1"/>
          <w:highlight w:val="none"/>
        </w:rPr>
        <w:t>1.1 包装：容器（框、箱、袋）要求清洁、干燥、牢固、透气，无污染、无异味、无霉变现象。</w:t>
      </w:r>
    </w:p>
    <w:p w14:paraId="44FA5C8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b w:val="0"/>
          <w:bCs w:val="0"/>
          <w:color w:val="000000" w:themeColor="text1"/>
          <w:highlight w:val="none"/>
        </w:rPr>
      </w:pPr>
      <w:r>
        <w:rPr>
          <w:rFonts w:hint="eastAsia" w:ascii="宋体" w:hAnsi="宋体"/>
          <w:b w:val="0"/>
          <w:bCs w:val="0"/>
          <w:color w:val="000000" w:themeColor="text1"/>
          <w:highlight w:val="none"/>
        </w:rPr>
        <w:t>1.2 标志：每件食品包装必须按《农产品包装和标识管理办法》贴标签，并标明产地、品种、净含量、生产单位、地址和采收日期等。</w:t>
      </w:r>
    </w:p>
    <w:p w14:paraId="6EB0A25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b w:val="0"/>
          <w:bCs w:val="0"/>
          <w:color w:val="000000" w:themeColor="text1"/>
          <w:highlight w:val="none"/>
        </w:rPr>
      </w:pPr>
      <w:r>
        <w:rPr>
          <w:rFonts w:hint="eastAsia" w:ascii="宋体" w:hAnsi="宋体"/>
          <w:b w:val="0"/>
          <w:bCs w:val="0"/>
          <w:color w:val="000000" w:themeColor="text1"/>
          <w:highlight w:val="none"/>
        </w:rPr>
        <w:t>2. 食品运输要求</w:t>
      </w:r>
    </w:p>
    <w:p w14:paraId="39E842C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olor w:val="000000" w:themeColor="text1"/>
          <w:highlight w:val="none"/>
        </w:rPr>
      </w:pPr>
      <w:r>
        <w:rPr>
          <w:rFonts w:hint="eastAsia" w:ascii="宋体" w:hAnsi="宋体"/>
          <w:b w:val="0"/>
          <w:bCs w:val="0"/>
          <w:color w:val="000000" w:themeColor="text1"/>
          <w:highlight w:val="none"/>
        </w:rPr>
        <w:t>2.1 运输工具应清洁卫生无污染，并且要保持清洁和定期消毒。</w:t>
      </w:r>
    </w:p>
    <w:p w14:paraId="5B2D7284">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宋体" w:hAnsi="宋体" w:cs="宋体"/>
          <w:bCs/>
          <w:color w:val="000000" w:themeColor="text1"/>
          <w:sz w:val="21"/>
          <w:szCs w:val="21"/>
          <w:highlight w:val="none"/>
        </w:rPr>
      </w:pPr>
      <w:r>
        <w:rPr>
          <w:rFonts w:hint="eastAsia" w:ascii="宋体" w:hAnsi="宋体"/>
          <w:b/>
          <w:color w:val="000000" w:themeColor="text1"/>
          <w:highlight w:val="none"/>
          <w:lang w:val="en-US" w:eastAsia="zh-CN"/>
        </w:rPr>
        <w:t>五</w:t>
      </w:r>
      <w:r>
        <w:rPr>
          <w:rFonts w:hint="eastAsia" w:ascii="宋体" w:hAnsi="宋体"/>
          <w:b/>
          <w:color w:val="000000" w:themeColor="text1"/>
          <w:highlight w:val="none"/>
        </w:rPr>
        <w:t>、具体项目要求：</w:t>
      </w:r>
    </w:p>
    <w:p w14:paraId="0A082C9A">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cs="宋体"/>
          <w:bCs/>
          <w:color w:val="000000" w:themeColor="text1"/>
          <w:sz w:val="21"/>
          <w:szCs w:val="21"/>
          <w:highlight w:val="none"/>
        </w:rPr>
      </w:pPr>
      <w:r>
        <w:rPr>
          <w:rFonts w:hint="eastAsia" w:ascii="宋体" w:hAnsi="宋体" w:cs="宋体"/>
          <w:b/>
          <w:bCs w:val="0"/>
          <w:color w:val="000000" w:themeColor="text1"/>
          <w:sz w:val="21"/>
          <w:szCs w:val="21"/>
          <w:highlight w:val="none"/>
        </w:rPr>
        <w:t>鲜肉、家禽、鱼类基本要求</w:t>
      </w:r>
    </w:p>
    <w:p w14:paraId="3F01D29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a）所供货物应保持较好的外观和质量等级，严格遵守《动物检疫法》和《食物卫生法》等相关规定。符合国家食品部门的有关标准，保证无异味、无霉烂变质，）每批鲜猪肉、猪骨、牛肉等鲜肉是阳江市或周边城市政府指定的肉联厂发出的放心肉并提供放心肉证，并注明保鲜期，供货时须提交肉联厂的加工销售出仓单及当批次动物检疫合格证明和肉品品质检验合格证复印件，新鲜肉确保每日新鲜，冷链配送，且符合市场监督管理局的索票索据要求。食用农产品的指标。应提供食品检验合格证明，供应商对每批次食用农产品开展快检。</w:t>
      </w:r>
    </w:p>
    <w:p w14:paraId="737B6728">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b）鲜肉[边猪（白条猪）]净重35KG以上，去头、去蹄、去板油、去内脏。</w:t>
      </w:r>
    </w:p>
    <w:p w14:paraId="3E270C41">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c）鸡、鹅、鸭需去毛、去内脏。</w:t>
      </w:r>
    </w:p>
    <w:p w14:paraId="5E565A56">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d）所有货物规格符合采购人提交的日采购计划中明确的具体需求，所有的肉类产品不得有注水现象。</w:t>
      </w:r>
    </w:p>
    <w:p w14:paraId="1C136377">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e）不得供应冷冻禽类、猪肉类食品。</w:t>
      </w:r>
    </w:p>
    <w:p w14:paraId="087F1D3B">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f）肉联厂的加工销售出仓单中显示生猪重量不得低于100kg。</w:t>
      </w:r>
    </w:p>
    <w:p w14:paraId="636412E0">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e）所有肉类需当天屠宰，使用冷链车辆（标准）配送。</w:t>
      </w:r>
    </w:p>
    <w:p w14:paraId="4BC00F14">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质量描述</w:t>
      </w:r>
    </w:p>
    <w:p w14:paraId="3D5D89CE">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五花肉：肥瘦比例为3：7（三线肉），肉呈均匀的红色，有光泽，肉质紧致富有弹性，有坚实感，用手指按压凹陷后会立即恢复；肉的外表及切面微湿润,不粘手，脂肪洁白，肉汁透明。</w:t>
      </w:r>
    </w:p>
    <w:p w14:paraId="52857B74">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上肉：肉呈均匀的红色，有光泽、肉质紧密，有坚实感；肉的外表及切面湿润，不粘手，脂肪洁白无霉点。</w:t>
      </w:r>
    </w:p>
    <w:p w14:paraId="53825BAF">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牛肉：不得注水，肌肉呈均匀的红色，有光泽，脂肪呈白色或微黄色，肌肉外表微干或风干膜，或外表湿润，但都不粘手，良质牛肉的肌肉结构紧密，有坚实感,用手指按乐凹陷后会立即复原；肌纤维韧性强。</w:t>
      </w:r>
    </w:p>
    <w:p w14:paraId="03C8BBBB">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瘦肉：脂肪含量低于5%。肉呈均匀的红色，有光泽，肉质密，有坚实感；肉的外表及切面微湿润，不粘手。</w:t>
      </w:r>
    </w:p>
    <w:p w14:paraId="6B093F9C">
      <w:pPr>
        <w:snapToGrid w:val="0"/>
        <w:spacing w:line="360" w:lineRule="auto"/>
        <w:ind w:firstLine="422" w:firstLineChars="200"/>
        <w:rPr>
          <w:rFonts w:hint="eastAsia" w:ascii="宋体" w:hAnsi="宋体" w:eastAsia="宋体" w:cs="宋体"/>
          <w:bCs/>
          <w:color w:val="000000" w:themeColor="text1"/>
          <w:sz w:val="21"/>
          <w:szCs w:val="21"/>
          <w:highlight w:val="none"/>
          <w:lang w:val="en-US" w:eastAsia="zh-CN"/>
        </w:rPr>
      </w:pPr>
      <w:r>
        <w:rPr>
          <w:rFonts w:hint="eastAsia" w:ascii="宋体" w:hAnsi="宋体" w:cs="宋体"/>
          <w:b/>
          <w:bCs w:val="0"/>
          <w:color w:val="000000" w:themeColor="text1"/>
          <w:sz w:val="21"/>
          <w:szCs w:val="21"/>
          <w:highlight w:val="none"/>
        </w:rPr>
        <w:t>水产海鲜类</w:t>
      </w:r>
      <w:r>
        <w:rPr>
          <w:rFonts w:hint="eastAsia" w:ascii="宋体" w:hAnsi="宋体" w:cs="宋体"/>
          <w:b/>
          <w:bCs w:val="0"/>
          <w:color w:val="000000" w:themeColor="text1"/>
          <w:sz w:val="21"/>
          <w:szCs w:val="21"/>
          <w:highlight w:val="none"/>
          <w:lang w:val="en-US" w:eastAsia="zh-CN"/>
        </w:rPr>
        <w:t>要求</w:t>
      </w:r>
    </w:p>
    <w:p w14:paraId="01F53205">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（1）海鲜、河鲜类必须鲜活，身体饱满结实，无腐烂异味，肉质紧密有弹性，来源可靠放心，无毒，无害，无污染（利用率不低于95%）。</w:t>
      </w:r>
    </w:p>
    <w:p w14:paraId="0BC1184F">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（2）新鲜水产品的具体要求：要体态完整，体色正常，捞离水后，挣扎力强。</w:t>
      </w:r>
    </w:p>
    <w:p w14:paraId="4F1AF923">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3）冷冻鱼类要求鱼眼睛清亮，角膜透明，鳞片上覆盖有冻结的透明黏液层，皮肤天然色泽明显。鱼体完整无伤残，带鳞鱼应体表鳞片完整无损。去鳞鱼不应有残鳞片。另外鱼体富有弹性，手指轻按鱼体后，手指凹陷处可马上恢复。鱼应无异味有较温和的鱼腥味。</w:t>
      </w:r>
    </w:p>
    <w:p w14:paraId="31CE381E">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 xml:space="preserve">（4）虾的头胸甲与躯干连接紧密，无断头现象。虾身清洁无污染无异味，虾眼突起，虾身较挺，肉质坚实；虾壳发亮、发硬，呈青绿色或青白色。基围虾必须为活虾。  </w:t>
      </w:r>
    </w:p>
    <w:p w14:paraId="766C63CB">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（5）贝壳类要求肉质新鲜，无臭味，两贝壳相碰发出实响，且响声均匀，在静水中会伸出触角；表面清洁完整，无寄生物，外观完美，有光泽。</w:t>
      </w:r>
    </w:p>
    <w:p w14:paraId="61A77778">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（6）水产品须出具贮存地的出入库检疫证明。</w:t>
      </w:r>
    </w:p>
    <w:p w14:paraId="2B595058">
      <w:pPr>
        <w:snapToGrid w:val="0"/>
        <w:spacing w:line="360" w:lineRule="auto"/>
        <w:ind w:firstLine="422" w:firstLineChars="200"/>
        <w:rPr>
          <w:rFonts w:hint="eastAsia" w:ascii="宋体" w:hAnsi="宋体" w:cs="宋体"/>
          <w:b/>
          <w:bCs w:val="0"/>
          <w:color w:val="000000" w:themeColor="text1"/>
          <w:sz w:val="21"/>
          <w:szCs w:val="21"/>
          <w:highlight w:val="none"/>
        </w:rPr>
      </w:pPr>
      <w:r>
        <w:rPr>
          <w:rFonts w:hint="eastAsia" w:ascii="宋体" w:hAnsi="宋体" w:cs="宋体"/>
          <w:b/>
          <w:bCs w:val="0"/>
          <w:color w:val="000000" w:themeColor="text1"/>
          <w:sz w:val="21"/>
          <w:szCs w:val="21"/>
          <w:highlight w:val="none"/>
        </w:rPr>
        <w:t>蔬菜类要求</w:t>
      </w:r>
    </w:p>
    <w:p w14:paraId="787A7AB4">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（一）所有蔬菜瓜果食品质量要求如下；</w:t>
      </w:r>
    </w:p>
    <w:p w14:paraId="3668E786">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1）所有蔬菜瓜果均来自蔬菜生产基地。</w:t>
      </w:r>
    </w:p>
    <w:p w14:paraId="31E9A9F2">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2）所有蔬菜瓜果必须符合卫生质量指标，须提供农药残留检测合格的报告。</w:t>
      </w:r>
    </w:p>
    <w:p w14:paraId="420BDD36">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3）所有蔬菜瓜果在交付采购人前必须经过前期处理，可食用率达到95%以上，具体以采购人验收为准。</w:t>
      </w:r>
    </w:p>
    <w:p w14:paraId="2EE40117">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4）中标供应商使用速测设备检验藏菜农药含量，如含量超标要求中标供应商无条件退换，同时采购人有权与中标供应商终止合同。中标供应商检测的同时，要从每批次每种食材中随机抽取一份封存并做好相关的标识记录，并要求中标供应商予以确认。该封存食物封存时间应不少于48小时，以备核查。</w:t>
      </w:r>
    </w:p>
    <w:p w14:paraId="623B6591">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5）对食品的品质要求，必须符合国家，食品部门的有关标准和规格要求。</w:t>
      </w:r>
    </w:p>
    <w:p w14:paraId="671EC654">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1.瓜果蔬菜</w:t>
      </w:r>
    </w:p>
    <w:p w14:paraId="28EE242B">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（1）中标供应商必须保证所供应的蔬菜符合卫生质量标准，同时承担因所供蔬菜问题引起的一切事故后果。卫生质量指标，应符合我国无公害蔬菜的卫生指标规定。</w:t>
      </w:r>
    </w:p>
    <w:tbl>
      <w:tblPr>
        <w:tblStyle w:val="46"/>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57"/>
        <w:gridCol w:w="6207"/>
      </w:tblGrid>
      <w:tr w14:paraId="2BAC16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13C3461">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项目</w:t>
            </w:r>
          </w:p>
        </w:tc>
        <w:tc>
          <w:tcPr>
            <w:tcW w:w="620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AA28B98">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指标（mg/kg）</w:t>
            </w:r>
          </w:p>
        </w:tc>
      </w:tr>
      <w:tr w14:paraId="0B346F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2DE566">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甲胺磷</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19D56897">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不得检出</w:t>
            </w:r>
          </w:p>
        </w:tc>
      </w:tr>
      <w:tr w14:paraId="256DF1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1319CE3">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甲拌磷</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308C27C4">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不得检出</w:t>
            </w:r>
          </w:p>
        </w:tc>
      </w:tr>
      <w:tr w14:paraId="45A4AD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84C434">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氧化乐果</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05AC59E4">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不得检出</w:t>
            </w:r>
          </w:p>
        </w:tc>
      </w:tr>
      <w:tr w14:paraId="736A5A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FF3C0A">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甲基对硫磷</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4C9E1082">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不得检出</w:t>
            </w:r>
          </w:p>
        </w:tc>
      </w:tr>
      <w:tr w14:paraId="7E2292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FAC42B">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呋喃丹</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72A115C7">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不得检出</w:t>
            </w:r>
          </w:p>
        </w:tc>
      </w:tr>
      <w:tr w14:paraId="3955BA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78D6F4B">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百菌清</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41706D91">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≤1.0</w:t>
            </w:r>
          </w:p>
        </w:tc>
      </w:tr>
      <w:tr w14:paraId="4F7227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42D386">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多菌灵</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7F87F90A">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≤0.5</w:t>
            </w:r>
          </w:p>
        </w:tc>
      </w:tr>
      <w:tr w14:paraId="6CEA6F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0144712">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汞（以Hg计）</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4026514D">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≤0.01</w:t>
            </w:r>
          </w:p>
        </w:tc>
      </w:tr>
      <w:tr w14:paraId="000AA0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2ED2672">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铅（以Pb计）</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0DDF0AA5">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≤0.2</w:t>
            </w:r>
          </w:p>
        </w:tc>
      </w:tr>
      <w:tr w14:paraId="2CD7F9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21C0DFC">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砷（以As计）</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78FE1E82">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≤0.5</w:t>
            </w:r>
          </w:p>
        </w:tc>
      </w:tr>
      <w:tr w14:paraId="7DD577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4813A55">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氟（以F计）</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4A7B05C2">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≤0.5</w:t>
            </w:r>
          </w:p>
        </w:tc>
      </w:tr>
      <w:tr w14:paraId="364FDB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E76AB6">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硝酸盐（以NaNO3计）</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6DE09167">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瓜果类≤600；叶菜根茎类≤1200</w:t>
            </w:r>
          </w:p>
        </w:tc>
      </w:tr>
      <w:tr w14:paraId="249C6A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92D6DB">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亚硝酸盐（以NaNO2计）</w:t>
            </w:r>
          </w:p>
        </w:tc>
        <w:tc>
          <w:tcPr>
            <w:tcW w:w="6207" w:type="dxa"/>
            <w:tcBorders>
              <w:top w:val="nil"/>
              <w:left w:val="nil"/>
              <w:bottom w:val="single" w:color="000000" w:sz="4" w:space="0"/>
              <w:right w:val="single" w:color="000000" w:sz="4" w:space="0"/>
            </w:tcBorders>
            <w:tcMar>
              <w:top w:w="0" w:type="dxa"/>
              <w:left w:w="0" w:type="dxa"/>
              <w:bottom w:w="0" w:type="dxa"/>
              <w:right w:w="0" w:type="dxa"/>
            </w:tcMar>
            <w:vAlign w:val="top"/>
          </w:tcPr>
          <w:p w14:paraId="283EA901">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≤4</w:t>
            </w:r>
          </w:p>
        </w:tc>
      </w:tr>
    </w:tbl>
    <w:p w14:paraId="7B807DF6">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（2）具体感观要求：</w:t>
      </w:r>
    </w:p>
    <w:p w14:paraId="3565CD4E">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从蔬菜色泽看，各种蔬菜都应具有本品种固有的颜色，大多数有发亮的光泽，以此显示蔬菜的成熟度及鲜嫩程度；</w:t>
      </w:r>
    </w:p>
    <w:p w14:paraId="588C3241">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从蔬菜气味看，多数蔬菜具有清馨、甘辛香、甜酸香等气味，可凭嗅觉识别不同品种的质量，不允许有腐烂变质的亚硝酸盐味和其他异常气味；</w:t>
      </w:r>
    </w:p>
    <w:p w14:paraId="73921A0C">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从蔬菜滋味看，因品种不同而各异，多数蔬菜滋味甘淡、甜酸、清爽鲜美，少数具有辛酸、苦涩等特殊风味以刺激食欲，如失去本品种原有的滋味即为异常；</w:t>
      </w:r>
    </w:p>
    <w:p w14:paraId="3DEF56EC">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从蔬菜形态看，应尽量避免由于客观因素而造成的各种非正常、不新鲜的蔬菜，例如萎蔫、枯塌、损伤、病变、虫害侵蚀等引起的形态异常等。</w:t>
      </w:r>
    </w:p>
    <w:p w14:paraId="2F7466C6">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叶菜类：</w:t>
      </w:r>
    </w:p>
    <w:p w14:paraId="5DD77518">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属同一品种规格，肉质鲜嫩形态好，色泽正常，茎基部削平，无枯黄叶、病叶、泥土、明显机械伤和病虫害伤，无烧心焦边、腐烂等现象，无抽苔（菜心除外），无畸形、异味，结球叶菜要结球适度，花椰菜应新鲜洁白，不带叶麸，无畸形花。</w:t>
      </w:r>
    </w:p>
    <w:p w14:paraId="6AC579A4">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茄果类：</w:t>
      </w:r>
    </w:p>
    <w:p w14:paraId="2814286D">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属同一品种规格，果实整洁，成熟度适中，番茄花蒂不明显，无裂果及空洞现象，茄果不能有裂蒂及果皮变硬现象，无腐烂、畸形、异味，无明显机械伤。</w:t>
      </w:r>
    </w:p>
    <w:p w14:paraId="6DFE4CC9">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瓜果类：</w:t>
      </w:r>
    </w:p>
    <w:p w14:paraId="1A350879">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属同一品种规格，形状、色泽一致，瓜条均匀，无疤点，无断裂，无腐烂、畸形、异味、明显机械伤，不带泥土。</w:t>
      </w:r>
    </w:p>
    <w:p w14:paraId="25EB54F4">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根菜类：</w:t>
      </w:r>
    </w:p>
    <w:p w14:paraId="5115F30B">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属同一品种规格，皮细光滑，大小均匀，肉质脆嫩致密新鲜，无腐烂、畸形、裂痕、糠心、异味，不带泥沙，不带茎叶和须根。</w:t>
      </w:r>
    </w:p>
    <w:p w14:paraId="5F974676">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薯芋类：</w:t>
      </w:r>
    </w:p>
    <w:p w14:paraId="54450D55">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属同一品种规格，色泽一致，不带泥沙，不带须根、茎叶，不干瘪，无腐烂、畸形、异味、明显机械伤、病虫害斑，马铃薯无发芽，皮不变绿。</w:t>
      </w:r>
    </w:p>
    <w:p w14:paraId="64206B98">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葱蒜类：</w:t>
      </w:r>
    </w:p>
    <w:p w14:paraId="165227A7">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属同一品种规格，允许葱、青蒜类保留干净须根，葱、蒜、韭菜不带老叶，蒜头、洋葱去根去枯叶，可食部分新鲜幼嫩，无腐烂、畸形、异味。</w:t>
      </w:r>
    </w:p>
    <w:p w14:paraId="7922576E">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豆类：</w:t>
      </w:r>
    </w:p>
    <w:p w14:paraId="3B7111D4">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属同一品种规格，形态完整，成熟度适中，无腐烂、畸形、异味，豆荚类新鲜、幼嫩、均匀，豆仁类籽粒饱满，较均匀，无发芽，不带泥土杂质。</w:t>
      </w:r>
    </w:p>
    <w:p w14:paraId="3BF8C9BD">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水生菜类：</w:t>
      </w:r>
    </w:p>
    <w:p w14:paraId="571EE978">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属同一品种规格，肉质嫩，成熟度适中，无腐烂、畸形、异味，无明显机械伤，不带泥土和杂质，不干瘪，茭白不黑心。</w:t>
      </w:r>
    </w:p>
    <w:p w14:paraId="14D9812F">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食用菌类：</w:t>
      </w:r>
    </w:p>
    <w:p w14:paraId="0E219D11">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属同一品种规格，蘑菇、草菇菌盖圆整略展开，柄粗壮，菌膜紧，菇柄切削平整，不浸泡水（蘑菇允许浸盐水保鲜），新鲜，无杂质，无畸形菇，无腐烂、异味。</w:t>
      </w:r>
    </w:p>
    <w:p w14:paraId="4CA74DD8">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芽苗类：</w:t>
      </w:r>
    </w:p>
    <w:p w14:paraId="4993E4EA">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芽苗幼嫩，不带豆壳杂质，新鲜，不浸水，无腐烂、异味。</w:t>
      </w:r>
    </w:p>
    <w:p w14:paraId="68F01C98">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（3）食品供应链要求：所有食品的来源必须清晰。蔬菜来源应当为受到地方政府部门监管的自有基地、商品菜基地或蔬菜专业流通市场。</w:t>
      </w:r>
    </w:p>
    <w:p w14:paraId="4EED375B">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2.豆制品：</w:t>
      </w:r>
    </w:p>
    <w:p w14:paraId="2DF443CA">
      <w:pPr>
        <w:snapToGrid w:val="0"/>
        <w:spacing w:line="360" w:lineRule="auto"/>
        <w:ind w:firstLine="420" w:firstLineChars="200"/>
        <w:rPr>
          <w:rFonts w:hint="eastAsia" w:ascii="宋体" w:hAnsi="宋体" w:cs="宋体"/>
          <w:bCs/>
          <w:color w:val="000000" w:themeColor="text1"/>
          <w:sz w:val="21"/>
          <w:szCs w:val="21"/>
          <w:highlight w:val="none"/>
        </w:rPr>
      </w:pPr>
      <w:r>
        <w:rPr>
          <w:rFonts w:hint="eastAsia" w:ascii="宋体" w:hAnsi="宋体" w:cs="宋体"/>
          <w:bCs/>
          <w:color w:val="000000" w:themeColor="text1"/>
          <w:sz w:val="21"/>
          <w:szCs w:val="21"/>
          <w:highlight w:val="none"/>
        </w:rPr>
        <w:t>（1）豆腐：腐呈均匀的乳白色或淡黄色，稍有光泽，块形完整，软硬适度，富有一定的弹性，质地细嫩，结构均匀，无杂质，具有豆腐特有的香味，取样品品尝时口感细腻鲜嫩，味道纯正清香。</w:t>
      </w:r>
    </w:p>
    <w:p w14:paraId="1DFB478D">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rPr>
        <w:t>（2）油炸豆卜：金黄色或棕黄色，色彩鲜艳而有光泽，块形整齐，有弹性，皮脆，内质呈蜂窝状，不粘不散，无杂质,具有豆腐泡特有的清香风味，无其他任何不良气味，取样品细细咀嚼，外皮酥脆适</w:t>
      </w:r>
      <w:r>
        <w:rPr>
          <w:rFonts w:hint="eastAsia" w:ascii="宋体" w:hAnsi="宋体" w:cs="宋体"/>
          <w:bCs/>
          <w:color w:val="000000" w:themeColor="text1"/>
          <w:sz w:val="21"/>
          <w:szCs w:val="21"/>
          <w:highlight w:val="none"/>
          <w:lang w:eastAsia="zh-CN"/>
        </w:rPr>
        <w:t>。</w:t>
      </w:r>
    </w:p>
    <w:p w14:paraId="60170151">
      <w:pPr>
        <w:snapToGrid w:val="0"/>
        <w:spacing w:line="360" w:lineRule="auto"/>
        <w:ind w:firstLine="422" w:firstLineChars="200"/>
        <w:rPr>
          <w:rFonts w:hint="eastAsia" w:ascii="宋体" w:hAnsi="宋体" w:cs="宋体"/>
          <w:bCs/>
          <w:color w:val="000000" w:themeColor="text1"/>
          <w:sz w:val="21"/>
          <w:szCs w:val="21"/>
          <w:highlight w:val="none"/>
          <w:lang w:eastAsia="zh-CN"/>
        </w:rPr>
      </w:pPr>
      <w:r>
        <w:rPr>
          <w:rFonts w:hint="eastAsia" w:ascii="宋体" w:hAnsi="宋体" w:cs="宋体"/>
          <w:b/>
          <w:bCs w:val="0"/>
          <w:color w:val="000000" w:themeColor="text1"/>
          <w:sz w:val="21"/>
          <w:szCs w:val="21"/>
          <w:highlight w:val="none"/>
          <w:lang w:eastAsia="zh-CN"/>
        </w:rPr>
        <w:t>冻品类要求</w:t>
      </w:r>
    </w:p>
    <w:p w14:paraId="225018E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1.基本要求</w:t>
      </w:r>
    </w:p>
    <w:p w14:paraId="12A33752">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1）外观要求：冻品食材应具备良好的外观，色泽鲜亮，无明显的变黄、变褐或者发黑等异常情况。冻品的质地和纹理应符合其种类和品种的特征。</w:t>
      </w:r>
    </w:p>
    <w:p w14:paraId="7B567093">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2）气味要求：冻品食材应无异味，无异物沉淀、霉斑、发霉等问题。</w:t>
      </w:r>
    </w:p>
    <w:p w14:paraId="0AC8A100">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3）眼刺激性物质：冻品食材中不得含有眼刺激性物质，如过氧化物或亚硝酸盐等。</w:t>
      </w:r>
    </w:p>
    <w:p w14:paraId="3F5FD896">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4）冻品的温度：冻品类需要在特定的低温条件下储存和运输，以确保食品的安全和品质。一般而言，冻品类应在小于或等于-18℃的条件下储存和运输，这是为了防止食品中的微生物生长和繁殖，从而保持食品的新鲜度和安全性。</w:t>
      </w:r>
    </w:p>
    <w:p w14:paraId="6DCE263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val="en-US" w:eastAsia="zh-CN"/>
        </w:rPr>
        <w:t>5</w:t>
      </w:r>
      <w:r>
        <w:rPr>
          <w:rFonts w:hint="eastAsia" w:ascii="宋体" w:hAnsi="宋体" w:cs="宋体"/>
          <w:bCs/>
          <w:color w:val="000000" w:themeColor="text1"/>
          <w:sz w:val="21"/>
          <w:szCs w:val="21"/>
          <w:highlight w:val="none"/>
          <w:lang w:eastAsia="zh-CN"/>
        </w:rPr>
        <w:t>）产品质量必须符合国家行业标准要求，有明确的商品标签，有生产日期、保质期、质量等级，不得有掺假、变质、变味、过期等现象出现，保证运输过程冷链不中断，送达目的地时外包装箱干爽，无软化现象。</w:t>
      </w:r>
    </w:p>
    <w:p w14:paraId="6C37DA84">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2.冷冻食品配送的运输标准</w:t>
      </w:r>
    </w:p>
    <w:p w14:paraId="1217E59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1）车辆选择与装载要求：冷冻食品的配送运输应采用冷藏车或冷冻车进行，车辆内部应具备</w:t>
      </w:r>
    </w:p>
    <w:p w14:paraId="75B3F1D4">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良好的密封性能和保温性能，车厢内部应有适当的冷藏设备来保持温度稳定。同时，冷藏车或冷冻车应配备温度监测装置，确保运输过程中温度的监控和调控。</w:t>
      </w:r>
    </w:p>
    <w:p w14:paraId="39C51A4A">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2）包装和储存：冻品类在包装和储存方面也有特定要求。冻品在运输和储存过程中应保持适宜的温度，以防止食品解冻或变质。同时，冻品的包装应能够保护食品免受外界污染，保持其新鲜度和安全性。</w:t>
      </w:r>
    </w:p>
    <w:p w14:paraId="5131101D">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3）温度控制要求：冷冻食品的运输过程中，应根据不同的食品类型和运输距离来设定合理的运输温度。车辆内部温度应保持在-18℃以下，冷藏食品的温度应在-2℃至4℃之间。在运输过程中，应定期检查温度记录，并保持运输温度的稳定性。</w:t>
      </w:r>
    </w:p>
    <w:p w14:paraId="247B530D">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4）预防交叉污染要求：冷冻食品的车辆装载过程中，应注意避免不同类别食品的混装混载以免发生交叉污染的情况。不同课别的食品应分区存放和装载，确保食品的安全性和质量。口，泡内软嫩，咸香适度，具有豆腐泡固有的滋味。</w:t>
      </w:r>
    </w:p>
    <w:p w14:paraId="147E30A9">
      <w:pPr>
        <w:snapToGrid w:val="0"/>
        <w:spacing w:line="360" w:lineRule="auto"/>
        <w:ind w:firstLine="422" w:firstLineChars="200"/>
        <w:rPr>
          <w:rFonts w:hint="eastAsia" w:ascii="宋体" w:hAnsi="宋体" w:cs="宋体"/>
          <w:b/>
          <w:bCs w:val="0"/>
          <w:color w:val="000000" w:themeColor="text1"/>
          <w:sz w:val="21"/>
          <w:szCs w:val="21"/>
          <w:highlight w:val="none"/>
          <w:lang w:eastAsia="zh-CN"/>
        </w:rPr>
      </w:pPr>
      <w:r>
        <w:rPr>
          <w:rFonts w:hint="eastAsia" w:ascii="宋体" w:hAnsi="宋体" w:cs="宋体"/>
          <w:b/>
          <w:bCs w:val="0"/>
          <w:color w:val="000000" w:themeColor="text1"/>
          <w:sz w:val="21"/>
          <w:szCs w:val="21"/>
          <w:highlight w:val="none"/>
          <w:lang w:eastAsia="zh-CN"/>
        </w:rPr>
        <w:t>副食品类、蛋类、面粉、大米和食用油</w:t>
      </w:r>
    </w:p>
    <w:p w14:paraId="5B9D95C6">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（一）副食品类、蛋类和面粉</w:t>
      </w:r>
    </w:p>
    <w:p w14:paraId="2EDECBB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食材有使用有效期的，其剩余有效期不得少于标注有效期的75%（举例：保质期12个月的产品，送到学校的产品必须在生产后3个月内），非标准产品验收具体以学校验收为准。</w:t>
      </w:r>
    </w:p>
    <w:p w14:paraId="7AD53C32">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1.调味料：</w:t>
      </w:r>
    </w:p>
    <w:p w14:paraId="6248220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1）酱油：酱油颜色比较红、亮、有光泽、透明，酱油倒在瓶子里摇一下，酱油产生的泡沫非常细腻，保持持久，挂碗现象非常好，有发黏的感觉。</w:t>
      </w:r>
    </w:p>
    <w:p w14:paraId="386ECDE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2）味精：无色至白色结晶或粉末，应具有特殊的鲜味，无异味，无肉眼可见杂质。</w:t>
      </w:r>
    </w:p>
    <w:p w14:paraId="5EF96D9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3）酱类食品：应具有正常酿造酱的色泽、气味和滋味、不涩、无其他不良气味、不得有酸、苦、焦糊及其它异味、异物。</w:t>
      </w:r>
    </w:p>
    <w:p w14:paraId="518774D1">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4）淀粉制品：应具有各自品种固有的形态和色泽、不酸、不粘、不发霉、无变质、无异味、无杂质、口尝无砂质。</w:t>
      </w:r>
    </w:p>
    <w:p w14:paraId="43B4F87A">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5）食盐：结晶整齐一致、坚硬光滑，呈透明或半透明、不结块、无反卤吸潮现象、无杂质，沾取少许尝试具有纯正的咸味。</w:t>
      </w:r>
    </w:p>
    <w:p w14:paraId="3354341C">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6）白糖：要求色泽洁白明亮，有光泽，具有白糖的正常气味，无酸味、酒味或其他外来气味。凡是白糖都应干燥，晶粒松散，不粘手，不结块，无肉眼可见的杂质，白糖的水溶液应清晰透明无杂质。</w:t>
      </w:r>
    </w:p>
    <w:p w14:paraId="6B9557F6">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7）白砂糖：颗粒大如砂粒，晶粒均匀整齐，晶面明显，无碎末，糖质坚硬。</w:t>
      </w:r>
    </w:p>
    <w:p w14:paraId="3A5CCC8A">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8）绵白糖：颗粒细小而均匀，质地绵软、潮润。</w:t>
      </w:r>
    </w:p>
    <w:p w14:paraId="663C1EC2">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9）红糖：呈晶粒状或粉末状，干燥而松散，不结块，不成团，杂质，其水溶液清晰，无沉淀，无悬浮物，具有甘蔗汁的清香味，无有酒味、酸味或其他外来不良气味，口味浓甜带鲜，微有糖蜜味，无焦苦味或其他外来异味。</w:t>
      </w:r>
    </w:p>
    <w:p w14:paraId="5F0B632B">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10）冰糖：块形完整，个粒均匀，结晶组织严密，透明或半透明，无破碎。</w:t>
      </w:r>
    </w:p>
    <w:p w14:paraId="3185DC7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11）方糖：呈正六面体状，表面平整，无裂纹，铁边，断角，无突出砂粒，无霉斑。</w:t>
      </w:r>
    </w:p>
    <w:p w14:paraId="44BABCBB">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12）辛辣料：要求采用植物果实和种子粉碎而配制成的天然植物香料，如五香粉、胡椒粉、花椒粉、咖喱粉、芥末粉等，辛辣料的主要原料有八角、花椒、胡椒、桂皮、小茴香、大茴香、辣椒、孜然等。</w:t>
      </w:r>
    </w:p>
    <w:p w14:paraId="364BB188">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13）辛辣料应呈干燥状，具有该种香料植物所特有的色、香、味，没有不纯正的气味和味道，无发霉味或其他异味。</w:t>
      </w:r>
    </w:p>
    <w:p w14:paraId="1735FD9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14）腐乳：红腐乳要求表面呈红色或枣红色，内部呈杏黄色，色泽鲜艳，有光泽；白腐乳要求外表呈乳黄色。块形整齐均匀，质地细腻，无霉斑、霉变及杂质。具有各品种的腐乳特有的香味或特征气味，无任何其他异味，滋味鲜美，咸淡适口，无任何其他异味。</w:t>
      </w:r>
    </w:p>
    <w:p w14:paraId="1EEE9184">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干货制品：要求为符合国家相关行业标准的产品，干爽、不霉烂、整齐、均匀、完整，无虫蛀、无杂质，保持应有的色泽。从加工、包装、运输、贮存到销售全部符合国家规定标准，尤其是二氧化硫残留量、总砷含量不超过国家卫生标准；招标人可根据实际情况对需要的干货制品进行品质抽检，对质量未达到国家标准的干货制品招标人有权拒绝接收。</w:t>
      </w:r>
    </w:p>
    <w:p w14:paraId="35CBD1D2">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（1）肉皮：作为干肉皮，无论什么部位，体表洁净无毛，白亮无残余肥膘，无虫蛀，干爽，敲击时响声清脆，质量均匀为好，反之则为次之，如已发霉，并有哈喇味，即已变质。</w:t>
      </w:r>
    </w:p>
    <w:p w14:paraId="3DFFB01F">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（2）玉兰片：玉兰片以色泽黄白、洁净、肉厚、纤维少、节较密、体长不超过 10-17cm的为最好，肉薄节疏、纤维多而粗老的质量较差。</w:t>
      </w:r>
    </w:p>
    <w:p w14:paraId="4A1825A3">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（3）黄花菜：又名金针菜，干燥、有清香味，菜色黄亮、身条长而粗壮、条杆粗细均匀者为佳。</w:t>
      </w:r>
    </w:p>
    <w:p w14:paraId="5BC0E3F2">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（4）黑木耳：黑木耳的质量一般以条形大而完整，耳瓣舒展少卷曲，内厚黑，富于光泽，体干不霉，无杂质和碎者为优，反之则差。</w:t>
      </w:r>
    </w:p>
    <w:p w14:paraId="249A55B3">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5）银耳：银耳又称白木耳，以朵大、色洁白、有光泽、无杂质，根小、干度足，完整者为佳品，朵小、色黄、根大、无光泽，散碎者次之；黄黑色者质量最次，依上述标准可将银耳分为上中下三等。质量好的银耳，根部易稣烂，食之柔软，质量次则根部大而发硬。</w:t>
      </w:r>
    </w:p>
    <w:p w14:paraId="026BEDCF">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6）香菇：根据采收季节和形状不同，香菇又分为花菇、厚菇、薄菇和菇丁四类，其中以花菇质量最好，厚菇次之，薄菇更差，菇丁质量最差。①花菇：朵小柄短，呈半球状，菇伞顶面有似菊花似的白色裂纹，肉厚、菌盖色泽淡黑，菇底褶，通过加工呈淡黄色，身干、质嫩、有芳香气味者为质好香菇。②厚菇：形状如伞，顶面无花纹，呈黑色并略有光泽，质嫩、肉厚、朵稍大，质量稍次。③薄菇：形状扁平、开伞、朵大、肉薄、菌盖表面浅褐色，菌褐白色，菌柄稍高，浅咖啡色，基部稍带红色或红褐色，质量比花菇厚，菇差，味淡。④菇丁：是指未充分发育的香菇，个小，直径在2cm以下，味淡质差。</w:t>
      </w:r>
    </w:p>
    <w:p w14:paraId="225B894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（7）黄豆：豆皮色呈各种大豆固有的颜色，光彩油亮，洁净而有光泽，颗粒饱满，整齐均匀，无虫蛀粒，无杂质，无霉变，要求100%可食用。</w:t>
      </w:r>
    </w:p>
    <w:p w14:paraId="4239A01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8）花生：果荚呈土黄色或白色，果仁呈各不同品种所特有的颜色，色泽分布均匀一致，带荚花生和去荚果仁均颗粒饱满、形态完整、大小均匀，子叶肥厚而有光泽，无杂质，具有花生特有的气味、香味，无任何异味，要求100%可食用。</w:t>
      </w:r>
    </w:p>
    <w:p w14:paraId="6F105CE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（9）腐竹：腐竹又名豆腐皮和油皮，有一、二、三级品之分。一极品：色泽黄亮、干燥筋韧、耐贮、无碎块。二极品：颜色较一极品灰黄、干燥无碎块。三极品：颜色更灰黄、无光泽、易碎、筋韧性差。</w:t>
      </w:r>
    </w:p>
    <w:p w14:paraId="7FDF167A">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（10）粉丝：质量好的粉丝，粉条细长、白净、晶莹透明、丝条均匀、整齐、干燥，不易折断，无斑点、黑迹，无霉变，有粉丝特有的光泽。</w:t>
      </w:r>
    </w:p>
    <w:p w14:paraId="75BF79CA">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（11）蹄筋：猪蹄筋的质量首先从蹄筋抽取的部位区别，后蹄筋体长而圆、粗壮、光滑的品质好。前蹄筋体短而扁细、品质较差、保管完好的蹄筋应呈白色、无杂质，干、硬度高。</w:t>
      </w:r>
    </w:p>
    <w:p w14:paraId="054F66A6">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（12）干贝：上等干贝粒大完整、黄亮干燥、肉质饱满，肉丝清晰、粗且有特殊香气。粒小、碎破、色淡无光泽者较次。破碎、发黑发霉的为变质品。</w:t>
      </w:r>
    </w:p>
    <w:p w14:paraId="07024ADC">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13）鱿鱼：市场上常见的鱿鱼有椭圆形和长方形，选购时应注意：体干、体形完整、光亮洁净、淡粉红色、片大头小、肉厚者为优。体形部分卷曲，尾部和背部红中透暗，两侧有微红点、体小而宽、肉薄者为次品。</w:t>
      </w:r>
    </w:p>
    <w:p w14:paraId="141873F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（14）紫菜：属海产红藻类植物，因鲜紫菜叶较宽大，经干制成长方块形，散片状卷筒，其中以卷筒形柔嫩微脆、叶薄、色紫清香鲜美的为品质优。</w:t>
      </w:r>
    </w:p>
    <w:p w14:paraId="1BDD14D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（15）发菜：发菜是陆生褐色藻类，以藻体细长、绿黑色、柔软爽滑、干燥、无杂质的质量为优，反之则劣。</w:t>
      </w:r>
    </w:p>
    <w:p w14:paraId="67CC9FF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3.腊味</w:t>
      </w:r>
    </w:p>
    <w:p w14:paraId="4927B2B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符合国家食品部门有关标准，色泽鲜明，肌肉暗红色，脂肪透明呈乳白色，肉干燥结实，带有固有的腊式香味。</w:t>
      </w:r>
    </w:p>
    <w:p w14:paraId="23353741">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4.鲜蛋</w:t>
      </w:r>
    </w:p>
    <w:p w14:paraId="609C91D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鲜蛋的食品安全指标。应符合GB 2749的规定，感官指标不低于国家有关食品质量标准的二级指标要求，每个蛋应保证新鲜。</w:t>
      </w:r>
    </w:p>
    <w:p w14:paraId="0C8BEAC6">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5.面粉</w:t>
      </w:r>
    </w:p>
    <w:p w14:paraId="064B33EB">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1）供应产品的质量要求：</w:t>
      </w:r>
    </w:p>
    <w:p w14:paraId="472245CB">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①面粉类货物必须符合卫生，不得有腐烂、变质、油脂酸败、霉变、生虫、污秽不洁、混有异物或者其他感官性状异常，并可能对人体健康有害的物质。</w:t>
      </w:r>
    </w:p>
    <w:p w14:paraId="6DE323A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②面粉类要提供SC认证、国家机关发出的产品检验合格证书。包装食品：包装箱完整，同时包装箱要印有注册商标、生产厂家名称、厂址、出厂日期、产品合格证、保质期限、产品成份、厂家电话号码。散装豆类：提供生产厂家营业执照、卫生许可证、国家机关发出的产品检验合格证书。中标供应商所提供产品质量必须要符合行业标准要求，不得有掺假、变质、变味、过期等现象出现，严禁伪劣、假冒、无证不合格物品进入仓库。</w:t>
      </w:r>
    </w:p>
    <w:p w14:paraId="3FFA8A1D">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③中标供应商在供应过程中，如果发生出现质量问题或造成食物中毒,如变质等情况，经查实后确属中标供应商责任，中标供应商应承担全部责任，主要包括食物中毒人员医疗费、误工费、事故处理费等，直至追究刑事责任。</w:t>
      </w:r>
    </w:p>
    <w:p w14:paraId="2DA0D7BD">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④小麦粉（面粉）的质量指标不低于GB/T 1355的精制粉指标的技术要求。</w:t>
      </w:r>
    </w:p>
    <w:tbl>
      <w:tblPr>
        <w:tblStyle w:val="46"/>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5"/>
        <w:gridCol w:w="1424"/>
        <w:gridCol w:w="6765"/>
      </w:tblGrid>
      <w:tr w14:paraId="1A3D45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000000" w:sz="8" w:space="0"/>
              <w:left w:val="single" w:color="000000" w:sz="8" w:space="0"/>
              <w:bottom w:val="single" w:color="000000" w:sz="4" w:space="0"/>
              <w:right w:val="single" w:color="000000" w:sz="4" w:space="0"/>
            </w:tcBorders>
            <w:tcMar>
              <w:top w:w="0" w:type="dxa"/>
              <w:left w:w="0" w:type="dxa"/>
              <w:bottom w:w="0" w:type="dxa"/>
              <w:right w:w="0" w:type="dxa"/>
            </w:tcMar>
            <w:vAlign w:val="center"/>
          </w:tcPr>
          <w:p w14:paraId="49505325">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序号</w:t>
            </w:r>
          </w:p>
        </w:tc>
        <w:tc>
          <w:tcPr>
            <w:tcW w:w="1424" w:type="dxa"/>
            <w:tcBorders>
              <w:top w:val="single" w:color="000000" w:sz="8" w:space="0"/>
              <w:left w:val="nil"/>
              <w:bottom w:val="single" w:color="000000" w:sz="4" w:space="0"/>
              <w:right w:val="single" w:color="000000" w:sz="4" w:space="0"/>
            </w:tcBorders>
            <w:tcMar>
              <w:top w:w="0" w:type="dxa"/>
              <w:left w:w="0" w:type="dxa"/>
              <w:bottom w:w="0" w:type="dxa"/>
              <w:right w:w="0" w:type="dxa"/>
            </w:tcMar>
            <w:vAlign w:val="center"/>
          </w:tcPr>
          <w:p w14:paraId="4E699312">
            <w:pPr>
              <w:snapToGrid w:val="0"/>
              <w:spacing w:line="360" w:lineRule="auto"/>
              <w:ind w:firstLine="420" w:firstLineChars="200"/>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品名</w:t>
            </w:r>
          </w:p>
        </w:tc>
        <w:tc>
          <w:tcPr>
            <w:tcW w:w="6765" w:type="dxa"/>
            <w:tcBorders>
              <w:top w:val="single" w:color="000000" w:sz="8" w:space="0"/>
              <w:left w:val="nil"/>
              <w:bottom w:val="single" w:color="000000" w:sz="4" w:space="0"/>
              <w:right w:val="single" w:color="000000" w:sz="8" w:space="0"/>
            </w:tcBorders>
            <w:tcMar>
              <w:top w:w="0" w:type="dxa"/>
              <w:left w:w="0" w:type="dxa"/>
              <w:bottom w:w="0" w:type="dxa"/>
              <w:right w:w="0" w:type="dxa"/>
            </w:tcMar>
            <w:vAlign w:val="center"/>
          </w:tcPr>
          <w:p w14:paraId="4A37ED0C">
            <w:pPr>
              <w:snapToGrid w:val="0"/>
              <w:spacing w:line="360" w:lineRule="auto"/>
              <w:ind w:firstLine="420" w:firstLineChars="200"/>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质量描述</w:t>
            </w:r>
          </w:p>
        </w:tc>
      </w:tr>
      <w:tr w14:paraId="1F60DD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0A89D0AF">
            <w:pPr>
              <w:snapToGrid w:val="0"/>
              <w:spacing w:line="360" w:lineRule="auto"/>
              <w:ind w:left="0" w:leftChars="-95" w:hanging="199" w:hangingChars="95"/>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w:t>
            </w:r>
          </w:p>
        </w:tc>
        <w:tc>
          <w:tcPr>
            <w:tcW w:w="1424" w:type="dxa"/>
            <w:tcBorders>
              <w:top w:val="nil"/>
              <w:left w:val="nil"/>
              <w:bottom w:val="single" w:color="000000" w:sz="4" w:space="0"/>
              <w:right w:val="single" w:color="000000" w:sz="4" w:space="0"/>
            </w:tcBorders>
            <w:tcMar>
              <w:top w:w="0" w:type="dxa"/>
              <w:left w:w="0" w:type="dxa"/>
              <w:bottom w:w="0" w:type="dxa"/>
              <w:right w:w="0" w:type="dxa"/>
            </w:tcMar>
            <w:vAlign w:val="center"/>
          </w:tcPr>
          <w:p w14:paraId="39A55A55">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高筋面粉（含面粉配料）</w:t>
            </w:r>
          </w:p>
        </w:tc>
        <w:tc>
          <w:tcPr>
            <w:tcW w:w="6765" w:type="dxa"/>
            <w:tcBorders>
              <w:top w:val="nil"/>
              <w:left w:val="nil"/>
              <w:bottom w:val="single" w:color="000000" w:sz="4" w:space="0"/>
              <w:right w:val="single" w:color="000000" w:sz="8" w:space="0"/>
            </w:tcBorders>
            <w:tcMar>
              <w:top w:w="0" w:type="dxa"/>
              <w:left w:w="0" w:type="dxa"/>
              <w:bottom w:w="0" w:type="dxa"/>
              <w:right w:w="0" w:type="dxa"/>
            </w:tcMar>
            <w:vAlign w:val="center"/>
          </w:tcPr>
          <w:p w14:paraId="5B37C043">
            <w:pPr>
              <w:snapToGrid w:val="0"/>
              <w:spacing w:line="360" w:lineRule="auto"/>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1.高筋面粉达GB/T 8607-1988国家标准，质量等级一级；</w:t>
            </w:r>
          </w:p>
          <w:p w14:paraId="0BD97AF0">
            <w:pPr>
              <w:snapToGrid w:val="0"/>
              <w:spacing w:line="360" w:lineRule="auto"/>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2.色泽正常，干爽无异味；</w:t>
            </w:r>
          </w:p>
          <w:p w14:paraId="56F2693D">
            <w:pPr>
              <w:snapToGrid w:val="0"/>
              <w:spacing w:line="360" w:lineRule="auto"/>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3.按进货量抽查20％，数量按抽查验收实数为准；</w:t>
            </w:r>
          </w:p>
          <w:p w14:paraId="2FF7C6AF">
            <w:pPr>
              <w:snapToGrid w:val="0"/>
              <w:spacing w:line="360" w:lineRule="auto"/>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4.包装袋上有注册商标及QS标注，有检验合格证、生产日期和保质期。</w:t>
            </w:r>
          </w:p>
        </w:tc>
      </w:tr>
      <w:tr w14:paraId="402FF5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5" w:type="dxa"/>
            <w:tcBorders>
              <w:top w:val="nil"/>
              <w:left w:val="single" w:color="000000" w:sz="8" w:space="0"/>
              <w:bottom w:val="single" w:color="000000" w:sz="8" w:space="0"/>
              <w:right w:val="single" w:color="000000" w:sz="4" w:space="0"/>
            </w:tcBorders>
            <w:tcMar>
              <w:top w:w="0" w:type="dxa"/>
              <w:left w:w="0" w:type="dxa"/>
              <w:bottom w:w="0" w:type="dxa"/>
              <w:right w:w="0" w:type="dxa"/>
            </w:tcMar>
            <w:vAlign w:val="center"/>
          </w:tcPr>
          <w:p w14:paraId="1C11063F">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w:t>
            </w:r>
          </w:p>
        </w:tc>
        <w:tc>
          <w:tcPr>
            <w:tcW w:w="1424" w:type="dxa"/>
            <w:tcBorders>
              <w:top w:val="nil"/>
              <w:left w:val="nil"/>
              <w:bottom w:val="single" w:color="000000" w:sz="8" w:space="0"/>
              <w:right w:val="single" w:color="000000" w:sz="4" w:space="0"/>
            </w:tcBorders>
            <w:tcMar>
              <w:top w:w="0" w:type="dxa"/>
              <w:left w:w="0" w:type="dxa"/>
              <w:bottom w:w="0" w:type="dxa"/>
              <w:right w:w="0" w:type="dxa"/>
            </w:tcMar>
            <w:vAlign w:val="center"/>
          </w:tcPr>
          <w:p w14:paraId="06303B73">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低筋面粉（含面粉配料）</w:t>
            </w:r>
          </w:p>
        </w:tc>
        <w:tc>
          <w:tcPr>
            <w:tcW w:w="6765" w:type="dxa"/>
            <w:tcBorders>
              <w:top w:val="nil"/>
              <w:left w:val="nil"/>
              <w:bottom w:val="single" w:color="000000" w:sz="8" w:space="0"/>
              <w:right w:val="single" w:color="000000" w:sz="8" w:space="0"/>
            </w:tcBorders>
            <w:tcMar>
              <w:top w:w="0" w:type="dxa"/>
              <w:left w:w="0" w:type="dxa"/>
              <w:bottom w:w="0" w:type="dxa"/>
              <w:right w:w="0" w:type="dxa"/>
            </w:tcMar>
            <w:vAlign w:val="center"/>
          </w:tcPr>
          <w:p w14:paraId="78760186">
            <w:pPr>
              <w:snapToGrid w:val="0"/>
              <w:spacing w:line="360" w:lineRule="auto"/>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1.低筋面粉达GB/T 8608-1988标准，质量等级一级；</w:t>
            </w:r>
          </w:p>
          <w:p w14:paraId="76280241">
            <w:pPr>
              <w:snapToGrid w:val="0"/>
              <w:spacing w:line="360" w:lineRule="auto"/>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2.色泽正常，干爽无异味；</w:t>
            </w:r>
          </w:p>
          <w:p w14:paraId="3CC4B680">
            <w:pPr>
              <w:snapToGrid w:val="0"/>
              <w:spacing w:line="360" w:lineRule="auto"/>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3.按进货量抽查20％，数量按抽查验收实数为准；</w:t>
            </w:r>
          </w:p>
          <w:p w14:paraId="0EAABB19">
            <w:pPr>
              <w:snapToGrid w:val="0"/>
              <w:spacing w:line="360" w:lineRule="auto"/>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4.包装袋上有注册商标及QS标注，有检验合格证、生产日期和保质期。</w:t>
            </w:r>
          </w:p>
        </w:tc>
      </w:tr>
    </w:tbl>
    <w:p w14:paraId="684DD1C0">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2）特一级面粉理化指标</w:t>
      </w:r>
    </w:p>
    <w:tbl>
      <w:tblPr>
        <w:tblStyle w:val="46"/>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505"/>
        <w:gridCol w:w="6344"/>
      </w:tblGrid>
      <w:tr w14:paraId="089904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single" w:color="000000" w:sz="8" w:space="0"/>
              <w:left w:val="single" w:color="000000" w:sz="8" w:space="0"/>
              <w:bottom w:val="single" w:color="000000" w:sz="4" w:space="0"/>
              <w:right w:val="single" w:color="000000" w:sz="4" w:space="0"/>
            </w:tcBorders>
            <w:tcMar>
              <w:top w:w="0" w:type="dxa"/>
              <w:left w:w="0" w:type="dxa"/>
              <w:bottom w:w="0" w:type="dxa"/>
              <w:right w:w="0" w:type="dxa"/>
            </w:tcMar>
            <w:vAlign w:val="top"/>
          </w:tcPr>
          <w:p w14:paraId="575B90E0">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项目</w:t>
            </w:r>
          </w:p>
        </w:tc>
        <w:tc>
          <w:tcPr>
            <w:tcW w:w="6344" w:type="dxa"/>
            <w:tcBorders>
              <w:top w:val="single" w:color="000000" w:sz="8" w:space="0"/>
              <w:left w:val="nil"/>
              <w:bottom w:val="single" w:color="000000" w:sz="4" w:space="0"/>
              <w:right w:val="single" w:color="000000" w:sz="8" w:space="0"/>
            </w:tcBorders>
            <w:tcMar>
              <w:top w:w="0" w:type="dxa"/>
              <w:left w:w="0" w:type="dxa"/>
              <w:bottom w:w="0" w:type="dxa"/>
              <w:right w:w="0" w:type="dxa"/>
            </w:tcMar>
            <w:vAlign w:val="top"/>
          </w:tcPr>
          <w:p w14:paraId="076780D9">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指标</w:t>
            </w:r>
          </w:p>
        </w:tc>
      </w:tr>
      <w:tr w14:paraId="2853FA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26862240">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加工精度</w:t>
            </w:r>
          </w:p>
        </w:tc>
        <w:tc>
          <w:tcPr>
            <w:tcW w:w="6344" w:type="dxa"/>
            <w:tcBorders>
              <w:top w:val="nil"/>
              <w:left w:val="nil"/>
              <w:bottom w:val="single" w:color="000000" w:sz="4" w:space="0"/>
              <w:right w:val="single" w:color="000000" w:sz="8" w:space="0"/>
            </w:tcBorders>
            <w:tcMar>
              <w:top w:w="0" w:type="dxa"/>
              <w:left w:w="0" w:type="dxa"/>
              <w:bottom w:w="0" w:type="dxa"/>
              <w:right w:w="0" w:type="dxa"/>
            </w:tcMar>
            <w:vAlign w:val="top"/>
          </w:tcPr>
          <w:p w14:paraId="7DFE5A10">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粉色合格，麸星合格</w:t>
            </w:r>
          </w:p>
        </w:tc>
      </w:tr>
      <w:tr w14:paraId="303624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33C719B7">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粗细度</w:t>
            </w:r>
          </w:p>
        </w:tc>
        <w:tc>
          <w:tcPr>
            <w:tcW w:w="6344" w:type="dxa"/>
            <w:tcBorders>
              <w:top w:val="nil"/>
              <w:left w:val="nil"/>
              <w:bottom w:val="single" w:color="000000" w:sz="4" w:space="0"/>
              <w:right w:val="single" w:color="000000" w:sz="8" w:space="0"/>
            </w:tcBorders>
            <w:tcMar>
              <w:top w:w="0" w:type="dxa"/>
              <w:left w:w="0" w:type="dxa"/>
              <w:bottom w:w="0" w:type="dxa"/>
              <w:right w:w="0" w:type="dxa"/>
            </w:tcMar>
            <w:vAlign w:val="top"/>
          </w:tcPr>
          <w:p w14:paraId="2A64DAFF">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GB36号全部通过；GB42晒留存量不超过10.0%</w:t>
            </w:r>
          </w:p>
        </w:tc>
      </w:tr>
      <w:tr w14:paraId="4EEA01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5CC93096">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面筋质（以湿重计）</w:t>
            </w:r>
          </w:p>
        </w:tc>
        <w:tc>
          <w:tcPr>
            <w:tcW w:w="6344" w:type="dxa"/>
            <w:tcBorders>
              <w:top w:val="nil"/>
              <w:left w:val="nil"/>
              <w:bottom w:val="single" w:color="000000" w:sz="4" w:space="0"/>
              <w:right w:val="single" w:color="000000" w:sz="8" w:space="0"/>
            </w:tcBorders>
            <w:tcMar>
              <w:top w:w="0" w:type="dxa"/>
              <w:left w:w="0" w:type="dxa"/>
              <w:bottom w:w="0" w:type="dxa"/>
              <w:right w:w="0" w:type="dxa"/>
            </w:tcMar>
            <w:vAlign w:val="top"/>
          </w:tcPr>
          <w:p w14:paraId="248319D4">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≥26.0%</w:t>
            </w:r>
          </w:p>
        </w:tc>
      </w:tr>
      <w:tr w14:paraId="5D2EF2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082FE8D3">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含砂量</w:t>
            </w:r>
          </w:p>
        </w:tc>
        <w:tc>
          <w:tcPr>
            <w:tcW w:w="6344" w:type="dxa"/>
            <w:tcBorders>
              <w:top w:val="nil"/>
              <w:left w:val="nil"/>
              <w:bottom w:val="single" w:color="000000" w:sz="4" w:space="0"/>
              <w:right w:val="single" w:color="000000" w:sz="8" w:space="0"/>
            </w:tcBorders>
            <w:tcMar>
              <w:top w:w="0" w:type="dxa"/>
              <w:left w:w="0" w:type="dxa"/>
              <w:bottom w:w="0" w:type="dxa"/>
              <w:right w:w="0" w:type="dxa"/>
            </w:tcMar>
            <w:vAlign w:val="top"/>
          </w:tcPr>
          <w:p w14:paraId="0319D142">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≤0.02%</w:t>
            </w:r>
          </w:p>
        </w:tc>
      </w:tr>
      <w:tr w14:paraId="2213BD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6F624099">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灰分（以干物质计）</w:t>
            </w:r>
          </w:p>
        </w:tc>
        <w:tc>
          <w:tcPr>
            <w:tcW w:w="6344" w:type="dxa"/>
            <w:tcBorders>
              <w:top w:val="nil"/>
              <w:left w:val="nil"/>
              <w:bottom w:val="single" w:color="000000" w:sz="4" w:space="0"/>
              <w:right w:val="single" w:color="000000" w:sz="8" w:space="0"/>
            </w:tcBorders>
            <w:tcMar>
              <w:top w:w="0" w:type="dxa"/>
              <w:left w:w="0" w:type="dxa"/>
              <w:bottom w:w="0" w:type="dxa"/>
              <w:right w:w="0" w:type="dxa"/>
            </w:tcMar>
            <w:vAlign w:val="top"/>
          </w:tcPr>
          <w:p w14:paraId="5C5BA97C">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≤0.70%</w:t>
            </w:r>
          </w:p>
        </w:tc>
      </w:tr>
      <w:tr w14:paraId="5BF5E2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169012B2">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水分</w:t>
            </w:r>
          </w:p>
        </w:tc>
        <w:tc>
          <w:tcPr>
            <w:tcW w:w="6344" w:type="dxa"/>
            <w:tcBorders>
              <w:top w:val="nil"/>
              <w:left w:val="nil"/>
              <w:bottom w:val="single" w:color="000000" w:sz="4" w:space="0"/>
              <w:right w:val="single" w:color="000000" w:sz="8" w:space="0"/>
            </w:tcBorders>
            <w:tcMar>
              <w:top w:w="0" w:type="dxa"/>
              <w:left w:w="0" w:type="dxa"/>
              <w:bottom w:w="0" w:type="dxa"/>
              <w:right w:w="0" w:type="dxa"/>
            </w:tcMar>
            <w:vAlign w:val="top"/>
          </w:tcPr>
          <w:p w14:paraId="7CB824DB">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≤14.0%</w:t>
            </w:r>
          </w:p>
        </w:tc>
      </w:tr>
      <w:tr w14:paraId="3F1ECB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79C940A4">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磁性金属物质</w:t>
            </w:r>
          </w:p>
        </w:tc>
        <w:tc>
          <w:tcPr>
            <w:tcW w:w="6344" w:type="dxa"/>
            <w:tcBorders>
              <w:top w:val="nil"/>
              <w:left w:val="nil"/>
              <w:bottom w:val="single" w:color="000000" w:sz="4" w:space="0"/>
              <w:right w:val="single" w:color="000000" w:sz="8" w:space="0"/>
            </w:tcBorders>
            <w:tcMar>
              <w:top w:w="0" w:type="dxa"/>
              <w:left w:w="0" w:type="dxa"/>
              <w:bottom w:w="0" w:type="dxa"/>
              <w:right w:w="0" w:type="dxa"/>
            </w:tcMar>
            <w:vAlign w:val="top"/>
          </w:tcPr>
          <w:p w14:paraId="7CF50FB1">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≤0.003g/kg</w:t>
            </w:r>
          </w:p>
        </w:tc>
      </w:tr>
      <w:tr w14:paraId="4612A4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4B19F98B">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脂肪酸值（湿基计）</w:t>
            </w:r>
          </w:p>
        </w:tc>
        <w:tc>
          <w:tcPr>
            <w:tcW w:w="6344" w:type="dxa"/>
            <w:tcBorders>
              <w:top w:val="nil"/>
              <w:left w:val="nil"/>
              <w:bottom w:val="single" w:color="000000" w:sz="4" w:space="0"/>
              <w:right w:val="single" w:color="000000" w:sz="8" w:space="0"/>
            </w:tcBorders>
            <w:tcMar>
              <w:top w:w="0" w:type="dxa"/>
              <w:left w:w="0" w:type="dxa"/>
              <w:bottom w:w="0" w:type="dxa"/>
              <w:right w:w="0" w:type="dxa"/>
            </w:tcMar>
            <w:vAlign w:val="top"/>
          </w:tcPr>
          <w:p w14:paraId="7A57DE7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≤80</w:t>
            </w:r>
          </w:p>
        </w:tc>
      </w:tr>
      <w:tr w14:paraId="20CE58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26E9C0DA">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六六六（以成品粮计）</w:t>
            </w:r>
          </w:p>
        </w:tc>
        <w:tc>
          <w:tcPr>
            <w:tcW w:w="6344" w:type="dxa"/>
            <w:tcBorders>
              <w:top w:val="nil"/>
              <w:left w:val="nil"/>
              <w:bottom w:val="single" w:color="000000" w:sz="4" w:space="0"/>
              <w:right w:val="single" w:color="000000" w:sz="8" w:space="0"/>
            </w:tcBorders>
            <w:tcMar>
              <w:top w:w="0" w:type="dxa"/>
              <w:left w:w="0" w:type="dxa"/>
              <w:bottom w:w="0" w:type="dxa"/>
              <w:right w:w="0" w:type="dxa"/>
            </w:tcMar>
            <w:vAlign w:val="top"/>
          </w:tcPr>
          <w:p w14:paraId="69D557F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≤0.3mg/kg</w:t>
            </w:r>
          </w:p>
        </w:tc>
      </w:tr>
      <w:tr w14:paraId="06B9BA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085831CD">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滴滴涕（成品粮计）</w:t>
            </w:r>
          </w:p>
        </w:tc>
        <w:tc>
          <w:tcPr>
            <w:tcW w:w="6344" w:type="dxa"/>
            <w:tcBorders>
              <w:top w:val="nil"/>
              <w:left w:val="nil"/>
              <w:bottom w:val="single" w:color="000000" w:sz="4" w:space="0"/>
              <w:right w:val="single" w:color="000000" w:sz="8" w:space="0"/>
            </w:tcBorders>
            <w:tcMar>
              <w:top w:w="0" w:type="dxa"/>
              <w:left w:w="0" w:type="dxa"/>
              <w:bottom w:w="0" w:type="dxa"/>
              <w:right w:w="0" w:type="dxa"/>
            </w:tcMar>
            <w:vAlign w:val="top"/>
          </w:tcPr>
          <w:p w14:paraId="426F558B">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≤0.2mg/kg</w:t>
            </w:r>
          </w:p>
        </w:tc>
      </w:tr>
      <w:tr w14:paraId="582824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01CF4FAD">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汞（成品粮计）</w:t>
            </w:r>
          </w:p>
        </w:tc>
        <w:tc>
          <w:tcPr>
            <w:tcW w:w="6344" w:type="dxa"/>
            <w:tcBorders>
              <w:top w:val="nil"/>
              <w:left w:val="nil"/>
              <w:bottom w:val="single" w:color="000000" w:sz="4" w:space="0"/>
              <w:right w:val="single" w:color="000000" w:sz="8" w:space="0"/>
            </w:tcBorders>
            <w:tcMar>
              <w:top w:w="0" w:type="dxa"/>
              <w:left w:w="0" w:type="dxa"/>
              <w:bottom w:w="0" w:type="dxa"/>
              <w:right w:w="0" w:type="dxa"/>
            </w:tcMar>
            <w:vAlign w:val="top"/>
          </w:tcPr>
          <w:p w14:paraId="14EC797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≤0.02mg/kg</w:t>
            </w:r>
          </w:p>
        </w:tc>
      </w:tr>
      <w:tr w14:paraId="549F39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05" w:type="dxa"/>
            <w:tcBorders>
              <w:top w:val="nil"/>
              <w:left w:val="single" w:color="000000" w:sz="8" w:space="0"/>
              <w:bottom w:val="single" w:color="000000" w:sz="8" w:space="0"/>
              <w:right w:val="single" w:color="000000" w:sz="4" w:space="0"/>
            </w:tcBorders>
            <w:tcMar>
              <w:top w:w="0" w:type="dxa"/>
              <w:left w:w="0" w:type="dxa"/>
              <w:bottom w:w="0" w:type="dxa"/>
              <w:right w:w="0" w:type="dxa"/>
            </w:tcMar>
            <w:vAlign w:val="top"/>
          </w:tcPr>
          <w:p w14:paraId="4B89CF01">
            <w:pPr>
              <w:snapToGrid w:val="0"/>
              <w:spacing w:line="360" w:lineRule="auto"/>
              <w:ind w:firstLine="420" w:firstLineChars="200"/>
              <w:jc w:val="left"/>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黄霉素毒素B1</w:t>
            </w:r>
          </w:p>
        </w:tc>
        <w:tc>
          <w:tcPr>
            <w:tcW w:w="6344" w:type="dxa"/>
            <w:tcBorders>
              <w:top w:val="nil"/>
              <w:left w:val="nil"/>
              <w:bottom w:val="single" w:color="000000" w:sz="8" w:space="0"/>
              <w:right w:val="single" w:color="000000" w:sz="8" w:space="0"/>
            </w:tcBorders>
            <w:tcMar>
              <w:top w:w="0" w:type="dxa"/>
              <w:left w:w="0" w:type="dxa"/>
              <w:bottom w:w="0" w:type="dxa"/>
              <w:right w:w="0" w:type="dxa"/>
            </w:tcMar>
            <w:vAlign w:val="top"/>
          </w:tcPr>
          <w:p w14:paraId="4F54FFD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 xml:space="preserve">≤5μg/kg </w:t>
            </w:r>
          </w:p>
        </w:tc>
      </w:tr>
    </w:tbl>
    <w:p w14:paraId="7B1F9FA1">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标准面粉理化指标</w:t>
      </w:r>
    </w:p>
    <w:tbl>
      <w:tblPr>
        <w:tblStyle w:val="46"/>
        <w:tblW w:w="8864" w:type="dxa"/>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89"/>
        <w:gridCol w:w="6375"/>
      </w:tblGrid>
      <w:tr w14:paraId="6FABD0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single" w:color="000000" w:sz="8" w:space="0"/>
              <w:left w:val="single" w:color="000000" w:sz="8" w:space="0"/>
              <w:bottom w:val="single" w:color="000000" w:sz="4" w:space="0"/>
              <w:right w:val="single" w:color="000000" w:sz="4" w:space="0"/>
            </w:tcBorders>
            <w:tcMar>
              <w:top w:w="0" w:type="dxa"/>
              <w:left w:w="0" w:type="dxa"/>
              <w:bottom w:w="0" w:type="dxa"/>
              <w:right w:w="0" w:type="dxa"/>
            </w:tcMar>
            <w:vAlign w:val="top"/>
          </w:tcPr>
          <w:p w14:paraId="7AC9FA5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项目</w:t>
            </w:r>
          </w:p>
        </w:tc>
        <w:tc>
          <w:tcPr>
            <w:tcW w:w="6375" w:type="dxa"/>
            <w:tcBorders>
              <w:top w:val="single" w:color="000000" w:sz="8" w:space="0"/>
              <w:left w:val="nil"/>
              <w:bottom w:val="single" w:color="000000" w:sz="4" w:space="0"/>
              <w:right w:val="single" w:color="000000" w:sz="8" w:space="0"/>
            </w:tcBorders>
            <w:tcMar>
              <w:top w:w="0" w:type="dxa"/>
              <w:left w:w="0" w:type="dxa"/>
              <w:bottom w:w="0" w:type="dxa"/>
              <w:right w:w="0" w:type="dxa"/>
            </w:tcMar>
            <w:vAlign w:val="top"/>
          </w:tcPr>
          <w:p w14:paraId="04B1BF52">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指标</w:t>
            </w:r>
          </w:p>
        </w:tc>
      </w:tr>
      <w:tr w14:paraId="676BAC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227DF6CC">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加工精度</w:t>
            </w:r>
          </w:p>
        </w:tc>
        <w:tc>
          <w:tcPr>
            <w:tcW w:w="6375" w:type="dxa"/>
            <w:tcBorders>
              <w:top w:val="nil"/>
              <w:left w:val="nil"/>
              <w:bottom w:val="single" w:color="000000" w:sz="4" w:space="0"/>
              <w:right w:val="single" w:color="000000" w:sz="8" w:space="0"/>
            </w:tcBorders>
            <w:tcMar>
              <w:top w:w="0" w:type="dxa"/>
              <w:left w:w="0" w:type="dxa"/>
              <w:bottom w:w="0" w:type="dxa"/>
              <w:right w:w="0" w:type="dxa"/>
            </w:tcMar>
            <w:vAlign w:val="top"/>
          </w:tcPr>
          <w:p w14:paraId="2F1FBCF2">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对照实物标准样品对照检验粉色、麸星</w:t>
            </w:r>
          </w:p>
        </w:tc>
      </w:tr>
      <w:tr w14:paraId="403A41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08710BE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灰分（以干物质计）</w:t>
            </w:r>
          </w:p>
        </w:tc>
        <w:tc>
          <w:tcPr>
            <w:tcW w:w="6375" w:type="dxa"/>
            <w:tcBorders>
              <w:top w:val="nil"/>
              <w:left w:val="nil"/>
              <w:bottom w:val="single" w:color="000000" w:sz="4" w:space="0"/>
              <w:right w:val="single" w:color="000000" w:sz="8" w:space="0"/>
            </w:tcBorders>
            <w:tcMar>
              <w:top w:w="0" w:type="dxa"/>
              <w:left w:w="0" w:type="dxa"/>
              <w:bottom w:w="0" w:type="dxa"/>
              <w:right w:w="0" w:type="dxa"/>
            </w:tcMar>
            <w:vAlign w:val="top"/>
          </w:tcPr>
          <w:p w14:paraId="58FEC2C4">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≤1.10%</w:t>
            </w:r>
          </w:p>
        </w:tc>
      </w:tr>
      <w:tr w14:paraId="151FD7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1B84975A">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水分</w:t>
            </w:r>
          </w:p>
        </w:tc>
        <w:tc>
          <w:tcPr>
            <w:tcW w:w="6375" w:type="dxa"/>
            <w:tcBorders>
              <w:top w:val="nil"/>
              <w:left w:val="nil"/>
              <w:bottom w:val="single" w:color="000000" w:sz="4" w:space="0"/>
              <w:right w:val="single" w:color="000000" w:sz="8" w:space="0"/>
            </w:tcBorders>
            <w:tcMar>
              <w:top w:w="0" w:type="dxa"/>
              <w:left w:w="0" w:type="dxa"/>
              <w:bottom w:w="0" w:type="dxa"/>
              <w:right w:w="0" w:type="dxa"/>
            </w:tcMar>
            <w:vAlign w:val="top"/>
          </w:tcPr>
          <w:p w14:paraId="6869D4C0">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≤14.0%</w:t>
            </w:r>
          </w:p>
        </w:tc>
      </w:tr>
      <w:tr w14:paraId="38A37A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322B9DC4">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粗细度</w:t>
            </w:r>
          </w:p>
        </w:tc>
        <w:tc>
          <w:tcPr>
            <w:tcW w:w="6375" w:type="dxa"/>
            <w:tcBorders>
              <w:top w:val="nil"/>
              <w:left w:val="nil"/>
              <w:bottom w:val="single" w:color="000000" w:sz="4" w:space="0"/>
              <w:right w:val="single" w:color="000000" w:sz="8" w:space="0"/>
            </w:tcBorders>
            <w:tcMar>
              <w:top w:w="0" w:type="dxa"/>
              <w:left w:w="0" w:type="dxa"/>
              <w:bottom w:w="0" w:type="dxa"/>
              <w:right w:w="0" w:type="dxa"/>
            </w:tcMar>
            <w:vAlign w:val="top"/>
          </w:tcPr>
          <w:p w14:paraId="039B86BF">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全部通过CQ20号筛，留存在CB30号筛的不超过20.0%</w:t>
            </w:r>
          </w:p>
        </w:tc>
      </w:tr>
      <w:tr w14:paraId="1B6DD2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4A5EDFED">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面筋质</w:t>
            </w:r>
          </w:p>
        </w:tc>
        <w:tc>
          <w:tcPr>
            <w:tcW w:w="6375" w:type="dxa"/>
            <w:tcBorders>
              <w:top w:val="nil"/>
              <w:left w:val="nil"/>
              <w:bottom w:val="single" w:color="000000" w:sz="4" w:space="0"/>
              <w:right w:val="single" w:color="000000" w:sz="8" w:space="0"/>
            </w:tcBorders>
            <w:tcMar>
              <w:top w:w="0" w:type="dxa"/>
              <w:left w:w="0" w:type="dxa"/>
              <w:bottom w:w="0" w:type="dxa"/>
              <w:right w:w="0" w:type="dxa"/>
            </w:tcMar>
            <w:vAlign w:val="top"/>
          </w:tcPr>
          <w:p w14:paraId="2927B2F8">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≤24.0%</w:t>
            </w:r>
          </w:p>
        </w:tc>
      </w:tr>
      <w:tr w14:paraId="201D5F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7B4182B0">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含砂量</w:t>
            </w:r>
          </w:p>
        </w:tc>
        <w:tc>
          <w:tcPr>
            <w:tcW w:w="6375" w:type="dxa"/>
            <w:tcBorders>
              <w:top w:val="nil"/>
              <w:left w:val="nil"/>
              <w:bottom w:val="single" w:color="000000" w:sz="4" w:space="0"/>
              <w:right w:val="single" w:color="000000" w:sz="8" w:space="0"/>
            </w:tcBorders>
            <w:tcMar>
              <w:top w:w="0" w:type="dxa"/>
              <w:left w:w="0" w:type="dxa"/>
              <w:bottom w:w="0" w:type="dxa"/>
              <w:right w:w="0" w:type="dxa"/>
            </w:tcMar>
            <w:vAlign w:val="top"/>
          </w:tcPr>
          <w:p w14:paraId="1610031E">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≤0.02%</w:t>
            </w:r>
          </w:p>
        </w:tc>
      </w:tr>
      <w:tr w14:paraId="7BB261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18CD85C8">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磁性金属物质</w:t>
            </w:r>
          </w:p>
        </w:tc>
        <w:tc>
          <w:tcPr>
            <w:tcW w:w="6375" w:type="dxa"/>
            <w:tcBorders>
              <w:top w:val="nil"/>
              <w:left w:val="nil"/>
              <w:bottom w:val="single" w:color="000000" w:sz="4" w:space="0"/>
              <w:right w:val="single" w:color="000000" w:sz="8" w:space="0"/>
            </w:tcBorders>
            <w:tcMar>
              <w:top w:w="0" w:type="dxa"/>
              <w:left w:w="0" w:type="dxa"/>
              <w:bottom w:w="0" w:type="dxa"/>
              <w:right w:w="0" w:type="dxa"/>
            </w:tcMar>
            <w:vAlign w:val="top"/>
          </w:tcPr>
          <w:p w14:paraId="752182DA">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≤0.003g/kg</w:t>
            </w:r>
          </w:p>
        </w:tc>
      </w:tr>
      <w:tr w14:paraId="3CD024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389D04A3">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脂肪酸值（湿基计）</w:t>
            </w:r>
          </w:p>
        </w:tc>
        <w:tc>
          <w:tcPr>
            <w:tcW w:w="6375" w:type="dxa"/>
            <w:tcBorders>
              <w:top w:val="nil"/>
              <w:left w:val="nil"/>
              <w:bottom w:val="single" w:color="000000" w:sz="4" w:space="0"/>
              <w:right w:val="single" w:color="000000" w:sz="8" w:space="0"/>
            </w:tcBorders>
            <w:tcMar>
              <w:top w:w="0" w:type="dxa"/>
              <w:left w:w="0" w:type="dxa"/>
              <w:bottom w:w="0" w:type="dxa"/>
              <w:right w:w="0" w:type="dxa"/>
            </w:tcMar>
            <w:vAlign w:val="top"/>
          </w:tcPr>
          <w:p w14:paraId="21A0F18A">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≤80</w:t>
            </w:r>
          </w:p>
        </w:tc>
      </w:tr>
      <w:tr w14:paraId="716C56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19A2DCB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六六六（以成品粮计）</w:t>
            </w:r>
          </w:p>
        </w:tc>
        <w:tc>
          <w:tcPr>
            <w:tcW w:w="6375" w:type="dxa"/>
            <w:tcBorders>
              <w:top w:val="nil"/>
              <w:left w:val="nil"/>
              <w:bottom w:val="single" w:color="000000" w:sz="4" w:space="0"/>
              <w:right w:val="single" w:color="000000" w:sz="8" w:space="0"/>
            </w:tcBorders>
            <w:tcMar>
              <w:top w:w="0" w:type="dxa"/>
              <w:left w:w="0" w:type="dxa"/>
              <w:bottom w:w="0" w:type="dxa"/>
              <w:right w:w="0" w:type="dxa"/>
            </w:tcMar>
            <w:vAlign w:val="top"/>
          </w:tcPr>
          <w:p w14:paraId="42604E4D">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≤0.3mg/kg</w:t>
            </w:r>
          </w:p>
        </w:tc>
      </w:tr>
      <w:tr w14:paraId="5E0FB8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2A5E4C4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滴滴涕（成品粮计）</w:t>
            </w:r>
          </w:p>
        </w:tc>
        <w:tc>
          <w:tcPr>
            <w:tcW w:w="6375" w:type="dxa"/>
            <w:tcBorders>
              <w:top w:val="nil"/>
              <w:left w:val="nil"/>
              <w:bottom w:val="single" w:color="000000" w:sz="4" w:space="0"/>
              <w:right w:val="single" w:color="000000" w:sz="8" w:space="0"/>
            </w:tcBorders>
            <w:tcMar>
              <w:top w:w="0" w:type="dxa"/>
              <w:left w:w="0" w:type="dxa"/>
              <w:bottom w:w="0" w:type="dxa"/>
              <w:right w:w="0" w:type="dxa"/>
            </w:tcMar>
            <w:vAlign w:val="top"/>
          </w:tcPr>
          <w:p w14:paraId="7E77F7C1">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≤0.2mg/kg</w:t>
            </w:r>
          </w:p>
        </w:tc>
      </w:tr>
      <w:tr w14:paraId="034292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2379F7EC">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汞（成品粮计）</w:t>
            </w:r>
          </w:p>
        </w:tc>
        <w:tc>
          <w:tcPr>
            <w:tcW w:w="6375" w:type="dxa"/>
            <w:tcBorders>
              <w:top w:val="nil"/>
              <w:left w:val="nil"/>
              <w:bottom w:val="single" w:color="000000" w:sz="4" w:space="0"/>
              <w:right w:val="single" w:color="000000" w:sz="8" w:space="0"/>
            </w:tcBorders>
            <w:tcMar>
              <w:top w:w="0" w:type="dxa"/>
              <w:left w:w="0" w:type="dxa"/>
              <w:bottom w:w="0" w:type="dxa"/>
              <w:right w:w="0" w:type="dxa"/>
            </w:tcMar>
            <w:vAlign w:val="top"/>
          </w:tcPr>
          <w:p w14:paraId="062D33CD">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≤0.02mg/kg</w:t>
            </w:r>
          </w:p>
        </w:tc>
      </w:tr>
      <w:tr w14:paraId="16D9F2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9" w:type="dxa"/>
            <w:tcBorders>
              <w:top w:val="nil"/>
              <w:left w:val="single" w:color="000000" w:sz="8" w:space="0"/>
              <w:bottom w:val="single" w:color="000000" w:sz="8" w:space="0"/>
              <w:right w:val="single" w:color="000000" w:sz="4" w:space="0"/>
            </w:tcBorders>
            <w:tcMar>
              <w:top w:w="0" w:type="dxa"/>
              <w:left w:w="0" w:type="dxa"/>
              <w:bottom w:w="0" w:type="dxa"/>
              <w:right w:w="0" w:type="dxa"/>
            </w:tcMar>
            <w:vAlign w:val="top"/>
          </w:tcPr>
          <w:p w14:paraId="60CE55E0">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黄霉素毒素 B1</w:t>
            </w:r>
          </w:p>
        </w:tc>
        <w:tc>
          <w:tcPr>
            <w:tcW w:w="6375" w:type="dxa"/>
            <w:tcBorders>
              <w:top w:val="nil"/>
              <w:left w:val="nil"/>
              <w:bottom w:val="single" w:color="000000" w:sz="8" w:space="0"/>
              <w:right w:val="single" w:color="000000" w:sz="8" w:space="0"/>
            </w:tcBorders>
            <w:tcMar>
              <w:top w:w="0" w:type="dxa"/>
              <w:left w:w="0" w:type="dxa"/>
              <w:bottom w:w="0" w:type="dxa"/>
              <w:right w:w="0" w:type="dxa"/>
            </w:tcMar>
            <w:vAlign w:val="top"/>
          </w:tcPr>
          <w:p w14:paraId="10969E96">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≤5μg/kg</w:t>
            </w:r>
          </w:p>
        </w:tc>
      </w:tr>
    </w:tbl>
    <w:p w14:paraId="45C62B6E">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（二）、大米和食用油要求</w:t>
      </w:r>
    </w:p>
    <w:p w14:paraId="66B8471C">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1.供应产品的质量要求：</w:t>
      </w:r>
    </w:p>
    <w:p w14:paraId="58EA16CD">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①米、油货物必须符合卫生，不得有腐烂、变质、油脂酸败、霉变、生虫、污秽不洁、混有异物或者其他感官性状异常，并可能对人体健康有害的物质。</w:t>
      </w:r>
    </w:p>
    <w:p w14:paraId="6495EBCE">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②米、油要提供SC认证、国家机关发出的产品检验合格证书。包装食品：包装箱完整，同时包装箱要印有注册商标、生产厂家名称、厂址、出厂日期、产品合格证、保质期限、产品成份、厂家电话号码。散装豆类：提供生产厂家营业执照、卫生许可证、国家机关发出的产品检验合格证书。中标供应商所提供产品质量必须要符合行业标准要求，不得有掺假、变质、变味、过期等现象出现，严禁伪劣、假冒、无证不合格物品进入仓库。</w:t>
      </w:r>
    </w:p>
    <w:p w14:paraId="2C10689B">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③中标供应商在供应过程中，如果发生出现质量问题或造成食物中毒,如变质等情况，经查实后确属中标供应商责任，中标供应商应承担全部责任，主要包括食物中毒人员医疗费、误工费、事故处理费等，直至追究刑事责任。</w:t>
      </w:r>
    </w:p>
    <w:p w14:paraId="1B30988D">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④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中标供应商将承担全部责任。</w:t>
      </w:r>
    </w:p>
    <w:p w14:paraId="0186A8D0">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⑤送来的大米距离生产日期不超过45天。米和油每个季度需要有第三方检测报告。中标供应商需要承担每个学期学校自主送第三方检测不少于1次的费用。</w:t>
      </w:r>
    </w:p>
    <w:tbl>
      <w:tblPr>
        <w:tblStyle w:val="46"/>
        <w:tblW w:w="8879" w:type="dxa"/>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5"/>
        <w:gridCol w:w="650"/>
        <w:gridCol w:w="7584"/>
      </w:tblGrid>
      <w:tr w14:paraId="037691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5" w:type="dxa"/>
            <w:tcBorders>
              <w:top w:val="single" w:color="000000" w:sz="8" w:space="0"/>
              <w:left w:val="single" w:color="000000" w:sz="8" w:space="0"/>
              <w:bottom w:val="single" w:color="000000" w:sz="4" w:space="0"/>
              <w:right w:val="single" w:color="000000" w:sz="4" w:space="0"/>
            </w:tcBorders>
            <w:tcMar>
              <w:top w:w="0" w:type="dxa"/>
              <w:left w:w="0" w:type="dxa"/>
              <w:bottom w:w="0" w:type="dxa"/>
              <w:right w:w="0" w:type="dxa"/>
            </w:tcMar>
            <w:vAlign w:val="center"/>
          </w:tcPr>
          <w:p w14:paraId="4CA7FF1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序号</w:t>
            </w:r>
          </w:p>
        </w:tc>
        <w:tc>
          <w:tcPr>
            <w:tcW w:w="650" w:type="dxa"/>
            <w:tcBorders>
              <w:top w:val="single" w:color="000000" w:sz="8" w:space="0"/>
              <w:left w:val="nil"/>
              <w:bottom w:val="single" w:color="000000" w:sz="4" w:space="0"/>
              <w:right w:val="single" w:color="000000" w:sz="4" w:space="0"/>
            </w:tcBorders>
            <w:tcMar>
              <w:top w:w="0" w:type="dxa"/>
              <w:left w:w="0" w:type="dxa"/>
              <w:bottom w:w="0" w:type="dxa"/>
              <w:right w:w="0" w:type="dxa"/>
            </w:tcMar>
            <w:vAlign w:val="center"/>
          </w:tcPr>
          <w:p w14:paraId="6B2315D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品名</w:t>
            </w:r>
          </w:p>
        </w:tc>
        <w:tc>
          <w:tcPr>
            <w:tcW w:w="7584" w:type="dxa"/>
            <w:tcBorders>
              <w:top w:val="single" w:color="000000" w:sz="8" w:space="0"/>
              <w:left w:val="nil"/>
              <w:bottom w:val="single" w:color="000000" w:sz="4" w:space="0"/>
              <w:right w:val="single" w:color="000000" w:sz="8" w:space="0"/>
            </w:tcBorders>
            <w:tcMar>
              <w:top w:w="0" w:type="dxa"/>
              <w:left w:w="0" w:type="dxa"/>
              <w:bottom w:w="0" w:type="dxa"/>
              <w:right w:w="0" w:type="dxa"/>
            </w:tcMar>
            <w:vAlign w:val="top"/>
          </w:tcPr>
          <w:p w14:paraId="1E0FB4AD">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质量描述</w:t>
            </w:r>
          </w:p>
        </w:tc>
      </w:tr>
      <w:tr w14:paraId="62C2A0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49DEF89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w:t>
            </w:r>
          </w:p>
        </w:tc>
        <w:tc>
          <w:tcPr>
            <w:tcW w:w="650" w:type="dxa"/>
            <w:tcBorders>
              <w:top w:val="nil"/>
              <w:left w:val="nil"/>
              <w:bottom w:val="single" w:color="000000" w:sz="4" w:space="0"/>
              <w:right w:val="single" w:color="000000" w:sz="4" w:space="0"/>
            </w:tcBorders>
            <w:tcMar>
              <w:top w:w="0" w:type="dxa"/>
              <w:left w:w="0" w:type="dxa"/>
              <w:bottom w:w="0" w:type="dxa"/>
              <w:right w:w="0" w:type="dxa"/>
            </w:tcMar>
            <w:vAlign w:val="center"/>
          </w:tcPr>
          <w:p w14:paraId="147E534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大米</w:t>
            </w:r>
          </w:p>
        </w:tc>
        <w:tc>
          <w:tcPr>
            <w:tcW w:w="7584" w:type="dxa"/>
            <w:tcBorders>
              <w:top w:val="nil"/>
              <w:left w:val="nil"/>
              <w:bottom w:val="single" w:color="000000" w:sz="4" w:space="0"/>
              <w:right w:val="single" w:color="000000" w:sz="8" w:space="0"/>
            </w:tcBorders>
            <w:tcMar>
              <w:top w:w="0" w:type="dxa"/>
              <w:left w:w="0" w:type="dxa"/>
              <w:bottom w:w="0" w:type="dxa"/>
              <w:right w:w="0" w:type="dxa"/>
            </w:tcMar>
            <w:vAlign w:val="top"/>
          </w:tcPr>
          <w:p w14:paraId="7CF38F7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1.大米须达GB/T 1354-2018一级标准以上，不含添加剂，水分含量在12°以下，无掺杂、无沙石，碎米少，无黄粒米；</w:t>
            </w:r>
          </w:p>
          <w:p w14:paraId="5E216B8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2.大米包装袋上印有大米品名、等级、数量、出厂名、厂家地址及其电话。</w:t>
            </w:r>
          </w:p>
        </w:tc>
      </w:tr>
      <w:tr w14:paraId="63FF9F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5"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05C9E01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w:t>
            </w:r>
          </w:p>
        </w:tc>
        <w:tc>
          <w:tcPr>
            <w:tcW w:w="650" w:type="dxa"/>
            <w:tcBorders>
              <w:top w:val="nil"/>
              <w:left w:val="nil"/>
              <w:bottom w:val="single" w:color="000000" w:sz="4" w:space="0"/>
              <w:right w:val="single" w:color="000000" w:sz="4" w:space="0"/>
            </w:tcBorders>
            <w:tcMar>
              <w:top w:w="0" w:type="dxa"/>
              <w:left w:w="0" w:type="dxa"/>
              <w:bottom w:w="0" w:type="dxa"/>
              <w:right w:w="0" w:type="dxa"/>
            </w:tcMar>
            <w:vAlign w:val="center"/>
          </w:tcPr>
          <w:p w14:paraId="7A568C0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油</w:t>
            </w:r>
          </w:p>
        </w:tc>
        <w:tc>
          <w:tcPr>
            <w:tcW w:w="7584" w:type="dxa"/>
            <w:tcBorders>
              <w:top w:val="nil"/>
              <w:left w:val="nil"/>
              <w:bottom w:val="single" w:color="000000" w:sz="4" w:space="0"/>
              <w:right w:val="single" w:color="000000" w:sz="8" w:space="0"/>
            </w:tcBorders>
            <w:tcMar>
              <w:top w:w="0" w:type="dxa"/>
              <w:left w:w="0" w:type="dxa"/>
              <w:bottom w:w="0" w:type="dxa"/>
              <w:right w:w="0" w:type="dxa"/>
            </w:tcMar>
            <w:vAlign w:val="top"/>
          </w:tcPr>
          <w:p w14:paraId="7BCF1FEF">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1.按国家食用调和油质量标准SB/T 10292-1998；</w:t>
            </w:r>
          </w:p>
          <w:p w14:paraId="4ABE28A9">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2.有合格检疫报告，外观的色泽、透明度、气味滋味等无异常；</w:t>
            </w:r>
          </w:p>
          <w:p w14:paraId="28B7EB6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3.定型包装。</w:t>
            </w:r>
          </w:p>
          <w:p w14:paraId="659833A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4.食用油包括花生油和调和油（大豆油不低于50％），以上油品都是非转基因油。</w:t>
            </w:r>
          </w:p>
        </w:tc>
      </w:tr>
    </w:tbl>
    <w:p w14:paraId="64CBE55D">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1）大米检测标准要求</w:t>
      </w:r>
    </w:p>
    <w:tbl>
      <w:tblPr>
        <w:tblStyle w:val="46"/>
        <w:tblW w:w="8879" w:type="dxa"/>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0"/>
        <w:gridCol w:w="1303"/>
        <w:gridCol w:w="1203"/>
        <w:gridCol w:w="5733"/>
      </w:tblGrid>
      <w:tr w14:paraId="1939AA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499335">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序号</w:t>
            </w:r>
          </w:p>
        </w:tc>
        <w:tc>
          <w:tcPr>
            <w:tcW w:w="2506" w:type="dxa"/>
            <w:gridSpan w:val="2"/>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A992092">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内容</w:t>
            </w:r>
          </w:p>
        </w:tc>
        <w:tc>
          <w:tcPr>
            <w:tcW w:w="573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A2DEA3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质量标准</w:t>
            </w:r>
          </w:p>
        </w:tc>
      </w:tr>
      <w:tr w14:paraId="585687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A15B06C">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w:t>
            </w:r>
          </w:p>
        </w:tc>
        <w:tc>
          <w:tcPr>
            <w:tcW w:w="250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2242F00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加工精度</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389DDA58">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符合一等品或以上要求</w:t>
            </w:r>
          </w:p>
        </w:tc>
      </w:tr>
      <w:tr w14:paraId="177E45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9A3992E">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w:t>
            </w:r>
          </w:p>
        </w:tc>
        <w:tc>
          <w:tcPr>
            <w:tcW w:w="250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5030EA4E">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不完善粒</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0014CD0C">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≤6.0%</w:t>
            </w:r>
          </w:p>
        </w:tc>
      </w:tr>
      <w:tr w14:paraId="524F4E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9999641">
            <w:pPr>
              <w:snapToGrid w:val="0"/>
              <w:spacing w:line="360" w:lineRule="auto"/>
              <w:jc w:val="center"/>
              <w:rPr>
                <w:rFonts w:hint="default" w:ascii="宋体" w:hAnsi="宋体" w:cs="宋体"/>
                <w:bCs/>
                <w:color w:val="000000" w:themeColor="text1"/>
                <w:sz w:val="21"/>
                <w:szCs w:val="21"/>
                <w:highlight w:val="none"/>
                <w:lang w:val="en-US" w:eastAsia="zh-CN"/>
              </w:rPr>
            </w:pPr>
            <w:r>
              <w:rPr>
                <w:rFonts w:hint="eastAsia" w:ascii="宋体" w:hAnsi="宋体" w:cs="宋体"/>
                <w:bCs/>
                <w:color w:val="000000" w:themeColor="text1"/>
                <w:sz w:val="21"/>
                <w:szCs w:val="21"/>
                <w:highlight w:val="none"/>
                <w:lang w:val="en-US" w:eastAsia="zh-CN"/>
              </w:rPr>
              <w:t>3</w:t>
            </w:r>
          </w:p>
        </w:tc>
        <w:tc>
          <w:tcPr>
            <w:tcW w:w="1303" w:type="dxa"/>
            <w:vMerge w:val="restart"/>
            <w:tcBorders>
              <w:top w:val="nil"/>
              <w:left w:val="nil"/>
              <w:bottom w:val="single" w:color="000000" w:sz="4" w:space="0"/>
              <w:right w:val="single" w:color="000000" w:sz="4" w:space="0"/>
            </w:tcBorders>
            <w:tcMar>
              <w:top w:w="0" w:type="dxa"/>
              <w:left w:w="0" w:type="dxa"/>
              <w:bottom w:w="0" w:type="dxa"/>
              <w:right w:w="0" w:type="dxa"/>
            </w:tcMar>
            <w:vAlign w:val="center"/>
          </w:tcPr>
          <w:p w14:paraId="5328B1E2">
            <w:pPr>
              <w:snapToGrid w:val="0"/>
              <w:spacing w:line="360" w:lineRule="auto"/>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最大限度杂质</w:t>
            </w:r>
          </w:p>
        </w:tc>
        <w:tc>
          <w:tcPr>
            <w:tcW w:w="1203" w:type="dxa"/>
            <w:tcBorders>
              <w:top w:val="nil"/>
              <w:left w:val="nil"/>
              <w:bottom w:val="single" w:color="000000" w:sz="4" w:space="0"/>
              <w:right w:val="single" w:color="000000" w:sz="4" w:space="0"/>
            </w:tcBorders>
            <w:tcMar>
              <w:top w:w="0" w:type="dxa"/>
              <w:left w:w="0" w:type="dxa"/>
              <w:bottom w:w="0" w:type="dxa"/>
              <w:right w:w="0" w:type="dxa"/>
            </w:tcMar>
            <w:vAlign w:val="top"/>
          </w:tcPr>
          <w:p w14:paraId="7A5C20A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总量</w:t>
            </w:r>
          </w:p>
        </w:tc>
        <w:tc>
          <w:tcPr>
            <w:tcW w:w="5733"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8D5EF1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≤0.40%</w:t>
            </w:r>
          </w:p>
        </w:tc>
      </w:tr>
      <w:tr w14:paraId="10BEE5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E6B7AD9">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4</w:t>
            </w:r>
          </w:p>
        </w:tc>
        <w:tc>
          <w:tcPr>
            <w:tcW w:w="1303" w:type="dxa"/>
            <w:vMerge w:val="continue"/>
            <w:tcBorders>
              <w:top w:val="nil"/>
              <w:left w:val="nil"/>
              <w:bottom w:val="single" w:color="000000" w:sz="4" w:space="0"/>
              <w:right w:val="single" w:color="000000" w:sz="4" w:space="0"/>
            </w:tcBorders>
          </w:tcPr>
          <w:p w14:paraId="07FBD816">
            <w:pPr>
              <w:snapToGrid w:val="0"/>
              <w:spacing w:line="360" w:lineRule="auto"/>
              <w:ind w:firstLine="420" w:firstLineChars="200"/>
              <w:rPr>
                <w:rFonts w:hint="eastAsia" w:ascii="宋体" w:hAnsi="宋体" w:cs="宋体"/>
                <w:bCs/>
                <w:color w:val="000000" w:themeColor="text1"/>
                <w:sz w:val="21"/>
                <w:szCs w:val="21"/>
                <w:highlight w:val="none"/>
                <w:lang w:eastAsia="zh-CN"/>
              </w:rPr>
            </w:pPr>
          </w:p>
        </w:tc>
        <w:tc>
          <w:tcPr>
            <w:tcW w:w="1203" w:type="dxa"/>
            <w:tcBorders>
              <w:top w:val="nil"/>
              <w:left w:val="nil"/>
              <w:bottom w:val="single" w:color="000000" w:sz="4" w:space="0"/>
              <w:right w:val="single" w:color="000000" w:sz="4" w:space="0"/>
            </w:tcBorders>
            <w:tcMar>
              <w:top w:w="0" w:type="dxa"/>
              <w:left w:w="0" w:type="dxa"/>
              <w:bottom w:w="0" w:type="dxa"/>
              <w:right w:w="0" w:type="dxa"/>
            </w:tcMar>
            <w:vAlign w:val="top"/>
          </w:tcPr>
          <w:p w14:paraId="3EC8019C">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糠粉</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26249428">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≤0.20%</w:t>
            </w:r>
          </w:p>
        </w:tc>
      </w:tr>
      <w:tr w14:paraId="75C4CB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1F461C6">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5</w:t>
            </w:r>
          </w:p>
        </w:tc>
        <w:tc>
          <w:tcPr>
            <w:tcW w:w="1303" w:type="dxa"/>
            <w:vMerge w:val="continue"/>
            <w:tcBorders>
              <w:top w:val="nil"/>
              <w:left w:val="nil"/>
              <w:bottom w:val="single" w:color="000000" w:sz="4" w:space="0"/>
              <w:right w:val="single" w:color="000000" w:sz="4" w:space="0"/>
            </w:tcBorders>
          </w:tcPr>
          <w:p w14:paraId="51F58F9B">
            <w:pPr>
              <w:snapToGrid w:val="0"/>
              <w:spacing w:line="360" w:lineRule="auto"/>
              <w:ind w:firstLine="420" w:firstLineChars="200"/>
              <w:rPr>
                <w:rFonts w:hint="eastAsia" w:ascii="宋体" w:hAnsi="宋体" w:cs="宋体"/>
                <w:bCs/>
                <w:color w:val="000000" w:themeColor="text1"/>
                <w:sz w:val="21"/>
                <w:szCs w:val="21"/>
                <w:highlight w:val="none"/>
                <w:lang w:eastAsia="zh-CN"/>
              </w:rPr>
            </w:pPr>
          </w:p>
        </w:tc>
        <w:tc>
          <w:tcPr>
            <w:tcW w:w="1203" w:type="dxa"/>
            <w:tcBorders>
              <w:top w:val="nil"/>
              <w:left w:val="nil"/>
              <w:bottom w:val="single" w:color="000000" w:sz="4" w:space="0"/>
              <w:right w:val="single" w:color="000000" w:sz="4" w:space="0"/>
            </w:tcBorders>
            <w:tcMar>
              <w:top w:w="0" w:type="dxa"/>
              <w:left w:w="0" w:type="dxa"/>
              <w:bottom w:w="0" w:type="dxa"/>
              <w:right w:w="0" w:type="dxa"/>
            </w:tcMar>
            <w:vAlign w:val="top"/>
          </w:tcPr>
          <w:p w14:paraId="39014A7C">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矿物质</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3564BFE0">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≤0.02%</w:t>
            </w:r>
          </w:p>
        </w:tc>
      </w:tr>
      <w:tr w14:paraId="2B0737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E08D380">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6</w:t>
            </w:r>
          </w:p>
        </w:tc>
        <w:tc>
          <w:tcPr>
            <w:tcW w:w="1303" w:type="dxa"/>
            <w:vMerge w:val="continue"/>
            <w:tcBorders>
              <w:top w:val="nil"/>
              <w:left w:val="nil"/>
              <w:bottom w:val="single" w:color="000000" w:sz="4" w:space="0"/>
              <w:right w:val="single" w:color="000000" w:sz="4" w:space="0"/>
            </w:tcBorders>
          </w:tcPr>
          <w:p w14:paraId="0B02C071">
            <w:pPr>
              <w:snapToGrid w:val="0"/>
              <w:spacing w:line="360" w:lineRule="auto"/>
              <w:ind w:firstLine="420" w:firstLineChars="200"/>
              <w:rPr>
                <w:rFonts w:hint="eastAsia" w:ascii="宋体" w:hAnsi="宋体" w:cs="宋体"/>
                <w:bCs/>
                <w:color w:val="000000" w:themeColor="text1"/>
                <w:sz w:val="21"/>
                <w:szCs w:val="21"/>
                <w:highlight w:val="none"/>
                <w:lang w:eastAsia="zh-CN"/>
              </w:rPr>
            </w:pPr>
          </w:p>
        </w:tc>
        <w:tc>
          <w:tcPr>
            <w:tcW w:w="1203" w:type="dxa"/>
            <w:tcBorders>
              <w:top w:val="nil"/>
              <w:left w:val="nil"/>
              <w:bottom w:val="single" w:color="000000" w:sz="4" w:space="0"/>
              <w:right w:val="single" w:color="000000" w:sz="4" w:space="0"/>
            </w:tcBorders>
            <w:tcMar>
              <w:top w:w="0" w:type="dxa"/>
              <w:left w:w="0" w:type="dxa"/>
              <w:bottom w:w="0" w:type="dxa"/>
              <w:right w:w="0" w:type="dxa"/>
            </w:tcMar>
            <w:vAlign w:val="top"/>
          </w:tcPr>
          <w:p w14:paraId="5D032684">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带壳稞</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6004355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≤70粒/kg</w:t>
            </w:r>
          </w:p>
        </w:tc>
      </w:tr>
      <w:tr w14:paraId="0B0AA9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CB70E13">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7</w:t>
            </w:r>
          </w:p>
        </w:tc>
        <w:tc>
          <w:tcPr>
            <w:tcW w:w="1303" w:type="dxa"/>
            <w:vMerge w:val="continue"/>
            <w:tcBorders>
              <w:top w:val="nil"/>
              <w:left w:val="nil"/>
              <w:bottom w:val="single" w:color="000000" w:sz="4" w:space="0"/>
              <w:right w:val="single" w:color="000000" w:sz="4" w:space="0"/>
            </w:tcBorders>
          </w:tcPr>
          <w:p w14:paraId="165E6EB2">
            <w:pPr>
              <w:snapToGrid w:val="0"/>
              <w:spacing w:line="360" w:lineRule="auto"/>
              <w:ind w:firstLine="420" w:firstLineChars="200"/>
              <w:rPr>
                <w:rFonts w:hint="eastAsia" w:ascii="宋体" w:hAnsi="宋体" w:cs="宋体"/>
                <w:bCs/>
                <w:color w:val="000000" w:themeColor="text1"/>
                <w:sz w:val="21"/>
                <w:szCs w:val="21"/>
                <w:highlight w:val="none"/>
                <w:lang w:eastAsia="zh-CN"/>
              </w:rPr>
            </w:pPr>
          </w:p>
        </w:tc>
        <w:tc>
          <w:tcPr>
            <w:tcW w:w="1203" w:type="dxa"/>
            <w:tcBorders>
              <w:top w:val="nil"/>
              <w:left w:val="nil"/>
              <w:bottom w:val="single" w:color="000000" w:sz="4" w:space="0"/>
              <w:right w:val="single" w:color="000000" w:sz="4" w:space="0"/>
            </w:tcBorders>
            <w:tcMar>
              <w:top w:w="0" w:type="dxa"/>
              <w:left w:w="0" w:type="dxa"/>
              <w:bottom w:w="0" w:type="dxa"/>
              <w:right w:w="0" w:type="dxa"/>
            </w:tcMar>
            <w:vAlign w:val="top"/>
          </w:tcPr>
          <w:p w14:paraId="5E229693">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稻谷粒</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0BC672B8">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≤16粒/kg</w:t>
            </w:r>
          </w:p>
        </w:tc>
      </w:tr>
      <w:tr w14:paraId="5FDECA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6D49691">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8</w:t>
            </w:r>
          </w:p>
        </w:tc>
        <w:tc>
          <w:tcPr>
            <w:tcW w:w="250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6C54427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碎米总量</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6C2B7DEA">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≤35.0%</w:t>
            </w:r>
          </w:p>
        </w:tc>
      </w:tr>
      <w:tr w14:paraId="02F922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0E9C85CB">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9</w:t>
            </w:r>
          </w:p>
        </w:tc>
        <w:tc>
          <w:tcPr>
            <w:tcW w:w="250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6CCC4C2C">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小碎米</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1196D44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≤2.5%</w:t>
            </w:r>
          </w:p>
        </w:tc>
      </w:tr>
      <w:tr w14:paraId="34F928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0A6D447">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10</w:t>
            </w:r>
          </w:p>
        </w:tc>
        <w:tc>
          <w:tcPr>
            <w:tcW w:w="250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6329D29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黄粒米</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3297ECC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≤2.0%</w:t>
            </w:r>
          </w:p>
        </w:tc>
      </w:tr>
      <w:tr w14:paraId="644897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4518E38F">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11</w:t>
            </w:r>
          </w:p>
        </w:tc>
        <w:tc>
          <w:tcPr>
            <w:tcW w:w="250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71BAD4BB">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水份</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02373F23">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≤14.0%</w:t>
            </w:r>
          </w:p>
        </w:tc>
      </w:tr>
      <w:tr w14:paraId="673436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F04188F">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12</w:t>
            </w:r>
          </w:p>
        </w:tc>
        <w:tc>
          <w:tcPr>
            <w:tcW w:w="250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189AE43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六六六</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75A25638">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≤0.05mg/kg</w:t>
            </w:r>
          </w:p>
        </w:tc>
      </w:tr>
      <w:tr w14:paraId="0AC975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16D59EFE">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13</w:t>
            </w:r>
          </w:p>
        </w:tc>
        <w:tc>
          <w:tcPr>
            <w:tcW w:w="250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58D9157C">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滴滴涕</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233C7BE4">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≤0.05mg/kg</w:t>
            </w:r>
          </w:p>
        </w:tc>
      </w:tr>
      <w:tr w14:paraId="04EE2A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99D67B2">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14</w:t>
            </w:r>
          </w:p>
        </w:tc>
        <w:tc>
          <w:tcPr>
            <w:tcW w:w="250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247430F0">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色泽、气味、口味</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6E41D972">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正常</w:t>
            </w:r>
          </w:p>
        </w:tc>
      </w:tr>
      <w:tr w14:paraId="2FCB8C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36AB135B">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15</w:t>
            </w:r>
          </w:p>
        </w:tc>
        <w:tc>
          <w:tcPr>
            <w:tcW w:w="250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3E9BA3A0">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标签检验</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500D052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符合 GB2715-2016 标准第九款要求</w:t>
            </w:r>
          </w:p>
        </w:tc>
      </w:tr>
      <w:tr w14:paraId="5C350B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F919067">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16</w:t>
            </w:r>
          </w:p>
        </w:tc>
        <w:tc>
          <w:tcPr>
            <w:tcW w:w="2506"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40C70771">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镉</w:t>
            </w:r>
          </w:p>
        </w:tc>
        <w:tc>
          <w:tcPr>
            <w:tcW w:w="5733" w:type="dxa"/>
            <w:tcBorders>
              <w:top w:val="nil"/>
              <w:left w:val="nil"/>
              <w:bottom w:val="single" w:color="000000" w:sz="4" w:space="0"/>
              <w:right w:val="single" w:color="000000" w:sz="4" w:space="0"/>
            </w:tcBorders>
            <w:tcMar>
              <w:top w:w="0" w:type="dxa"/>
              <w:left w:w="0" w:type="dxa"/>
              <w:bottom w:w="0" w:type="dxa"/>
              <w:right w:w="0" w:type="dxa"/>
            </w:tcMar>
            <w:vAlign w:val="top"/>
          </w:tcPr>
          <w:p w14:paraId="78073548">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≤0.2mg/kg</w:t>
            </w:r>
          </w:p>
        </w:tc>
      </w:tr>
    </w:tbl>
    <w:p w14:paraId="113D2118">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原料要求：大米应符合相应的国家标准，如GB/T 1354，糙米应符合GB/T 18810，加工用水应符合GB 5749的要求。</w:t>
      </w:r>
    </w:p>
    <w:p w14:paraId="25C31E4A">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感官要求：色泽应呈现主要原料固有的色泽，具有本产品固有的气味、滋味，无异味，口感滑爽、柔韧，不夹生，不粘牙，组织形态基本均匀一致，表面平滑，无杂质。</w:t>
      </w:r>
    </w:p>
    <w:p w14:paraId="48EAEDDF">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2）油类执行标准</w:t>
      </w:r>
    </w:p>
    <w:tbl>
      <w:tblPr>
        <w:tblStyle w:val="46"/>
        <w:tblW w:w="8879" w:type="dxa"/>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72"/>
        <w:gridCol w:w="1744"/>
        <w:gridCol w:w="1117"/>
        <w:gridCol w:w="4846"/>
      </w:tblGrid>
      <w:tr w14:paraId="2D8A48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37722C">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油类</w:t>
            </w:r>
          </w:p>
        </w:tc>
        <w:tc>
          <w:tcPr>
            <w:tcW w:w="174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14:paraId="5F4113B6">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标准</w:t>
            </w:r>
          </w:p>
        </w:tc>
        <w:tc>
          <w:tcPr>
            <w:tcW w:w="111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14:paraId="296A8E7E">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油类</w:t>
            </w:r>
          </w:p>
        </w:tc>
        <w:tc>
          <w:tcPr>
            <w:tcW w:w="4846"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14:paraId="6A3D4B74">
            <w:pPr>
              <w:snapToGrid w:val="0"/>
              <w:spacing w:line="360" w:lineRule="auto"/>
              <w:ind w:firstLine="420" w:firstLineChars="200"/>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标准</w:t>
            </w:r>
          </w:p>
        </w:tc>
      </w:tr>
      <w:tr w14:paraId="0B9F85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7EE982FB">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食用植物油</w:t>
            </w:r>
          </w:p>
        </w:tc>
        <w:tc>
          <w:tcPr>
            <w:tcW w:w="1744" w:type="dxa"/>
            <w:tcBorders>
              <w:top w:val="nil"/>
              <w:left w:val="nil"/>
              <w:bottom w:val="single" w:color="000000" w:sz="4" w:space="0"/>
              <w:right w:val="single" w:color="000000" w:sz="4" w:space="0"/>
            </w:tcBorders>
            <w:tcMar>
              <w:top w:w="0" w:type="dxa"/>
              <w:left w:w="0" w:type="dxa"/>
              <w:bottom w:w="0" w:type="dxa"/>
              <w:right w:w="0" w:type="dxa"/>
            </w:tcMar>
            <w:vAlign w:val="center"/>
          </w:tcPr>
          <w:p w14:paraId="045D09DF">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GB 2716-2005</w:t>
            </w:r>
          </w:p>
        </w:tc>
        <w:tc>
          <w:tcPr>
            <w:tcW w:w="1117" w:type="dxa"/>
            <w:tcBorders>
              <w:top w:val="nil"/>
              <w:left w:val="nil"/>
              <w:bottom w:val="single" w:color="000000" w:sz="4" w:space="0"/>
              <w:right w:val="single" w:color="000000" w:sz="4" w:space="0"/>
            </w:tcBorders>
            <w:tcMar>
              <w:top w:w="0" w:type="dxa"/>
              <w:left w:w="0" w:type="dxa"/>
              <w:bottom w:w="0" w:type="dxa"/>
              <w:right w:w="0" w:type="dxa"/>
            </w:tcMar>
            <w:vAlign w:val="center"/>
          </w:tcPr>
          <w:p w14:paraId="3DC65957">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棉籽油</w:t>
            </w:r>
          </w:p>
        </w:tc>
        <w:tc>
          <w:tcPr>
            <w:tcW w:w="4846" w:type="dxa"/>
            <w:tcBorders>
              <w:top w:val="nil"/>
              <w:left w:val="nil"/>
              <w:bottom w:val="single" w:color="000000" w:sz="4" w:space="0"/>
              <w:right w:val="single" w:color="000000" w:sz="4" w:space="0"/>
            </w:tcBorders>
            <w:tcMar>
              <w:top w:w="0" w:type="dxa"/>
              <w:left w:w="0" w:type="dxa"/>
              <w:bottom w:w="0" w:type="dxa"/>
              <w:right w:w="0" w:type="dxa"/>
            </w:tcMar>
            <w:vAlign w:val="center"/>
          </w:tcPr>
          <w:p w14:paraId="09017C6D">
            <w:pPr>
              <w:snapToGrid w:val="0"/>
              <w:spacing w:line="360" w:lineRule="auto"/>
              <w:ind w:firstLine="420" w:firstLineChars="200"/>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GB/T 1537-2019</w:t>
            </w:r>
          </w:p>
        </w:tc>
      </w:tr>
      <w:tr w14:paraId="3CE2A3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6C36F241">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花生油</w:t>
            </w:r>
          </w:p>
        </w:tc>
        <w:tc>
          <w:tcPr>
            <w:tcW w:w="1744" w:type="dxa"/>
            <w:tcBorders>
              <w:top w:val="nil"/>
              <w:left w:val="nil"/>
              <w:bottom w:val="single" w:color="000000" w:sz="4" w:space="0"/>
              <w:right w:val="single" w:color="000000" w:sz="4" w:space="0"/>
            </w:tcBorders>
            <w:tcMar>
              <w:top w:w="0" w:type="dxa"/>
              <w:left w:w="0" w:type="dxa"/>
              <w:bottom w:w="0" w:type="dxa"/>
              <w:right w:w="0" w:type="dxa"/>
            </w:tcMar>
            <w:vAlign w:val="center"/>
          </w:tcPr>
          <w:p w14:paraId="605BDF4B">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GB/T 1534-2017</w:t>
            </w:r>
          </w:p>
        </w:tc>
        <w:tc>
          <w:tcPr>
            <w:tcW w:w="1117" w:type="dxa"/>
            <w:tcBorders>
              <w:top w:val="nil"/>
              <w:left w:val="nil"/>
              <w:bottom w:val="single" w:color="000000" w:sz="4" w:space="0"/>
              <w:right w:val="single" w:color="000000" w:sz="4" w:space="0"/>
            </w:tcBorders>
            <w:tcMar>
              <w:top w:w="0" w:type="dxa"/>
              <w:left w:w="0" w:type="dxa"/>
              <w:bottom w:w="0" w:type="dxa"/>
              <w:right w:w="0" w:type="dxa"/>
            </w:tcMar>
            <w:vAlign w:val="center"/>
          </w:tcPr>
          <w:p w14:paraId="16D10DB0">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油茶籽油</w:t>
            </w:r>
          </w:p>
        </w:tc>
        <w:tc>
          <w:tcPr>
            <w:tcW w:w="4846" w:type="dxa"/>
            <w:tcBorders>
              <w:top w:val="nil"/>
              <w:left w:val="nil"/>
              <w:bottom w:val="single" w:color="000000" w:sz="4" w:space="0"/>
              <w:right w:val="single" w:color="000000" w:sz="4" w:space="0"/>
            </w:tcBorders>
            <w:tcMar>
              <w:top w:w="0" w:type="dxa"/>
              <w:left w:w="0" w:type="dxa"/>
              <w:bottom w:w="0" w:type="dxa"/>
              <w:right w:w="0" w:type="dxa"/>
            </w:tcMar>
            <w:vAlign w:val="center"/>
          </w:tcPr>
          <w:p w14:paraId="77478BFD">
            <w:pPr>
              <w:snapToGrid w:val="0"/>
              <w:spacing w:line="360" w:lineRule="auto"/>
              <w:ind w:firstLine="420" w:firstLineChars="200"/>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GB/T 11765-2018</w:t>
            </w:r>
          </w:p>
        </w:tc>
      </w:tr>
      <w:tr w14:paraId="3D8927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2D632B8">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大豆油</w:t>
            </w:r>
          </w:p>
        </w:tc>
        <w:tc>
          <w:tcPr>
            <w:tcW w:w="1744" w:type="dxa"/>
            <w:tcBorders>
              <w:top w:val="nil"/>
              <w:left w:val="nil"/>
              <w:bottom w:val="single" w:color="000000" w:sz="4" w:space="0"/>
              <w:right w:val="single" w:color="000000" w:sz="4" w:space="0"/>
            </w:tcBorders>
            <w:tcMar>
              <w:top w:w="0" w:type="dxa"/>
              <w:left w:w="0" w:type="dxa"/>
              <w:bottom w:w="0" w:type="dxa"/>
              <w:right w:w="0" w:type="dxa"/>
            </w:tcMar>
            <w:vAlign w:val="center"/>
          </w:tcPr>
          <w:p w14:paraId="12BB6872">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GB/T 1535-2017</w:t>
            </w:r>
          </w:p>
        </w:tc>
        <w:tc>
          <w:tcPr>
            <w:tcW w:w="1117" w:type="dxa"/>
            <w:tcBorders>
              <w:top w:val="nil"/>
              <w:left w:val="nil"/>
              <w:bottom w:val="single" w:color="000000" w:sz="4" w:space="0"/>
              <w:right w:val="single" w:color="000000" w:sz="4" w:space="0"/>
            </w:tcBorders>
            <w:tcMar>
              <w:top w:w="0" w:type="dxa"/>
              <w:left w:w="0" w:type="dxa"/>
              <w:bottom w:w="0" w:type="dxa"/>
              <w:right w:w="0" w:type="dxa"/>
            </w:tcMar>
            <w:vAlign w:val="center"/>
          </w:tcPr>
          <w:p w14:paraId="0C409CE0">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玉米油</w:t>
            </w:r>
          </w:p>
        </w:tc>
        <w:tc>
          <w:tcPr>
            <w:tcW w:w="4846" w:type="dxa"/>
            <w:tcBorders>
              <w:top w:val="nil"/>
              <w:left w:val="nil"/>
              <w:bottom w:val="single" w:color="000000" w:sz="4" w:space="0"/>
              <w:right w:val="single" w:color="000000" w:sz="4" w:space="0"/>
            </w:tcBorders>
            <w:tcMar>
              <w:top w:w="0" w:type="dxa"/>
              <w:left w:w="0" w:type="dxa"/>
              <w:bottom w:w="0" w:type="dxa"/>
              <w:right w:w="0" w:type="dxa"/>
            </w:tcMar>
            <w:vAlign w:val="center"/>
          </w:tcPr>
          <w:p w14:paraId="1774839C">
            <w:pPr>
              <w:snapToGrid w:val="0"/>
              <w:spacing w:line="360" w:lineRule="auto"/>
              <w:ind w:firstLine="420" w:firstLineChars="200"/>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GB/T 19111-2017</w:t>
            </w:r>
          </w:p>
        </w:tc>
      </w:tr>
      <w:tr w14:paraId="14E991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72"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14:paraId="550F4E0C">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葵花籽油</w:t>
            </w:r>
          </w:p>
        </w:tc>
        <w:tc>
          <w:tcPr>
            <w:tcW w:w="1744" w:type="dxa"/>
            <w:tcBorders>
              <w:top w:val="nil"/>
              <w:left w:val="nil"/>
              <w:bottom w:val="single" w:color="000000" w:sz="4" w:space="0"/>
              <w:right w:val="single" w:color="000000" w:sz="4" w:space="0"/>
            </w:tcBorders>
            <w:tcMar>
              <w:top w:w="0" w:type="dxa"/>
              <w:left w:w="0" w:type="dxa"/>
              <w:bottom w:w="0" w:type="dxa"/>
              <w:right w:w="0" w:type="dxa"/>
            </w:tcMar>
            <w:vAlign w:val="center"/>
          </w:tcPr>
          <w:p w14:paraId="7441648A">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GB/T 10464-2017</w:t>
            </w:r>
          </w:p>
        </w:tc>
        <w:tc>
          <w:tcPr>
            <w:tcW w:w="1117" w:type="dxa"/>
            <w:tcBorders>
              <w:top w:val="nil"/>
              <w:left w:val="nil"/>
              <w:bottom w:val="single" w:color="000000" w:sz="4" w:space="0"/>
              <w:right w:val="single" w:color="000000" w:sz="4" w:space="0"/>
            </w:tcBorders>
            <w:tcMar>
              <w:top w:w="0" w:type="dxa"/>
              <w:left w:w="0" w:type="dxa"/>
              <w:bottom w:w="0" w:type="dxa"/>
              <w:right w:w="0" w:type="dxa"/>
            </w:tcMar>
            <w:vAlign w:val="center"/>
          </w:tcPr>
          <w:p w14:paraId="56CA1C55">
            <w:pPr>
              <w:snapToGrid w:val="0"/>
              <w:spacing w:line="360" w:lineRule="auto"/>
              <w:jc w:val="center"/>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米糠油</w:t>
            </w:r>
          </w:p>
        </w:tc>
        <w:tc>
          <w:tcPr>
            <w:tcW w:w="4846" w:type="dxa"/>
            <w:tcBorders>
              <w:top w:val="nil"/>
              <w:left w:val="nil"/>
              <w:bottom w:val="single" w:color="000000" w:sz="4" w:space="0"/>
              <w:right w:val="single" w:color="000000" w:sz="4" w:space="0"/>
            </w:tcBorders>
            <w:tcMar>
              <w:top w:w="0" w:type="dxa"/>
              <w:left w:w="0" w:type="dxa"/>
              <w:bottom w:w="0" w:type="dxa"/>
              <w:right w:w="0" w:type="dxa"/>
            </w:tcMar>
            <w:vAlign w:val="center"/>
          </w:tcPr>
          <w:p w14:paraId="48E93437">
            <w:pPr>
              <w:snapToGrid w:val="0"/>
              <w:spacing w:line="360" w:lineRule="auto"/>
              <w:ind w:firstLine="420" w:firstLineChars="200"/>
              <w:jc w:val="both"/>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GB/T 19112-2003</w:t>
            </w:r>
          </w:p>
        </w:tc>
      </w:tr>
    </w:tbl>
    <w:p w14:paraId="1A7C4084">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花生原油质量指标</w:t>
      </w:r>
    </w:p>
    <w:tbl>
      <w:tblPr>
        <w:tblStyle w:val="46"/>
        <w:tblW w:w="8879" w:type="dxa"/>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88"/>
        <w:gridCol w:w="6391"/>
      </w:tblGrid>
      <w:tr w14:paraId="4C01F2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8" w:type="dxa"/>
            <w:tcBorders>
              <w:top w:val="single" w:color="000000" w:sz="8" w:space="0"/>
              <w:left w:val="single" w:color="000000" w:sz="8" w:space="0"/>
              <w:bottom w:val="single" w:color="000000" w:sz="4" w:space="0"/>
              <w:right w:val="single" w:color="000000" w:sz="4" w:space="0"/>
            </w:tcBorders>
            <w:tcMar>
              <w:top w:w="0" w:type="dxa"/>
              <w:left w:w="0" w:type="dxa"/>
              <w:bottom w:w="0" w:type="dxa"/>
              <w:right w:w="0" w:type="dxa"/>
            </w:tcMar>
            <w:vAlign w:val="top"/>
          </w:tcPr>
          <w:p w14:paraId="4D499F20">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项目</w:t>
            </w:r>
          </w:p>
        </w:tc>
        <w:tc>
          <w:tcPr>
            <w:tcW w:w="6391" w:type="dxa"/>
            <w:tcBorders>
              <w:top w:val="single" w:color="000000" w:sz="8" w:space="0"/>
              <w:left w:val="nil"/>
              <w:bottom w:val="single" w:color="000000" w:sz="4" w:space="0"/>
              <w:right w:val="single" w:color="000000" w:sz="8" w:space="0"/>
            </w:tcBorders>
            <w:tcMar>
              <w:top w:w="0" w:type="dxa"/>
              <w:left w:w="0" w:type="dxa"/>
              <w:bottom w:w="0" w:type="dxa"/>
              <w:right w:w="0" w:type="dxa"/>
            </w:tcMar>
            <w:vAlign w:val="top"/>
          </w:tcPr>
          <w:p w14:paraId="0A159F8B">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质量指标</w:t>
            </w:r>
          </w:p>
        </w:tc>
      </w:tr>
      <w:tr w14:paraId="4A8887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8"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26159EB3">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气味、滋味</w:t>
            </w:r>
          </w:p>
        </w:tc>
        <w:tc>
          <w:tcPr>
            <w:tcW w:w="6391" w:type="dxa"/>
            <w:tcBorders>
              <w:top w:val="nil"/>
              <w:left w:val="nil"/>
              <w:bottom w:val="single" w:color="000000" w:sz="4" w:space="0"/>
              <w:right w:val="single" w:color="000000" w:sz="8" w:space="0"/>
            </w:tcBorders>
            <w:tcMar>
              <w:top w:w="0" w:type="dxa"/>
              <w:left w:w="0" w:type="dxa"/>
              <w:bottom w:w="0" w:type="dxa"/>
              <w:right w:w="0" w:type="dxa"/>
            </w:tcMar>
            <w:vAlign w:val="top"/>
          </w:tcPr>
          <w:p w14:paraId="1E19FF6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具有花生原油固有的气味和滋味，无异味</w:t>
            </w:r>
          </w:p>
        </w:tc>
      </w:tr>
      <w:tr w14:paraId="5A6E52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8"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0D74C197">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水分及挥发物</w:t>
            </w:r>
          </w:p>
        </w:tc>
        <w:tc>
          <w:tcPr>
            <w:tcW w:w="6391" w:type="dxa"/>
            <w:tcBorders>
              <w:top w:val="nil"/>
              <w:left w:val="nil"/>
              <w:bottom w:val="single" w:color="000000" w:sz="4" w:space="0"/>
              <w:right w:val="single" w:color="000000" w:sz="8" w:space="0"/>
            </w:tcBorders>
            <w:tcMar>
              <w:top w:w="0" w:type="dxa"/>
              <w:left w:w="0" w:type="dxa"/>
              <w:bottom w:w="0" w:type="dxa"/>
              <w:right w:w="0" w:type="dxa"/>
            </w:tcMar>
            <w:vAlign w:val="top"/>
          </w:tcPr>
          <w:p w14:paraId="51D3F3D1">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≤0.20%</w:t>
            </w:r>
          </w:p>
        </w:tc>
      </w:tr>
      <w:tr w14:paraId="74F08A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8"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73521A6B">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不溶性杂质</w:t>
            </w:r>
          </w:p>
        </w:tc>
        <w:tc>
          <w:tcPr>
            <w:tcW w:w="6391" w:type="dxa"/>
            <w:tcBorders>
              <w:top w:val="nil"/>
              <w:left w:val="nil"/>
              <w:bottom w:val="single" w:color="000000" w:sz="4" w:space="0"/>
              <w:right w:val="single" w:color="000000" w:sz="8" w:space="0"/>
            </w:tcBorders>
            <w:tcMar>
              <w:top w:w="0" w:type="dxa"/>
              <w:left w:w="0" w:type="dxa"/>
              <w:bottom w:w="0" w:type="dxa"/>
              <w:right w:w="0" w:type="dxa"/>
            </w:tcMar>
            <w:vAlign w:val="top"/>
          </w:tcPr>
          <w:p w14:paraId="1646A0D1">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≤0.20%</w:t>
            </w:r>
          </w:p>
        </w:tc>
      </w:tr>
      <w:tr w14:paraId="2DCCB8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8"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7CD98FBD">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酸值(KOH)</w:t>
            </w:r>
          </w:p>
        </w:tc>
        <w:tc>
          <w:tcPr>
            <w:tcW w:w="6391" w:type="dxa"/>
            <w:tcBorders>
              <w:top w:val="nil"/>
              <w:left w:val="nil"/>
              <w:bottom w:val="single" w:color="000000" w:sz="4" w:space="0"/>
              <w:right w:val="single" w:color="000000" w:sz="8" w:space="0"/>
            </w:tcBorders>
            <w:tcMar>
              <w:top w:w="0" w:type="dxa"/>
              <w:left w:w="0" w:type="dxa"/>
              <w:bottom w:w="0" w:type="dxa"/>
              <w:right w:w="0" w:type="dxa"/>
            </w:tcMar>
            <w:vAlign w:val="top"/>
          </w:tcPr>
          <w:p w14:paraId="3A6FAD2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≤4.0mg/g</w:t>
            </w:r>
          </w:p>
        </w:tc>
      </w:tr>
      <w:tr w14:paraId="6951C8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8"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4DEE17F3">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过氧化值</w:t>
            </w:r>
          </w:p>
        </w:tc>
        <w:tc>
          <w:tcPr>
            <w:tcW w:w="6391" w:type="dxa"/>
            <w:tcBorders>
              <w:top w:val="nil"/>
              <w:left w:val="nil"/>
              <w:bottom w:val="single" w:color="000000" w:sz="4" w:space="0"/>
              <w:right w:val="single" w:color="000000" w:sz="8" w:space="0"/>
            </w:tcBorders>
            <w:tcMar>
              <w:top w:w="0" w:type="dxa"/>
              <w:left w:w="0" w:type="dxa"/>
              <w:bottom w:w="0" w:type="dxa"/>
              <w:right w:w="0" w:type="dxa"/>
            </w:tcMar>
            <w:vAlign w:val="top"/>
          </w:tcPr>
          <w:p w14:paraId="15887948">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≤7.5mmol/kg</w:t>
            </w:r>
          </w:p>
        </w:tc>
      </w:tr>
      <w:tr w14:paraId="46AAE6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88" w:type="dxa"/>
            <w:tcBorders>
              <w:top w:val="nil"/>
              <w:left w:val="single" w:color="000000" w:sz="8" w:space="0"/>
              <w:bottom w:val="single" w:color="000000" w:sz="8" w:space="0"/>
              <w:right w:val="single" w:color="000000" w:sz="4" w:space="0"/>
            </w:tcBorders>
            <w:tcMar>
              <w:top w:w="0" w:type="dxa"/>
              <w:left w:w="0" w:type="dxa"/>
              <w:bottom w:w="0" w:type="dxa"/>
              <w:right w:w="0" w:type="dxa"/>
            </w:tcMar>
            <w:vAlign w:val="top"/>
          </w:tcPr>
          <w:p w14:paraId="7D7BCD25">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溶剂残留量</w:t>
            </w:r>
          </w:p>
        </w:tc>
        <w:tc>
          <w:tcPr>
            <w:tcW w:w="6391" w:type="dxa"/>
            <w:tcBorders>
              <w:top w:val="nil"/>
              <w:left w:val="nil"/>
              <w:bottom w:val="single" w:color="000000" w:sz="8" w:space="0"/>
              <w:right w:val="single" w:color="000000" w:sz="8" w:space="0"/>
            </w:tcBorders>
            <w:tcMar>
              <w:top w:w="0" w:type="dxa"/>
              <w:left w:w="0" w:type="dxa"/>
              <w:bottom w:w="0" w:type="dxa"/>
              <w:right w:w="0" w:type="dxa"/>
            </w:tcMar>
            <w:vAlign w:val="top"/>
          </w:tcPr>
          <w:p w14:paraId="03830724">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≤100mg/kg</w:t>
            </w:r>
          </w:p>
        </w:tc>
      </w:tr>
    </w:tbl>
    <w:p w14:paraId="7172789A">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压榨成品花生油质量指标</w:t>
      </w:r>
    </w:p>
    <w:tbl>
      <w:tblPr>
        <w:tblStyle w:val="46"/>
        <w:tblW w:w="8894" w:type="dxa"/>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74"/>
        <w:gridCol w:w="3255"/>
        <w:gridCol w:w="3465"/>
      </w:tblGrid>
      <w:tr w14:paraId="735DA2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74" w:type="dxa"/>
            <w:vMerge w:val="restart"/>
            <w:tcBorders>
              <w:top w:val="single" w:color="000000" w:sz="8" w:space="0"/>
              <w:left w:val="single" w:color="000000" w:sz="8" w:space="0"/>
              <w:bottom w:val="single" w:color="000000" w:sz="4" w:space="0"/>
              <w:right w:val="single" w:color="000000" w:sz="4" w:space="0"/>
            </w:tcBorders>
            <w:tcMar>
              <w:top w:w="0" w:type="dxa"/>
              <w:left w:w="0" w:type="dxa"/>
              <w:bottom w:w="0" w:type="dxa"/>
              <w:right w:w="0" w:type="dxa"/>
            </w:tcMar>
            <w:vAlign w:val="center"/>
          </w:tcPr>
          <w:p w14:paraId="7E43BB37">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项目</w:t>
            </w:r>
          </w:p>
        </w:tc>
        <w:tc>
          <w:tcPr>
            <w:tcW w:w="6720" w:type="dxa"/>
            <w:gridSpan w:val="2"/>
            <w:tcBorders>
              <w:top w:val="single" w:color="000000" w:sz="8" w:space="0"/>
              <w:left w:val="nil"/>
              <w:bottom w:val="single" w:color="000000" w:sz="4" w:space="0"/>
              <w:right w:val="single" w:color="000000" w:sz="8" w:space="0"/>
            </w:tcBorders>
            <w:tcMar>
              <w:top w:w="0" w:type="dxa"/>
              <w:left w:w="0" w:type="dxa"/>
              <w:bottom w:w="0" w:type="dxa"/>
              <w:right w:w="0" w:type="dxa"/>
            </w:tcMar>
            <w:vAlign w:val="center"/>
          </w:tcPr>
          <w:p w14:paraId="7AA33177">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质量指标</w:t>
            </w:r>
          </w:p>
        </w:tc>
      </w:tr>
      <w:tr w14:paraId="31AF55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74" w:type="dxa"/>
            <w:vMerge w:val="continue"/>
            <w:tcBorders>
              <w:top w:val="single" w:color="000000" w:sz="8" w:space="0"/>
              <w:left w:val="single" w:color="000000" w:sz="8" w:space="0"/>
              <w:bottom w:val="single" w:color="000000" w:sz="4" w:space="0"/>
              <w:right w:val="single" w:color="000000" w:sz="4" w:space="0"/>
            </w:tcBorders>
          </w:tcPr>
          <w:p w14:paraId="742264E7">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cs="宋体"/>
                <w:bCs/>
                <w:color w:val="000000" w:themeColor="text1"/>
                <w:sz w:val="21"/>
                <w:szCs w:val="21"/>
                <w:highlight w:val="none"/>
                <w:lang w:eastAsia="zh-CN"/>
              </w:rPr>
            </w:pPr>
          </w:p>
        </w:tc>
        <w:tc>
          <w:tcPr>
            <w:tcW w:w="3255" w:type="dxa"/>
            <w:tcBorders>
              <w:top w:val="nil"/>
              <w:left w:val="nil"/>
              <w:bottom w:val="single" w:color="000000" w:sz="4" w:space="0"/>
              <w:right w:val="single" w:color="000000" w:sz="4" w:space="0"/>
            </w:tcBorders>
            <w:tcMar>
              <w:top w:w="0" w:type="dxa"/>
              <w:left w:w="0" w:type="dxa"/>
              <w:bottom w:w="0" w:type="dxa"/>
              <w:right w:w="0" w:type="dxa"/>
            </w:tcMar>
            <w:vAlign w:val="center"/>
          </w:tcPr>
          <w:p w14:paraId="64230D62">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一级</w:t>
            </w:r>
          </w:p>
        </w:tc>
        <w:tc>
          <w:tcPr>
            <w:tcW w:w="3465" w:type="dxa"/>
            <w:tcBorders>
              <w:top w:val="single" w:color="000000" w:sz="4" w:space="0"/>
              <w:left w:val="nil"/>
              <w:bottom w:val="single" w:color="000000" w:sz="4" w:space="0"/>
              <w:right w:val="single" w:color="000000" w:sz="8" w:space="0"/>
            </w:tcBorders>
            <w:tcMar>
              <w:top w:w="0" w:type="dxa"/>
              <w:left w:w="0" w:type="dxa"/>
              <w:bottom w:w="0" w:type="dxa"/>
              <w:right w:w="0" w:type="dxa"/>
            </w:tcMar>
            <w:vAlign w:val="center"/>
          </w:tcPr>
          <w:p w14:paraId="72A2C9BD">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二级</w:t>
            </w:r>
          </w:p>
        </w:tc>
      </w:tr>
      <w:tr w14:paraId="1F82EB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74"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2980A825">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色泽(罗维朋比色槽 25.4mm)≤</w:t>
            </w:r>
          </w:p>
        </w:tc>
        <w:tc>
          <w:tcPr>
            <w:tcW w:w="3255" w:type="dxa"/>
            <w:tcBorders>
              <w:top w:val="nil"/>
              <w:left w:val="nil"/>
              <w:bottom w:val="single" w:color="000000" w:sz="4" w:space="0"/>
              <w:right w:val="single" w:color="000000" w:sz="4" w:space="0"/>
            </w:tcBorders>
            <w:tcMar>
              <w:top w:w="0" w:type="dxa"/>
              <w:left w:w="0" w:type="dxa"/>
              <w:bottom w:w="0" w:type="dxa"/>
              <w:right w:w="0" w:type="dxa"/>
            </w:tcMar>
            <w:vAlign w:val="center"/>
          </w:tcPr>
          <w:p w14:paraId="51615C5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黄15  红1.5</w:t>
            </w:r>
          </w:p>
        </w:tc>
        <w:tc>
          <w:tcPr>
            <w:tcW w:w="3465" w:type="dxa"/>
            <w:tcBorders>
              <w:top w:val="nil"/>
              <w:left w:val="nil"/>
              <w:bottom w:val="single" w:color="000000" w:sz="4" w:space="0"/>
              <w:right w:val="single" w:color="000000" w:sz="8" w:space="0"/>
            </w:tcBorders>
            <w:tcMar>
              <w:top w:w="0" w:type="dxa"/>
              <w:left w:w="0" w:type="dxa"/>
              <w:bottom w:w="0" w:type="dxa"/>
              <w:right w:w="0" w:type="dxa"/>
            </w:tcMar>
            <w:vAlign w:val="center"/>
          </w:tcPr>
          <w:p w14:paraId="10044DA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黄25  红4.0</w:t>
            </w:r>
          </w:p>
        </w:tc>
      </w:tr>
      <w:tr w14:paraId="5D6DC8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74"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4C1AFE7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气味、滋味</w:t>
            </w:r>
          </w:p>
        </w:tc>
        <w:tc>
          <w:tcPr>
            <w:tcW w:w="3255" w:type="dxa"/>
            <w:tcBorders>
              <w:top w:val="nil"/>
              <w:left w:val="nil"/>
              <w:bottom w:val="single" w:color="000000" w:sz="4" w:space="0"/>
              <w:right w:val="single" w:color="000000" w:sz="4" w:space="0"/>
            </w:tcBorders>
            <w:tcMar>
              <w:top w:w="0" w:type="dxa"/>
              <w:left w:w="0" w:type="dxa"/>
              <w:bottom w:w="0" w:type="dxa"/>
              <w:right w:w="0" w:type="dxa"/>
            </w:tcMar>
            <w:vAlign w:val="center"/>
          </w:tcPr>
          <w:p w14:paraId="796806C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具有花生油固有的香味和滋味，无异味。</w:t>
            </w:r>
          </w:p>
        </w:tc>
        <w:tc>
          <w:tcPr>
            <w:tcW w:w="3465" w:type="dxa"/>
            <w:tcBorders>
              <w:top w:val="nil"/>
              <w:left w:val="nil"/>
              <w:bottom w:val="single" w:color="000000" w:sz="4" w:space="0"/>
              <w:right w:val="single" w:color="000000" w:sz="8" w:space="0"/>
            </w:tcBorders>
            <w:tcMar>
              <w:top w:w="0" w:type="dxa"/>
              <w:left w:w="0" w:type="dxa"/>
              <w:bottom w:w="0" w:type="dxa"/>
              <w:right w:w="0" w:type="dxa"/>
            </w:tcMar>
            <w:vAlign w:val="center"/>
          </w:tcPr>
          <w:p w14:paraId="69DA218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具有花生油固有的香味和滋味，无异味。</w:t>
            </w:r>
          </w:p>
        </w:tc>
      </w:tr>
      <w:tr w14:paraId="5B3B77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74"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4D29BABB">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透明度</w:t>
            </w:r>
          </w:p>
        </w:tc>
        <w:tc>
          <w:tcPr>
            <w:tcW w:w="3255" w:type="dxa"/>
            <w:tcBorders>
              <w:top w:val="nil"/>
              <w:left w:val="nil"/>
              <w:bottom w:val="single" w:color="000000" w:sz="4" w:space="0"/>
              <w:right w:val="single" w:color="000000" w:sz="4" w:space="0"/>
            </w:tcBorders>
            <w:tcMar>
              <w:top w:w="0" w:type="dxa"/>
              <w:left w:w="0" w:type="dxa"/>
              <w:bottom w:w="0" w:type="dxa"/>
              <w:right w:w="0" w:type="dxa"/>
            </w:tcMar>
            <w:vAlign w:val="center"/>
          </w:tcPr>
          <w:p w14:paraId="3142AF1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澄清、透明</w:t>
            </w:r>
          </w:p>
        </w:tc>
        <w:tc>
          <w:tcPr>
            <w:tcW w:w="3465" w:type="dxa"/>
            <w:tcBorders>
              <w:top w:val="nil"/>
              <w:left w:val="nil"/>
              <w:bottom w:val="single" w:color="000000" w:sz="4" w:space="0"/>
              <w:right w:val="single" w:color="000000" w:sz="8" w:space="0"/>
            </w:tcBorders>
            <w:tcMar>
              <w:top w:w="0" w:type="dxa"/>
              <w:left w:w="0" w:type="dxa"/>
              <w:bottom w:w="0" w:type="dxa"/>
              <w:right w:w="0" w:type="dxa"/>
            </w:tcMar>
            <w:vAlign w:val="center"/>
          </w:tcPr>
          <w:p w14:paraId="69982F8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澄清、透明</w:t>
            </w:r>
          </w:p>
        </w:tc>
      </w:tr>
      <w:tr w14:paraId="7E0E9D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74"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51C516C9">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水分及挥发物(%)≤</w:t>
            </w:r>
          </w:p>
        </w:tc>
        <w:tc>
          <w:tcPr>
            <w:tcW w:w="3255" w:type="dxa"/>
            <w:tcBorders>
              <w:top w:val="nil"/>
              <w:left w:val="nil"/>
              <w:bottom w:val="single" w:color="000000" w:sz="4" w:space="0"/>
              <w:right w:val="single" w:color="000000" w:sz="4" w:space="0"/>
            </w:tcBorders>
            <w:tcMar>
              <w:top w:w="0" w:type="dxa"/>
              <w:left w:w="0" w:type="dxa"/>
              <w:bottom w:w="0" w:type="dxa"/>
              <w:right w:w="0" w:type="dxa"/>
            </w:tcMar>
            <w:vAlign w:val="center"/>
          </w:tcPr>
          <w:p w14:paraId="2E9D7C4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0.10</w:t>
            </w:r>
          </w:p>
        </w:tc>
        <w:tc>
          <w:tcPr>
            <w:tcW w:w="3465" w:type="dxa"/>
            <w:tcBorders>
              <w:top w:val="nil"/>
              <w:left w:val="nil"/>
              <w:bottom w:val="single" w:color="000000" w:sz="4" w:space="0"/>
              <w:right w:val="single" w:color="000000" w:sz="8" w:space="0"/>
            </w:tcBorders>
            <w:tcMar>
              <w:top w:w="0" w:type="dxa"/>
              <w:left w:w="0" w:type="dxa"/>
              <w:bottom w:w="0" w:type="dxa"/>
              <w:right w:w="0" w:type="dxa"/>
            </w:tcMar>
            <w:vAlign w:val="center"/>
          </w:tcPr>
          <w:p w14:paraId="65F217A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0.15</w:t>
            </w:r>
          </w:p>
        </w:tc>
      </w:tr>
      <w:tr w14:paraId="755AB6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74"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7B26F97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不溶性杂质(%)≤</w:t>
            </w:r>
          </w:p>
        </w:tc>
        <w:tc>
          <w:tcPr>
            <w:tcW w:w="3255" w:type="dxa"/>
            <w:tcBorders>
              <w:top w:val="nil"/>
              <w:left w:val="nil"/>
              <w:bottom w:val="single" w:color="000000" w:sz="4" w:space="0"/>
              <w:right w:val="single" w:color="000000" w:sz="4" w:space="0"/>
            </w:tcBorders>
            <w:tcMar>
              <w:top w:w="0" w:type="dxa"/>
              <w:left w:w="0" w:type="dxa"/>
              <w:bottom w:w="0" w:type="dxa"/>
              <w:right w:w="0" w:type="dxa"/>
            </w:tcMar>
            <w:vAlign w:val="center"/>
          </w:tcPr>
          <w:p w14:paraId="50E5D2B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0.05</w:t>
            </w:r>
          </w:p>
        </w:tc>
        <w:tc>
          <w:tcPr>
            <w:tcW w:w="3465" w:type="dxa"/>
            <w:tcBorders>
              <w:top w:val="nil"/>
              <w:left w:val="nil"/>
              <w:bottom w:val="single" w:color="000000" w:sz="4" w:space="0"/>
              <w:right w:val="single" w:color="000000" w:sz="8" w:space="0"/>
            </w:tcBorders>
            <w:tcMar>
              <w:top w:w="0" w:type="dxa"/>
              <w:left w:w="0" w:type="dxa"/>
              <w:bottom w:w="0" w:type="dxa"/>
              <w:right w:w="0" w:type="dxa"/>
            </w:tcMar>
            <w:vAlign w:val="center"/>
          </w:tcPr>
          <w:p w14:paraId="35D690D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0.05</w:t>
            </w:r>
          </w:p>
        </w:tc>
      </w:tr>
      <w:tr w14:paraId="508427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74"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72F1320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酸值(KOH)/(mg/g)≤</w:t>
            </w:r>
          </w:p>
        </w:tc>
        <w:tc>
          <w:tcPr>
            <w:tcW w:w="3255" w:type="dxa"/>
            <w:tcBorders>
              <w:top w:val="nil"/>
              <w:left w:val="nil"/>
              <w:bottom w:val="single" w:color="000000" w:sz="4" w:space="0"/>
              <w:right w:val="single" w:color="000000" w:sz="4" w:space="0"/>
            </w:tcBorders>
            <w:tcMar>
              <w:top w:w="0" w:type="dxa"/>
              <w:left w:w="0" w:type="dxa"/>
              <w:bottom w:w="0" w:type="dxa"/>
              <w:right w:w="0" w:type="dxa"/>
            </w:tcMar>
            <w:vAlign w:val="center"/>
          </w:tcPr>
          <w:p w14:paraId="4FDB684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1.0</w:t>
            </w:r>
          </w:p>
        </w:tc>
        <w:tc>
          <w:tcPr>
            <w:tcW w:w="3465" w:type="dxa"/>
            <w:tcBorders>
              <w:top w:val="nil"/>
              <w:left w:val="nil"/>
              <w:bottom w:val="single" w:color="000000" w:sz="4" w:space="0"/>
              <w:right w:val="single" w:color="000000" w:sz="8" w:space="0"/>
            </w:tcBorders>
            <w:tcMar>
              <w:top w:w="0" w:type="dxa"/>
              <w:left w:w="0" w:type="dxa"/>
              <w:bottom w:w="0" w:type="dxa"/>
              <w:right w:w="0" w:type="dxa"/>
            </w:tcMar>
            <w:vAlign w:val="center"/>
          </w:tcPr>
          <w:p w14:paraId="6B5AAD3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2.5</w:t>
            </w:r>
          </w:p>
        </w:tc>
      </w:tr>
      <w:tr w14:paraId="31EE0F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74"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6889095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过氧化值/(mmol/g)≤</w:t>
            </w:r>
          </w:p>
        </w:tc>
        <w:tc>
          <w:tcPr>
            <w:tcW w:w="3255" w:type="dxa"/>
            <w:tcBorders>
              <w:top w:val="nil"/>
              <w:left w:val="nil"/>
              <w:bottom w:val="single" w:color="000000" w:sz="4" w:space="0"/>
              <w:right w:val="single" w:color="000000" w:sz="4" w:space="0"/>
            </w:tcBorders>
            <w:tcMar>
              <w:top w:w="0" w:type="dxa"/>
              <w:left w:w="0" w:type="dxa"/>
              <w:bottom w:w="0" w:type="dxa"/>
              <w:right w:w="0" w:type="dxa"/>
            </w:tcMar>
            <w:vAlign w:val="center"/>
          </w:tcPr>
          <w:p w14:paraId="0C533FB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6.0</w:t>
            </w:r>
          </w:p>
        </w:tc>
        <w:tc>
          <w:tcPr>
            <w:tcW w:w="3465" w:type="dxa"/>
            <w:tcBorders>
              <w:top w:val="nil"/>
              <w:left w:val="nil"/>
              <w:bottom w:val="single" w:color="000000" w:sz="4" w:space="0"/>
              <w:right w:val="single" w:color="000000" w:sz="8" w:space="0"/>
            </w:tcBorders>
            <w:tcMar>
              <w:top w:w="0" w:type="dxa"/>
              <w:left w:w="0" w:type="dxa"/>
              <w:bottom w:w="0" w:type="dxa"/>
              <w:right w:w="0" w:type="dxa"/>
            </w:tcMar>
            <w:vAlign w:val="center"/>
          </w:tcPr>
          <w:p w14:paraId="6F85594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7.5</w:t>
            </w:r>
          </w:p>
        </w:tc>
      </w:tr>
      <w:tr w14:paraId="4B495A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74"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top"/>
          </w:tcPr>
          <w:p w14:paraId="05C9EE29">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溶剂残留量/(mg/kg)</w:t>
            </w:r>
          </w:p>
        </w:tc>
        <w:tc>
          <w:tcPr>
            <w:tcW w:w="3255" w:type="dxa"/>
            <w:tcBorders>
              <w:top w:val="nil"/>
              <w:left w:val="nil"/>
              <w:bottom w:val="single" w:color="000000" w:sz="4" w:space="0"/>
              <w:right w:val="single" w:color="000000" w:sz="4" w:space="0"/>
            </w:tcBorders>
            <w:tcMar>
              <w:top w:w="0" w:type="dxa"/>
              <w:left w:w="0" w:type="dxa"/>
              <w:bottom w:w="0" w:type="dxa"/>
              <w:right w:w="0" w:type="dxa"/>
            </w:tcMar>
            <w:vAlign w:val="center"/>
          </w:tcPr>
          <w:p w14:paraId="4B610E5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不得检出</w:t>
            </w:r>
          </w:p>
        </w:tc>
        <w:tc>
          <w:tcPr>
            <w:tcW w:w="3465" w:type="dxa"/>
            <w:tcBorders>
              <w:top w:val="nil"/>
              <w:left w:val="nil"/>
              <w:bottom w:val="single" w:color="000000" w:sz="4" w:space="0"/>
              <w:right w:val="single" w:color="000000" w:sz="8" w:space="0"/>
            </w:tcBorders>
            <w:tcMar>
              <w:top w:w="0" w:type="dxa"/>
              <w:left w:w="0" w:type="dxa"/>
              <w:bottom w:w="0" w:type="dxa"/>
              <w:right w:w="0" w:type="dxa"/>
            </w:tcMar>
            <w:vAlign w:val="center"/>
          </w:tcPr>
          <w:p w14:paraId="2D53CC3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不得检出</w:t>
            </w:r>
          </w:p>
        </w:tc>
      </w:tr>
      <w:tr w14:paraId="1500CD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74" w:type="dxa"/>
            <w:tcBorders>
              <w:top w:val="nil"/>
              <w:left w:val="single" w:color="000000" w:sz="8" w:space="0"/>
              <w:bottom w:val="single" w:color="000000" w:sz="8" w:space="0"/>
              <w:right w:val="single" w:color="000000" w:sz="4" w:space="0"/>
            </w:tcBorders>
            <w:tcMar>
              <w:top w:w="0" w:type="dxa"/>
              <w:left w:w="0" w:type="dxa"/>
              <w:bottom w:w="0" w:type="dxa"/>
              <w:right w:w="0" w:type="dxa"/>
            </w:tcMar>
            <w:vAlign w:val="top"/>
          </w:tcPr>
          <w:p w14:paraId="229A1052">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加热试验(280℃)</w:t>
            </w:r>
          </w:p>
        </w:tc>
        <w:tc>
          <w:tcPr>
            <w:tcW w:w="3255" w:type="dxa"/>
            <w:tcBorders>
              <w:top w:val="nil"/>
              <w:left w:val="nil"/>
              <w:bottom w:val="single" w:color="000000" w:sz="8" w:space="0"/>
              <w:right w:val="single" w:color="000000" w:sz="4" w:space="0"/>
            </w:tcBorders>
            <w:tcMar>
              <w:top w:w="0" w:type="dxa"/>
              <w:left w:w="0" w:type="dxa"/>
              <w:bottom w:w="0" w:type="dxa"/>
              <w:right w:w="0" w:type="dxa"/>
            </w:tcMar>
            <w:vAlign w:val="center"/>
          </w:tcPr>
          <w:p w14:paraId="2A69956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无析出物，罗维朋比色：黄色值不变，红色值增加小于0.4。</w:t>
            </w:r>
          </w:p>
        </w:tc>
        <w:tc>
          <w:tcPr>
            <w:tcW w:w="3465" w:type="dxa"/>
            <w:tcBorders>
              <w:top w:val="nil"/>
              <w:left w:val="nil"/>
              <w:bottom w:val="single" w:color="000000" w:sz="8" w:space="0"/>
              <w:right w:val="single" w:color="000000" w:sz="8" w:space="0"/>
            </w:tcBorders>
            <w:tcMar>
              <w:top w:w="0" w:type="dxa"/>
              <w:left w:w="0" w:type="dxa"/>
              <w:bottom w:w="0" w:type="dxa"/>
              <w:right w:w="0" w:type="dxa"/>
            </w:tcMar>
            <w:vAlign w:val="center"/>
          </w:tcPr>
          <w:p w14:paraId="7CD7633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微量析出物，罗维朋比色：黄色值不变，红色值增加小于4.0，蓝色值增加小于0.5。</w:t>
            </w:r>
          </w:p>
        </w:tc>
      </w:tr>
    </w:tbl>
    <w:p w14:paraId="126E5C39">
      <w:pPr>
        <w:snapToGrid w:val="0"/>
        <w:spacing w:line="360" w:lineRule="auto"/>
        <w:ind w:firstLine="420" w:firstLineChars="200"/>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浸出成品花生油质量指标</w:t>
      </w:r>
    </w:p>
    <w:tbl>
      <w:tblPr>
        <w:tblStyle w:val="46"/>
        <w:tblW w:w="9135" w:type="dxa"/>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41"/>
        <w:gridCol w:w="1873"/>
        <w:gridCol w:w="1740"/>
        <w:gridCol w:w="1845"/>
        <w:gridCol w:w="2236"/>
      </w:tblGrid>
      <w:tr w14:paraId="560CDF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vMerge w:val="restart"/>
            <w:tcBorders>
              <w:top w:val="single" w:color="000000" w:sz="8" w:space="0"/>
              <w:left w:val="single" w:color="000000" w:sz="8" w:space="0"/>
              <w:bottom w:val="single" w:color="000000" w:sz="4" w:space="0"/>
              <w:right w:val="single" w:color="000000" w:sz="4" w:space="0"/>
            </w:tcBorders>
            <w:tcMar>
              <w:top w:w="0" w:type="dxa"/>
              <w:left w:w="0" w:type="dxa"/>
              <w:bottom w:w="0" w:type="dxa"/>
              <w:right w:w="0" w:type="dxa"/>
            </w:tcMar>
            <w:vAlign w:val="center"/>
          </w:tcPr>
          <w:p w14:paraId="26E081E3">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项目</w:t>
            </w:r>
          </w:p>
        </w:tc>
        <w:tc>
          <w:tcPr>
            <w:tcW w:w="7694" w:type="dxa"/>
            <w:gridSpan w:val="4"/>
            <w:tcBorders>
              <w:top w:val="single" w:color="000000" w:sz="8" w:space="0"/>
              <w:left w:val="nil"/>
              <w:bottom w:val="single" w:color="000000" w:sz="4" w:space="0"/>
              <w:right w:val="single" w:color="000000" w:sz="8" w:space="0"/>
            </w:tcBorders>
            <w:tcMar>
              <w:top w:w="0" w:type="dxa"/>
              <w:left w:w="0" w:type="dxa"/>
              <w:bottom w:w="0" w:type="dxa"/>
              <w:right w:w="0" w:type="dxa"/>
            </w:tcMar>
            <w:vAlign w:val="center"/>
          </w:tcPr>
          <w:p w14:paraId="29FE265C">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质量指标</w:t>
            </w:r>
          </w:p>
        </w:tc>
      </w:tr>
      <w:tr w14:paraId="4252D1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vMerge w:val="continue"/>
            <w:tcBorders>
              <w:top w:val="single" w:color="000000" w:sz="8" w:space="0"/>
              <w:left w:val="single" w:color="000000" w:sz="8" w:space="0"/>
              <w:bottom w:val="single" w:color="000000" w:sz="4" w:space="0"/>
              <w:right w:val="single" w:color="000000" w:sz="4" w:space="0"/>
            </w:tcBorders>
            <w:vAlign w:val="center"/>
          </w:tcPr>
          <w:p w14:paraId="79FB3115">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p>
        </w:tc>
        <w:tc>
          <w:tcPr>
            <w:tcW w:w="1873" w:type="dxa"/>
            <w:tcBorders>
              <w:top w:val="nil"/>
              <w:left w:val="nil"/>
              <w:bottom w:val="single" w:color="000000" w:sz="4" w:space="0"/>
              <w:right w:val="single" w:color="000000" w:sz="4" w:space="0"/>
            </w:tcBorders>
            <w:tcMar>
              <w:top w:w="0" w:type="dxa"/>
              <w:left w:w="0" w:type="dxa"/>
              <w:bottom w:w="0" w:type="dxa"/>
              <w:right w:w="0" w:type="dxa"/>
            </w:tcMar>
            <w:vAlign w:val="center"/>
          </w:tcPr>
          <w:p w14:paraId="6808212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一级</w:t>
            </w:r>
          </w:p>
        </w:tc>
        <w:tc>
          <w:tcPr>
            <w:tcW w:w="174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14:paraId="4D907CF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二级</w:t>
            </w:r>
          </w:p>
        </w:tc>
        <w:tc>
          <w:tcPr>
            <w:tcW w:w="184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14:paraId="74DB0E5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三级</w:t>
            </w:r>
          </w:p>
        </w:tc>
        <w:tc>
          <w:tcPr>
            <w:tcW w:w="2236" w:type="dxa"/>
            <w:tcBorders>
              <w:top w:val="single" w:color="000000" w:sz="4" w:space="0"/>
              <w:left w:val="nil"/>
              <w:bottom w:val="single" w:color="000000" w:sz="4" w:space="0"/>
              <w:right w:val="single" w:color="000000" w:sz="8" w:space="0"/>
            </w:tcBorders>
            <w:tcMar>
              <w:top w:w="0" w:type="dxa"/>
              <w:left w:w="0" w:type="dxa"/>
              <w:bottom w:w="0" w:type="dxa"/>
              <w:right w:w="0" w:type="dxa"/>
            </w:tcMar>
            <w:vAlign w:val="center"/>
          </w:tcPr>
          <w:p w14:paraId="2ACB3C4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四极</w:t>
            </w:r>
          </w:p>
        </w:tc>
      </w:tr>
      <w:tr w14:paraId="00F780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3D74D0B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(罗维朋比色槽 25.4mm)≤</w:t>
            </w:r>
          </w:p>
        </w:tc>
        <w:tc>
          <w:tcPr>
            <w:tcW w:w="1873" w:type="dxa"/>
            <w:tcBorders>
              <w:top w:val="nil"/>
              <w:left w:val="nil"/>
              <w:bottom w:val="single" w:color="000000" w:sz="4" w:space="0"/>
              <w:right w:val="single" w:color="000000" w:sz="4" w:space="0"/>
            </w:tcBorders>
            <w:tcMar>
              <w:top w:w="0" w:type="dxa"/>
              <w:left w:w="0" w:type="dxa"/>
              <w:bottom w:w="0" w:type="dxa"/>
              <w:right w:w="0" w:type="dxa"/>
            </w:tcMar>
            <w:vAlign w:val="center"/>
          </w:tcPr>
          <w:p w14:paraId="4FE7CEBF">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c>
          <w:tcPr>
            <w:tcW w:w="1740" w:type="dxa"/>
            <w:tcBorders>
              <w:top w:val="nil"/>
              <w:left w:val="nil"/>
              <w:bottom w:val="single" w:color="000000" w:sz="4" w:space="0"/>
              <w:right w:val="single" w:color="000000" w:sz="4" w:space="0"/>
            </w:tcBorders>
            <w:tcMar>
              <w:top w:w="0" w:type="dxa"/>
              <w:left w:w="0" w:type="dxa"/>
              <w:bottom w:w="0" w:type="dxa"/>
              <w:right w:w="0" w:type="dxa"/>
            </w:tcMar>
            <w:vAlign w:val="center"/>
          </w:tcPr>
          <w:p w14:paraId="746B5807">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c>
          <w:tcPr>
            <w:tcW w:w="1845" w:type="dxa"/>
            <w:tcBorders>
              <w:top w:val="nil"/>
              <w:left w:val="nil"/>
              <w:bottom w:val="single" w:color="000000" w:sz="4" w:space="0"/>
              <w:right w:val="single" w:color="000000" w:sz="4" w:space="0"/>
            </w:tcBorders>
            <w:tcMar>
              <w:top w:w="0" w:type="dxa"/>
              <w:left w:w="0" w:type="dxa"/>
              <w:bottom w:w="0" w:type="dxa"/>
              <w:right w:w="0" w:type="dxa"/>
            </w:tcMar>
            <w:vAlign w:val="center"/>
          </w:tcPr>
          <w:p w14:paraId="73ECD31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黄25红4.0</w:t>
            </w:r>
          </w:p>
        </w:tc>
        <w:tc>
          <w:tcPr>
            <w:tcW w:w="2236" w:type="dxa"/>
            <w:tcBorders>
              <w:top w:val="nil"/>
              <w:left w:val="nil"/>
              <w:bottom w:val="single" w:color="000000" w:sz="4" w:space="0"/>
              <w:right w:val="single" w:color="000000" w:sz="8" w:space="0"/>
            </w:tcBorders>
            <w:tcMar>
              <w:top w:w="0" w:type="dxa"/>
              <w:left w:w="0" w:type="dxa"/>
              <w:bottom w:w="0" w:type="dxa"/>
              <w:right w:w="0" w:type="dxa"/>
            </w:tcMar>
            <w:vAlign w:val="center"/>
          </w:tcPr>
          <w:p w14:paraId="74B374D6">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黄25红4.0</w:t>
            </w:r>
          </w:p>
        </w:tc>
      </w:tr>
      <w:tr w14:paraId="4491A1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10FD2B5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(罗维朋比色槽 133.4mm)≤</w:t>
            </w:r>
          </w:p>
        </w:tc>
        <w:tc>
          <w:tcPr>
            <w:tcW w:w="1873" w:type="dxa"/>
            <w:tcBorders>
              <w:top w:val="nil"/>
              <w:left w:val="nil"/>
              <w:bottom w:val="single" w:color="000000" w:sz="4" w:space="0"/>
              <w:right w:val="single" w:color="000000" w:sz="4" w:space="0"/>
            </w:tcBorders>
            <w:tcMar>
              <w:top w:w="0" w:type="dxa"/>
              <w:left w:w="0" w:type="dxa"/>
              <w:bottom w:w="0" w:type="dxa"/>
              <w:right w:w="0" w:type="dxa"/>
            </w:tcMar>
            <w:vAlign w:val="center"/>
          </w:tcPr>
          <w:p w14:paraId="54595EE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黄25红1.5</w:t>
            </w:r>
          </w:p>
        </w:tc>
        <w:tc>
          <w:tcPr>
            <w:tcW w:w="1740" w:type="dxa"/>
            <w:tcBorders>
              <w:top w:val="nil"/>
              <w:left w:val="nil"/>
              <w:bottom w:val="single" w:color="000000" w:sz="4" w:space="0"/>
              <w:right w:val="single" w:color="000000" w:sz="4" w:space="0"/>
            </w:tcBorders>
            <w:tcMar>
              <w:top w:w="0" w:type="dxa"/>
              <w:left w:w="0" w:type="dxa"/>
              <w:bottom w:w="0" w:type="dxa"/>
              <w:right w:w="0" w:type="dxa"/>
            </w:tcMar>
            <w:vAlign w:val="center"/>
          </w:tcPr>
          <w:p w14:paraId="66B14AA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黄25红2.0</w:t>
            </w:r>
          </w:p>
        </w:tc>
        <w:tc>
          <w:tcPr>
            <w:tcW w:w="1845" w:type="dxa"/>
            <w:tcBorders>
              <w:top w:val="nil"/>
              <w:left w:val="nil"/>
              <w:bottom w:val="single" w:color="000000" w:sz="4" w:space="0"/>
              <w:right w:val="single" w:color="000000" w:sz="4" w:space="0"/>
            </w:tcBorders>
            <w:tcMar>
              <w:top w:w="0" w:type="dxa"/>
              <w:left w:w="0" w:type="dxa"/>
              <w:bottom w:w="0" w:type="dxa"/>
              <w:right w:w="0" w:type="dxa"/>
            </w:tcMar>
            <w:vAlign w:val="center"/>
          </w:tcPr>
          <w:p w14:paraId="37226F01">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c>
          <w:tcPr>
            <w:tcW w:w="2236" w:type="dxa"/>
            <w:tcBorders>
              <w:top w:val="nil"/>
              <w:left w:val="nil"/>
              <w:bottom w:val="single" w:color="000000" w:sz="4" w:space="0"/>
              <w:right w:val="single" w:color="000000" w:sz="8" w:space="0"/>
            </w:tcBorders>
            <w:tcMar>
              <w:top w:w="0" w:type="dxa"/>
              <w:left w:w="0" w:type="dxa"/>
              <w:bottom w:w="0" w:type="dxa"/>
              <w:right w:w="0" w:type="dxa"/>
            </w:tcMar>
            <w:vAlign w:val="center"/>
          </w:tcPr>
          <w:p w14:paraId="3AEC3111">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r>
      <w:tr w14:paraId="28BD68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6E73E46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气味</w:t>
            </w:r>
          </w:p>
        </w:tc>
        <w:tc>
          <w:tcPr>
            <w:tcW w:w="7694" w:type="dxa"/>
            <w:gridSpan w:val="4"/>
            <w:tcBorders>
              <w:top w:val="nil"/>
              <w:left w:val="nil"/>
              <w:bottom w:val="single" w:color="000000" w:sz="4" w:space="0"/>
              <w:right w:val="single" w:color="000000" w:sz="8" w:space="0"/>
            </w:tcBorders>
            <w:tcMar>
              <w:top w:w="0" w:type="dxa"/>
              <w:left w:w="0" w:type="dxa"/>
              <w:bottom w:w="0" w:type="dxa"/>
              <w:right w:w="0" w:type="dxa"/>
            </w:tcMar>
            <w:vAlign w:val="center"/>
          </w:tcPr>
          <w:p w14:paraId="5E450BD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无气味、口感好，具有花生油固有的气味和滋味，无异味</w:t>
            </w:r>
          </w:p>
        </w:tc>
      </w:tr>
      <w:tr w14:paraId="49515A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21E55C3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透明度</w:t>
            </w:r>
          </w:p>
        </w:tc>
        <w:tc>
          <w:tcPr>
            <w:tcW w:w="1873" w:type="dxa"/>
            <w:tcBorders>
              <w:top w:val="nil"/>
              <w:left w:val="nil"/>
              <w:bottom w:val="single" w:color="000000" w:sz="4" w:space="0"/>
              <w:right w:val="single" w:color="000000" w:sz="4" w:space="0"/>
            </w:tcBorders>
            <w:tcMar>
              <w:top w:w="0" w:type="dxa"/>
              <w:left w:w="0" w:type="dxa"/>
              <w:bottom w:w="0" w:type="dxa"/>
              <w:right w:w="0" w:type="dxa"/>
            </w:tcMar>
            <w:vAlign w:val="center"/>
          </w:tcPr>
          <w:p w14:paraId="046AC819">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澄清、透明</w:t>
            </w:r>
          </w:p>
        </w:tc>
        <w:tc>
          <w:tcPr>
            <w:tcW w:w="174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14:paraId="7D4BCD29">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澄清、透明</w:t>
            </w:r>
          </w:p>
        </w:tc>
        <w:tc>
          <w:tcPr>
            <w:tcW w:w="184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14:paraId="481699F4">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c>
          <w:tcPr>
            <w:tcW w:w="2236" w:type="dxa"/>
            <w:tcBorders>
              <w:top w:val="single" w:color="000000" w:sz="4" w:space="0"/>
              <w:left w:val="nil"/>
              <w:bottom w:val="single" w:color="000000" w:sz="4" w:space="0"/>
              <w:right w:val="single" w:color="000000" w:sz="8" w:space="0"/>
            </w:tcBorders>
            <w:tcMar>
              <w:top w:w="0" w:type="dxa"/>
              <w:left w:w="0" w:type="dxa"/>
              <w:bottom w:w="0" w:type="dxa"/>
              <w:right w:w="0" w:type="dxa"/>
            </w:tcMar>
            <w:vAlign w:val="center"/>
          </w:tcPr>
          <w:p w14:paraId="795CC5F7">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r>
      <w:tr w14:paraId="6E2A74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23BA87E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水分及挥发物/(%)≤</w:t>
            </w:r>
          </w:p>
        </w:tc>
        <w:tc>
          <w:tcPr>
            <w:tcW w:w="1873" w:type="dxa"/>
            <w:tcBorders>
              <w:top w:val="nil"/>
              <w:left w:val="nil"/>
              <w:bottom w:val="single" w:color="000000" w:sz="4" w:space="0"/>
              <w:right w:val="single" w:color="000000" w:sz="4" w:space="0"/>
            </w:tcBorders>
            <w:tcMar>
              <w:top w:w="0" w:type="dxa"/>
              <w:left w:w="0" w:type="dxa"/>
              <w:bottom w:w="0" w:type="dxa"/>
              <w:right w:w="0" w:type="dxa"/>
            </w:tcMar>
            <w:vAlign w:val="center"/>
          </w:tcPr>
          <w:p w14:paraId="50C6A21C">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0.05</w:t>
            </w:r>
          </w:p>
        </w:tc>
        <w:tc>
          <w:tcPr>
            <w:tcW w:w="1740" w:type="dxa"/>
            <w:tcBorders>
              <w:top w:val="nil"/>
              <w:left w:val="nil"/>
              <w:bottom w:val="single" w:color="000000" w:sz="4" w:space="0"/>
              <w:right w:val="single" w:color="000000" w:sz="4" w:space="0"/>
            </w:tcBorders>
            <w:tcMar>
              <w:top w:w="0" w:type="dxa"/>
              <w:left w:w="0" w:type="dxa"/>
              <w:bottom w:w="0" w:type="dxa"/>
              <w:right w:w="0" w:type="dxa"/>
            </w:tcMar>
            <w:vAlign w:val="center"/>
          </w:tcPr>
          <w:p w14:paraId="3F52C021">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0.05</w:t>
            </w:r>
          </w:p>
        </w:tc>
        <w:tc>
          <w:tcPr>
            <w:tcW w:w="1845" w:type="dxa"/>
            <w:tcBorders>
              <w:top w:val="nil"/>
              <w:left w:val="nil"/>
              <w:bottom w:val="single" w:color="000000" w:sz="4" w:space="0"/>
              <w:right w:val="single" w:color="000000" w:sz="4" w:space="0"/>
            </w:tcBorders>
            <w:tcMar>
              <w:top w:w="0" w:type="dxa"/>
              <w:left w:w="0" w:type="dxa"/>
              <w:bottom w:w="0" w:type="dxa"/>
              <w:right w:w="0" w:type="dxa"/>
            </w:tcMar>
            <w:vAlign w:val="center"/>
          </w:tcPr>
          <w:p w14:paraId="3CD720E5">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0.10</w:t>
            </w:r>
          </w:p>
        </w:tc>
        <w:tc>
          <w:tcPr>
            <w:tcW w:w="2236" w:type="dxa"/>
            <w:tcBorders>
              <w:top w:val="nil"/>
              <w:left w:val="nil"/>
              <w:bottom w:val="single" w:color="000000" w:sz="4" w:space="0"/>
              <w:right w:val="single" w:color="000000" w:sz="8" w:space="0"/>
            </w:tcBorders>
            <w:tcMar>
              <w:top w:w="0" w:type="dxa"/>
              <w:left w:w="0" w:type="dxa"/>
              <w:bottom w:w="0" w:type="dxa"/>
              <w:right w:w="0" w:type="dxa"/>
            </w:tcMar>
            <w:vAlign w:val="center"/>
          </w:tcPr>
          <w:p w14:paraId="61B3E0B0">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0.20</w:t>
            </w:r>
          </w:p>
        </w:tc>
      </w:tr>
      <w:tr w14:paraId="478566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76ECF64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不溶性杂质/(%)≤</w:t>
            </w:r>
          </w:p>
        </w:tc>
        <w:tc>
          <w:tcPr>
            <w:tcW w:w="1873" w:type="dxa"/>
            <w:tcBorders>
              <w:top w:val="nil"/>
              <w:left w:val="nil"/>
              <w:bottom w:val="single" w:color="000000" w:sz="4" w:space="0"/>
              <w:right w:val="single" w:color="000000" w:sz="4" w:space="0"/>
            </w:tcBorders>
            <w:tcMar>
              <w:top w:w="0" w:type="dxa"/>
              <w:left w:w="0" w:type="dxa"/>
              <w:bottom w:w="0" w:type="dxa"/>
              <w:right w:w="0" w:type="dxa"/>
            </w:tcMar>
            <w:vAlign w:val="center"/>
          </w:tcPr>
          <w:p w14:paraId="7144F2E0">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0.05</w:t>
            </w:r>
          </w:p>
        </w:tc>
        <w:tc>
          <w:tcPr>
            <w:tcW w:w="1740" w:type="dxa"/>
            <w:tcBorders>
              <w:top w:val="nil"/>
              <w:left w:val="nil"/>
              <w:bottom w:val="single" w:color="000000" w:sz="4" w:space="0"/>
              <w:right w:val="single" w:color="000000" w:sz="4" w:space="0"/>
            </w:tcBorders>
            <w:tcMar>
              <w:top w:w="0" w:type="dxa"/>
              <w:left w:w="0" w:type="dxa"/>
              <w:bottom w:w="0" w:type="dxa"/>
              <w:right w:w="0" w:type="dxa"/>
            </w:tcMar>
            <w:vAlign w:val="center"/>
          </w:tcPr>
          <w:p w14:paraId="44B8DF9E">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0.05</w:t>
            </w:r>
          </w:p>
        </w:tc>
        <w:tc>
          <w:tcPr>
            <w:tcW w:w="1845" w:type="dxa"/>
            <w:tcBorders>
              <w:top w:val="nil"/>
              <w:left w:val="nil"/>
              <w:bottom w:val="single" w:color="000000" w:sz="4" w:space="0"/>
              <w:right w:val="single" w:color="000000" w:sz="4" w:space="0"/>
            </w:tcBorders>
            <w:tcMar>
              <w:top w:w="0" w:type="dxa"/>
              <w:left w:w="0" w:type="dxa"/>
              <w:bottom w:w="0" w:type="dxa"/>
              <w:right w:w="0" w:type="dxa"/>
            </w:tcMar>
            <w:vAlign w:val="center"/>
          </w:tcPr>
          <w:p w14:paraId="15E75D13">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0.05</w:t>
            </w:r>
          </w:p>
        </w:tc>
        <w:tc>
          <w:tcPr>
            <w:tcW w:w="2236" w:type="dxa"/>
            <w:tcBorders>
              <w:top w:val="nil"/>
              <w:left w:val="nil"/>
              <w:bottom w:val="single" w:color="000000" w:sz="4" w:space="0"/>
              <w:right w:val="single" w:color="000000" w:sz="8" w:space="0"/>
            </w:tcBorders>
            <w:tcMar>
              <w:top w:w="0" w:type="dxa"/>
              <w:left w:w="0" w:type="dxa"/>
              <w:bottom w:w="0" w:type="dxa"/>
              <w:right w:w="0" w:type="dxa"/>
            </w:tcMar>
            <w:vAlign w:val="center"/>
          </w:tcPr>
          <w:p w14:paraId="392BB4D9">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0.05</w:t>
            </w:r>
          </w:p>
        </w:tc>
      </w:tr>
      <w:tr w14:paraId="3EDB86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543CD44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酸值(KOH)/(mg/g)≤</w:t>
            </w:r>
          </w:p>
        </w:tc>
        <w:tc>
          <w:tcPr>
            <w:tcW w:w="1873" w:type="dxa"/>
            <w:tcBorders>
              <w:top w:val="nil"/>
              <w:left w:val="nil"/>
              <w:bottom w:val="single" w:color="000000" w:sz="4" w:space="0"/>
              <w:right w:val="single" w:color="000000" w:sz="4" w:space="0"/>
            </w:tcBorders>
            <w:tcMar>
              <w:top w:w="0" w:type="dxa"/>
              <w:left w:w="0" w:type="dxa"/>
              <w:bottom w:w="0" w:type="dxa"/>
              <w:right w:w="0" w:type="dxa"/>
            </w:tcMar>
            <w:vAlign w:val="center"/>
          </w:tcPr>
          <w:p w14:paraId="31AAF295">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0.20</w:t>
            </w:r>
          </w:p>
        </w:tc>
        <w:tc>
          <w:tcPr>
            <w:tcW w:w="1740" w:type="dxa"/>
            <w:tcBorders>
              <w:top w:val="nil"/>
              <w:left w:val="nil"/>
              <w:bottom w:val="single" w:color="000000" w:sz="4" w:space="0"/>
              <w:right w:val="single" w:color="000000" w:sz="4" w:space="0"/>
            </w:tcBorders>
            <w:tcMar>
              <w:top w:w="0" w:type="dxa"/>
              <w:left w:w="0" w:type="dxa"/>
              <w:bottom w:w="0" w:type="dxa"/>
              <w:right w:w="0" w:type="dxa"/>
            </w:tcMar>
            <w:vAlign w:val="center"/>
          </w:tcPr>
          <w:p w14:paraId="7C095836">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0.30</w:t>
            </w:r>
          </w:p>
        </w:tc>
        <w:tc>
          <w:tcPr>
            <w:tcW w:w="1845" w:type="dxa"/>
            <w:tcBorders>
              <w:top w:val="nil"/>
              <w:left w:val="nil"/>
              <w:bottom w:val="single" w:color="000000" w:sz="4" w:space="0"/>
              <w:right w:val="single" w:color="000000" w:sz="4" w:space="0"/>
            </w:tcBorders>
            <w:tcMar>
              <w:top w:w="0" w:type="dxa"/>
              <w:left w:w="0" w:type="dxa"/>
              <w:bottom w:w="0" w:type="dxa"/>
              <w:right w:w="0" w:type="dxa"/>
            </w:tcMar>
            <w:vAlign w:val="center"/>
          </w:tcPr>
          <w:p w14:paraId="26AB3315">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1.0</w:t>
            </w:r>
          </w:p>
        </w:tc>
        <w:tc>
          <w:tcPr>
            <w:tcW w:w="2236" w:type="dxa"/>
            <w:tcBorders>
              <w:top w:val="nil"/>
              <w:left w:val="nil"/>
              <w:bottom w:val="single" w:color="000000" w:sz="4" w:space="0"/>
              <w:right w:val="single" w:color="000000" w:sz="8" w:space="0"/>
            </w:tcBorders>
            <w:tcMar>
              <w:top w:w="0" w:type="dxa"/>
              <w:left w:w="0" w:type="dxa"/>
              <w:bottom w:w="0" w:type="dxa"/>
              <w:right w:w="0" w:type="dxa"/>
            </w:tcMar>
            <w:vAlign w:val="center"/>
          </w:tcPr>
          <w:p w14:paraId="796444D8">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3.0</w:t>
            </w:r>
          </w:p>
        </w:tc>
      </w:tr>
      <w:tr w14:paraId="38564D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767807F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过氧化值/(mmol/g)≤</w:t>
            </w:r>
          </w:p>
        </w:tc>
        <w:tc>
          <w:tcPr>
            <w:tcW w:w="1873" w:type="dxa"/>
            <w:tcBorders>
              <w:top w:val="nil"/>
              <w:left w:val="nil"/>
              <w:bottom w:val="single" w:color="000000" w:sz="4" w:space="0"/>
              <w:right w:val="single" w:color="000000" w:sz="4" w:space="0"/>
            </w:tcBorders>
            <w:tcMar>
              <w:top w:w="0" w:type="dxa"/>
              <w:left w:w="0" w:type="dxa"/>
              <w:bottom w:w="0" w:type="dxa"/>
              <w:right w:w="0" w:type="dxa"/>
            </w:tcMar>
            <w:vAlign w:val="center"/>
          </w:tcPr>
          <w:p w14:paraId="6F8F2673">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5.0</w:t>
            </w:r>
          </w:p>
        </w:tc>
        <w:tc>
          <w:tcPr>
            <w:tcW w:w="1740" w:type="dxa"/>
            <w:tcBorders>
              <w:top w:val="nil"/>
              <w:left w:val="nil"/>
              <w:bottom w:val="single" w:color="000000" w:sz="4" w:space="0"/>
              <w:right w:val="single" w:color="000000" w:sz="4" w:space="0"/>
            </w:tcBorders>
            <w:tcMar>
              <w:top w:w="0" w:type="dxa"/>
              <w:left w:w="0" w:type="dxa"/>
              <w:bottom w:w="0" w:type="dxa"/>
              <w:right w:w="0" w:type="dxa"/>
            </w:tcMar>
            <w:vAlign w:val="center"/>
          </w:tcPr>
          <w:p w14:paraId="639D113F">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5.0</w:t>
            </w:r>
          </w:p>
        </w:tc>
        <w:tc>
          <w:tcPr>
            <w:tcW w:w="1845" w:type="dxa"/>
            <w:tcBorders>
              <w:top w:val="nil"/>
              <w:left w:val="nil"/>
              <w:bottom w:val="single" w:color="000000" w:sz="4" w:space="0"/>
              <w:right w:val="single" w:color="000000" w:sz="4" w:space="0"/>
            </w:tcBorders>
            <w:tcMar>
              <w:top w:w="0" w:type="dxa"/>
              <w:left w:w="0" w:type="dxa"/>
              <w:bottom w:w="0" w:type="dxa"/>
              <w:right w:w="0" w:type="dxa"/>
            </w:tcMar>
            <w:vAlign w:val="center"/>
          </w:tcPr>
          <w:p w14:paraId="78274CAB">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7.5</w:t>
            </w:r>
          </w:p>
        </w:tc>
        <w:tc>
          <w:tcPr>
            <w:tcW w:w="2236" w:type="dxa"/>
            <w:tcBorders>
              <w:top w:val="nil"/>
              <w:left w:val="nil"/>
              <w:bottom w:val="single" w:color="000000" w:sz="4" w:space="0"/>
              <w:right w:val="single" w:color="000000" w:sz="8" w:space="0"/>
            </w:tcBorders>
            <w:tcMar>
              <w:top w:w="0" w:type="dxa"/>
              <w:left w:w="0" w:type="dxa"/>
              <w:bottom w:w="0" w:type="dxa"/>
              <w:right w:w="0" w:type="dxa"/>
            </w:tcMar>
            <w:vAlign w:val="center"/>
          </w:tcPr>
          <w:p w14:paraId="46DE74D6">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7.5</w:t>
            </w:r>
          </w:p>
        </w:tc>
      </w:tr>
      <w:tr w14:paraId="3CD82A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4E40555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加热试验(280℃)</w:t>
            </w:r>
          </w:p>
        </w:tc>
        <w:tc>
          <w:tcPr>
            <w:tcW w:w="1873" w:type="dxa"/>
            <w:tcBorders>
              <w:top w:val="nil"/>
              <w:left w:val="nil"/>
              <w:bottom w:val="single" w:color="000000" w:sz="4" w:space="0"/>
              <w:right w:val="single" w:color="000000" w:sz="4" w:space="0"/>
            </w:tcBorders>
            <w:tcMar>
              <w:top w:w="0" w:type="dxa"/>
              <w:left w:w="0" w:type="dxa"/>
              <w:bottom w:w="0" w:type="dxa"/>
              <w:right w:w="0" w:type="dxa"/>
            </w:tcMar>
            <w:vAlign w:val="center"/>
          </w:tcPr>
          <w:p w14:paraId="4EB0BDAC">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c>
          <w:tcPr>
            <w:tcW w:w="1740" w:type="dxa"/>
            <w:tcBorders>
              <w:top w:val="nil"/>
              <w:left w:val="nil"/>
              <w:bottom w:val="single" w:color="000000" w:sz="4" w:space="0"/>
              <w:right w:val="single" w:color="000000" w:sz="4" w:space="0"/>
            </w:tcBorders>
            <w:tcMar>
              <w:top w:w="0" w:type="dxa"/>
              <w:left w:w="0" w:type="dxa"/>
              <w:bottom w:w="0" w:type="dxa"/>
              <w:right w:w="0" w:type="dxa"/>
            </w:tcMar>
            <w:vAlign w:val="center"/>
          </w:tcPr>
          <w:p w14:paraId="6283AC3A">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c>
          <w:tcPr>
            <w:tcW w:w="1845" w:type="dxa"/>
            <w:tcBorders>
              <w:top w:val="nil"/>
              <w:left w:val="nil"/>
              <w:bottom w:val="single" w:color="000000" w:sz="4" w:space="0"/>
              <w:right w:val="single" w:color="000000" w:sz="4" w:space="0"/>
            </w:tcBorders>
            <w:tcMar>
              <w:top w:w="0" w:type="dxa"/>
              <w:left w:w="0" w:type="dxa"/>
              <w:bottom w:w="0" w:type="dxa"/>
              <w:right w:w="0" w:type="dxa"/>
            </w:tcMar>
            <w:vAlign w:val="center"/>
          </w:tcPr>
          <w:p w14:paraId="777A4F5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无析出物，罗维朋比色：黄色值不变，红色值增加小于0.4。</w:t>
            </w:r>
          </w:p>
        </w:tc>
        <w:tc>
          <w:tcPr>
            <w:tcW w:w="2236" w:type="dxa"/>
            <w:tcBorders>
              <w:top w:val="nil"/>
              <w:left w:val="nil"/>
              <w:bottom w:val="single" w:color="000000" w:sz="4" w:space="0"/>
              <w:right w:val="single" w:color="000000" w:sz="8" w:space="0"/>
            </w:tcBorders>
            <w:tcMar>
              <w:top w:w="0" w:type="dxa"/>
              <w:left w:w="0" w:type="dxa"/>
              <w:bottom w:w="0" w:type="dxa"/>
              <w:right w:w="0" w:type="dxa"/>
            </w:tcMar>
            <w:vAlign w:val="center"/>
          </w:tcPr>
          <w:p w14:paraId="306A3E77">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微量析出物，罗维朋比色：黄色值不变，红色值增加小于4.0，蓝色值增加小于0.5</w:t>
            </w:r>
          </w:p>
        </w:tc>
      </w:tr>
      <w:tr w14:paraId="15FD88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2AAD857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含皂量/(%)≤</w:t>
            </w:r>
          </w:p>
        </w:tc>
        <w:tc>
          <w:tcPr>
            <w:tcW w:w="1873" w:type="dxa"/>
            <w:tcBorders>
              <w:top w:val="nil"/>
              <w:left w:val="nil"/>
              <w:bottom w:val="single" w:color="000000" w:sz="4" w:space="0"/>
              <w:right w:val="single" w:color="000000" w:sz="4" w:space="0"/>
            </w:tcBorders>
            <w:tcMar>
              <w:top w:w="0" w:type="dxa"/>
              <w:left w:w="0" w:type="dxa"/>
              <w:bottom w:w="0" w:type="dxa"/>
              <w:right w:w="0" w:type="dxa"/>
            </w:tcMar>
            <w:vAlign w:val="center"/>
          </w:tcPr>
          <w:p w14:paraId="2D0B2A00">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c>
          <w:tcPr>
            <w:tcW w:w="1740" w:type="dxa"/>
            <w:tcBorders>
              <w:top w:val="nil"/>
              <w:left w:val="nil"/>
              <w:bottom w:val="single" w:color="000000" w:sz="4" w:space="0"/>
              <w:right w:val="single" w:color="000000" w:sz="4" w:space="0"/>
            </w:tcBorders>
            <w:tcMar>
              <w:top w:w="0" w:type="dxa"/>
              <w:left w:w="0" w:type="dxa"/>
              <w:bottom w:w="0" w:type="dxa"/>
              <w:right w:w="0" w:type="dxa"/>
            </w:tcMar>
            <w:vAlign w:val="center"/>
          </w:tcPr>
          <w:p w14:paraId="493D29A9">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c>
          <w:tcPr>
            <w:tcW w:w="1845" w:type="dxa"/>
            <w:tcBorders>
              <w:top w:val="nil"/>
              <w:left w:val="nil"/>
              <w:bottom w:val="single" w:color="000000" w:sz="4" w:space="0"/>
              <w:right w:val="single" w:color="000000" w:sz="4" w:space="0"/>
            </w:tcBorders>
            <w:tcMar>
              <w:top w:w="0" w:type="dxa"/>
              <w:left w:w="0" w:type="dxa"/>
              <w:bottom w:w="0" w:type="dxa"/>
              <w:right w:w="0" w:type="dxa"/>
            </w:tcMar>
            <w:vAlign w:val="center"/>
          </w:tcPr>
          <w:p w14:paraId="5826562F">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0.03</w:t>
            </w:r>
          </w:p>
        </w:tc>
        <w:tc>
          <w:tcPr>
            <w:tcW w:w="2236" w:type="dxa"/>
            <w:tcBorders>
              <w:top w:val="nil"/>
              <w:left w:val="nil"/>
              <w:bottom w:val="single" w:color="000000" w:sz="4" w:space="0"/>
              <w:right w:val="single" w:color="000000" w:sz="8" w:space="0"/>
            </w:tcBorders>
            <w:tcMar>
              <w:top w:w="0" w:type="dxa"/>
              <w:left w:w="0" w:type="dxa"/>
              <w:bottom w:w="0" w:type="dxa"/>
              <w:right w:w="0" w:type="dxa"/>
            </w:tcMar>
            <w:vAlign w:val="center"/>
          </w:tcPr>
          <w:p w14:paraId="63FFE49E">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r>
      <w:tr w14:paraId="6A7D6B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tcBorders>
              <w:top w:val="nil"/>
              <w:left w:val="single" w:color="000000" w:sz="8" w:space="0"/>
              <w:bottom w:val="single" w:color="000000" w:sz="4" w:space="0"/>
              <w:right w:val="single" w:color="000000" w:sz="4" w:space="0"/>
            </w:tcBorders>
            <w:tcMar>
              <w:top w:w="0" w:type="dxa"/>
              <w:left w:w="0" w:type="dxa"/>
              <w:bottom w:w="0" w:type="dxa"/>
              <w:right w:w="0" w:type="dxa"/>
            </w:tcMar>
            <w:vAlign w:val="center"/>
          </w:tcPr>
          <w:p w14:paraId="2C6BBFB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烟点/℃≥</w:t>
            </w:r>
          </w:p>
        </w:tc>
        <w:tc>
          <w:tcPr>
            <w:tcW w:w="1873" w:type="dxa"/>
            <w:tcBorders>
              <w:top w:val="nil"/>
              <w:left w:val="nil"/>
              <w:bottom w:val="single" w:color="000000" w:sz="4" w:space="0"/>
              <w:right w:val="single" w:color="000000" w:sz="4" w:space="0"/>
            </w:tcBorders>
            <w:tcMar>
              <w:top w:w="0" w:type="dxa"/>
              <w:left w:w="0" w:type="dxa"/>
              <w:bottom w:w="0" w:type="dxa"/>
              <w:right w:w="0" w:type="dxa"/>
            </w:tcMar>
            <w:vAlign w:val="center"/>
          </w:tcPr>
          <w:p w14:paraId="330C5BF3">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215</w:t>
            </w:r>
          </w:p>
        </w:tc>
        <w:tc>
          <w:tcPr>
            <w:tcW w:w="1740" w:type="dxa"/>
            <w:tcBorders>
              <w:top w:val="nil"/>
              <w:left w:val="nil"/>
              <w:bottom w:val="single" w:color="000000" w:sz="4" w:space="0"/>
              <w:right w:val="single" w:color="000000" w:sz="4" w:space="0"/>
            </w:tcBorders>
            <w:tcMar>
              <w:top w:w="0" w:type="dxa"/>
              <w:left w:w="0" w:type="dxa"/>
              <w:bottom w:w="0" w:type="dxa"/>
              <w:right w:w="0" w:type="dxa"/>
            </w:tcMar>
            <w:vAlign w:val="center"/>
          </w:tcPr>
          <w:p w14:paraId="7A7E8F83">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205</w:t>
            </w:r>
          </w:p>
        </w:tc>
        <w:tc>
          <w:tcPr>
            <w:tcW w:w="1845" w:type="dxa"/>
            <w:tcBorders>
              <w:top w:val="nil"/>
              <w:left w:val="nil"/>
              <w:bottom w:val="single" w:color="000000" w:sz="4" w:space="0"/>
              <w:right w:val="single" w:color="000000" w:sz="4" w:space="0"/>
            </w:tcBorders>
            <w:tcMar>
              <w:top w:w="0" w:type="dxa"/>
              <w:left w:w="0" w:type="dxa"/>
              <w:bottom w:w="0" w:type="dxa"/>
              <w:right w:w="0" w:type="dxa"/>
            </w:tcMar>
            <w:vAlign w:val="center"/>
          </w:tcPr>
          <w:p w14:paraId="09ECE749">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c>
          <w:tcPr>
            <w:tcW w:w="2236" w:type="dxa"/>
            <w:tcBorders>
              <w:top w:val="nil"/>
              <w:left w:val="nil"/>
              <w:bottom w:val="single" w:color="000000" w:sz="4" w:space="0"/>
              <w:right w:val="single" w:color="000000" w:sz="8" w:space="0"/>
            </w:tcBorders>
            <w:tcMar>
              <w:top w:w="0" w:type="dxa"/>
              <w:left w:w="0" w:type="dxa"/>
              <w:bottom w:w="0" w:type="dxa"/>
              <w:right w:w="0" w:type="dxa"/>
            </w:tcMar>
            <w:vAlign w:val="center"/>
          </w:tcPr>
          <w:p w14:paraId="36394BB6">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w:t>
            </w:r>
          </w:p>
        </w:tc>
      </w:tr>
      <w:tr w14:paraId="463076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41" w:type="dxa"/>
            <w:tcBorders>
              <w:top w:val="nil"/>
              <w:left w:val="single" w:color="000000" w:sz="8" w:space="0"/>
              <w:bottom w:val="single" w:color="000000" w:sz="8" w:space="0"/>
              <w:right w:val="single" w:color="000000" w:sz="4" w:space="0"/>
            </w:tcBorders>
            <w:tcMar>
              <w:top w:w="0" w:type="dxa"/>
              <w:left w:w="0" w:type="dxa"/>
              <w:bottom w:w="0" w:type="dxa"/>
              <w:right w:w="0" w:type="dxa"/>
            </w:tcMar>
            <w:vAlign w:val="center"/>
          </w:tcPr>
          <w:p w14:paraId="050C41A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溶剂残留量/(mg／kg)</w:t>
            </w:r>
          </w:p>
        </w:tc>
        <w:tc>
          <w:tcPr>
            <w:tcW w:w="1873" w:type="dxa"/>
            <w:tcBorders>
              <w:top w:val="nil"/>
              <w:left w:val="nil"/>
              <w:bottom w:val="single" w:color="000000" w:sz="8" w:space="0"/>
              <w:right w:val="single" w:color="000000" w:sz="4" w:space="0"/>
            </w:tcBorders>
            <w:tcMar>
              <w:top w:w="0" w:type="dxa"/>
              <w:left w:w="0" w:type="dxa"/>
              <w:bottom w:w="0" w:type="dxa"/>
              <w:right w:w="0" w:type="dxa"/>
            </w:tcMar>
            <w:vAlign w:val="center"/>
          </w:tcPr>
          <w:p w14:paraId="5F687EB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不得检出</w:t>
            </w:r>
          </w:p>
        </w:tc>
        <w:tc>
          <w:tcPr>
            <w:tcW w:w="1740" w:type="dxa"/>
            <w:tcBorders>
              <w:top w:val="nil"/>
              <w:left w:val="nil"/>
              <w:bottom w:val="single" w:color="000000" w:sz="8" w:space="0"/>
              <w:right w:val="single" w:color="000000" w:sz="4" w:space="0"/>
            </w:tcBorders>
            <w:tcMar>
              <w:top w:w="0" w:type="dxa"/>
              <w:left w:w="0" w:type="dxa"/>
              <w:bottom w:w="0" w:type="dxa"/>
              <w:right w:w="0" w:type="dxa"/>
            </w:tcMar>
            <w:vAlign w:val="center"/>
          </w:tcPr>
          <w:p w14:paraId="1CB039B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不得检出</w:t>
            </w:r>
          </w:p>
        </w:tc>
        <w:tc>
          <w:tcPr>
            <w:tcW w:w="1845" w:type="dxa"/>
            <w:tcBorders>
              <w:top w:val="nil"/>
              <w:left w:val="nil"/>
              <w:bottom w:val="single" w:color="000000" w:sz="8" w:space="0"/>
              <w:right w:val="single" w:color="000000" w:sz="4" w:space="0"/>
            </w:tcBorders>
            <w:tcMar>
              <w:top w:w="0" w:type="dxa"/>
              <w:left w:w="0" w:type="dxa"/>
              <w:bottom w:w="0" w:type="dxa"/>
              <w:right w:w="0" w:type="dxa"/>
            </w:tcMar>
            <w:vAlign w:val="center"/>
          </w:tcPr>
          <w:p w14:paraId="66A80C74">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≤50</w:t>
            </w:r>
          </w:p>
        </w:tc>
        <w:tc>
          <w:tcPr>
            <w:tcW w:w="2236" w:type="dxa"/>
            <w:tcBorders>
              <w:top w:val="nil"/>
              <w:left w:val="nil"/>
              <w:bottom w:val="single" w:color="000000" w:sz="8" w:space="0"/>
              <w:right w:val="single" w:color="000000" w:sz="8" w:space="0"/>
            </w:tcBorders>
            <w:tcMar>
              <w:top w:w="0" w:type="dxa"/>
              <w:left w:w="0" w:type="dxa"/>
              <w:bottom w:w="0" w:type="dxa"/>
              <w:right w:w="0" w:type="dxa"/>
            </w:tcMar>
            <w:vAlign w:val="center"/>
          </w:tcPr>
          <w:p w14:paraId="7D969499">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center"/>
              <w:textAlignment w:val="auto"/>
              <w:rPr>
                <w:rFonts w:hint="eastAsia" w:ascii="宋体" w:hAnsi="宋体" w:cs="宋体"/>
                <w:bCs/>
                <w:color w:val="000000" w:themeColor="text1"/>
                <w:sz w:val="21"/>
                <w:szCs w:val="21"/>
                <w:highlight w:val="none"/>
                <w:lang w:eastAsia="zh-CN"/>
              </w:rPr>
            </w:pPr>
            <w:r>
              <w:rPr>
                <w:rFonts w:hint="eastAsia" w:ascii="宋体" w:hAnsi="宋体" w:cs="宋体"/>
                <w:bCs/>
                <w:color w:val="000000" w:themeColor="text1"/>
                <w:sz w:val="21"/>
                <w:szCs w:val="21"/>
                <w:highlight w:val="none"/>
                <w:lang w:eastAsia="zh-CN"/>
              </w:rPr>
              <w:t>≤50</w:t>
            </w:r>
          </w:p>
        </w:tc>
      </w:tr>
    </w:tbl>
    <w:p w14:paraId="4E16C029">
      <w:pPr>
        <w:snapToGrid w:val="0"/>
        <w:spacing w:line="360" w:lineRule="auto"/>
        <w:rPr>
          <w:rFonts w:hint="eastAsia" w:ascii="宋体" w:hAnsi="宋体"/>
          <w:b/>
          <w:bCs/>
          <w:color w:val="000000" w:themeColor="text1"/>
          <w:highlight w:val="none"/>
        </w:rPr>
      </w:pPr>
      <w:r>
        <w:rPr>
          <w:rFonts w:hint="eastAsia" w:ascii="宋体" w:hAnsi="宋体"/>
          <w:b/>
          <w:color w:val="000000" w:themeColor="text1"/>
          <w:highlight w:val="none"/>
          <w:lang w:val="en-US" w:eastAsia="zh-CN"/>
        </w:rPr>
        <w:t>六</w:t>
      </w:r>
      <w:r>
        <w:rPr>
          <w:rFonts w:hint="eastAsia" w:ascii="宋体" w:hAnsi="宋体"/>
          <w:b/>
          <w:color w:val="000000" w:themeColor="text1"/>
          <w:highlight w:val="none"/>
        </w:rPr>
        <w:t>、配送服务要求</w:t>
      </w:r>
      <w:r>
        <w:rPr>
          <w:rFonts w:hint="eastAsia" w:ascii="宋体" w:hAnsi="宋体"/>
          <w:b/>
          <w:bCs/>
          <w:color w:val="000000" w:themeColor="text1"/>
          <w:highlight w:val="none"/>
        </w:rPr>
        <w:t>：</w:t>
      </w:r>
    </w:p>
    <w:p w14:paraId="128BFAA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1.采购人提前一天以微信或电话的方式向中标供应商下订单，订单内容包括所要采购的名称、规格、数量等。</w:t>
      </w:r>
    </w:p>
    <w:p w14:paraId="5F9ABD0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2.采购人根据自身的需求。有权终止</w:t>
      </w:r>
      <w:r>
        <w:rPr>
          <w:rFonts w:hint="eastAsia" w:ascii="宋体" w:hAnsi="宋体"/>
          <w:color w:val="000000" w:themeColor="text1"/>
          <w:highlight w:val="none"/>
          <w:lang w:val="en-US" w:eastAsia="zh-CN"/>
        </w:rPr>
        <w:t>项目</w:t>
      </w:r>
      <w:r>
        <w:rPr>
          <w:rFonts w:hint="eastAsia" w:ascii="宋体" w:hAnsi="宋体"/>
          <w:color w:val="000000" w:themeColor="text1"/>
          <w:highlight w:val="none"/>
        </w:rPr>
        <w:t>中的某些货物的采购或变更某类货物的采购。</w:t>
      </w:r>
    </w:p>
    <w:p w14:paraId="0CB79DB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3.在采购人未签收之前，食品的所有权和风险属于中标供应商，食品发生遗失、损坏由中标供应商负责。</w:t>
      </w:r>
    </w:p>
    <w:p w14:paraId="6C66B19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4.中标供应商根据采购人实际要求运送食品，按采购人要求进行加工。</w:t>
      </w:r>
    </w:p>
    <w:p w14:paraId="34FF1CE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5.中标供应商应当根据采购人实际情况。按与采购人的约定，在规定的时间内将规定的食品数量送到采购人指定地点。除客观不可抗力外，中标供应商不得推迟送货。如确需延迟送货的，中标供应商应在得知情况的同时告知采购人并征得采购人同意。因中标供应商原因逾期交货，采购人有权自行采购，并由中标供应商承担由此产生的一切损失和费用。采购人可直接在当月货款或者履约保证金中扣除。</w:t>
      </w:r>
    </w:p>
    <w:p w14:paraId="2AE8AA0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6.若采购人临时修改订单内容的，中标供应商必须在接到通知后的60分钟内将食品送达，经采购人验收核对后才算完成。</w:t>
      </w:r>
    </w:p>
    <w:p w14:paraId="64BAFE0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7.除客观不可抗力外，中标供应商不得更改送货内容（包括但不限于商标、名称、产地、包装、规格和重量）。如确需变更供货内容的，中标供应商应在得知情况的同时告知采购人并征得采购人同意，双方一致同意。如中标供应商有私自更改订单中货品行为属于严重违约，采购人有权要求中标供应商更换或视同中标供应商逾期交货，中标供应商须向采购人承担相应的违约责任。</w:t>
      </w:r>
    </w:p>
    <w:p w14:paraId="0A42396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8.中标供应商的送货单必须详细注明货物的品牌、型号、单价、数量，送货单不得涂改，加盖公章或者业务章。标记不清的，采购人将拒绝签收。结算期末中标供应商还应提供送货清单供采购人结算。</w:t>
      </w:r>
    </w:p>
    <w:p w14:paraId="35B7003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9.采购人发现食品变质不能食用或在保质期内出现包装损坏的，中标供应商承诺无条件退换。因退换货产生的费用由中标供应商负责，同时中标供应商需采购人承担相应的违约责任。</w:t>
      </w:r>
    </w:p>
    <w:p w14:paraId="1C6EEC7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10.每次配送中标供应商必须安排配送员及配送专车。配送员负责货物的运输、过程，并协助采购人验收食品，货物的品种和重量以采购人验收的结果为准。中标供应商必须保证安全卸货且送往采购人指定的卸货区域，运输车辆为带有不锈钢尾板的冷藏车（蔬菜类和</w:t>
      </w:r>
      <w:r>
        <w:rPr>
          <w:rFonts w:hint="eastAsia" w:ascii="宋体" w:hAnsi="宋体"/>
          <w:color w:val="000000" w:themeColor="text1"/>
          <w:highlight w:val="none"/>
          <w:lang w:eastAsia="zh-CN"/>
        </w:rPr>
        <w:t>副食品类、蛋类、面粉、大米和食用油</w:t>
      </w:r>
      <w:r>
        <w:rPr>
          <w:rFonts w:hint="eastAsia" w:ascii="宋体" w:hAnsi="宋体"/>
          <w:color w:val="000000" w:themeColor="text1"/>
          <w:highlight w:val="none"/>
        </w:rPr>
        <w:t>的产品可用非冷藏车）。</w:t>
      </w:r>
    </w:p>
    <w:p w14:paraId="2D8E06E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11.中标供应商指定的配送专员必须具有健康证、穿着便于辨认的工衣和佩戴胸卡，配送专员在校内活动必须严格遵守采购人各项规章制度，不得做出有损采购人形象和利益的事情。中标供应商应将配送专员的名单向采购人登记，并提供配送人员是中标公司员工的佐证材料，若有变更的，应向采购人作出变更登记。</w:t>
      </w:r>
    </w:p>
    <w:p w14:paraId="148DB60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12.进入校区的配送车必须为已在采购人登记备案车辆。同时，中标供应商应将送货的时间与送货的路线向采购人登记，登记内容如有发生变更的，应向采购人作出变更登记。</w:t>
      </w:r>
    </w:p>
    <w:p w14:paraId="643B961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13.配送车进入校区后车速不得超过15KM，配送车辆在校区内应主动避让师生，如属中标供应商车辆责任造成校内人员（师生）事故的，一切责任由中标供应商承担。</w:t>
      </w:r>
    </w:p>
    <w:p w14:paraId="7FEFE0D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14.中标供应商应能够配合采购人及时更新所提供的符合卫监部门的有效证明材料。如有效的营业执照、产品合格证、食品经营许可证等。</w:t>
      </w:r>
    </w:p>
    <w:p w14:paraId="260FA61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15.中标供应商不得泄露采购人的商业秘密。泄密造成采购人损失的，中标供应商将承担由此产生的一切损失和法律责任。</w:t>
      </w:r>
    </w:p>
    <w:p w14:paraId="5D0E345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16.中标供应商的工作人员在履行合同的过程中发生人身损害事故的。相应的责任与损失由中标供应商自行承担；中标供应商的工作人员因履行合同造成采购人财产损失或采购人师生人员损害的，中标供应商承担连带责任。</w:t>
      </w:r>
    </w:p>
    <w:p w14:paraId="080BB73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olor w:val="000000" w:themeColor="text1"/>
          <w:highlight w:val="none"/>
        </w:rPr>
        <w:t>17.如中标供应商在履行合同的过程中有不正当竞争行为的，采购人有权解除服务合同，没收中标供应商全部履约保证金。并按《中华人民共和国反不正当竞争法》的规定由相关部门追究其法律责任。</w:t>
      </w:r>
    </w:p>
    <w:p w14:paraId="37F2B63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lang w:val="zh-CN"/>
        </w:rPr>
      </w:pPr>
      <w:r>
        <w:rPr>
          <w:rFonts w:hint="eastAsia" w:ascii="宋体" w:hAnsi="宋体"/>
          <w:color w:val="000000" w:themeColor="text1"/>
          <w:highlight w:val="none"/>
        </w:rPr>
        <w:t>18.每季度定期或不定期接受主管部门、职能部门委托的第三方检测机构的抽样检验以上所产生的所有费用，均由中标供应商负担。</w:t>
      </w:r>
    </w:p>
    <w:p w14:paraId="4F14A5B5">
      <w:pPr>
        <w:snapToGrid w:val="0"/>
        <w:spacing w:line="360" w:lineRule="auto"/>
        <w:rPr>
          <w:rFonts w:hint="eastAsia" w:ascii="宋体" w:hAnsi="宋体" w:cs="宋体"/>
          <w:b/>
          <w:color w:val="000000" w:themeColor="text1"/>
          <w:szCs w:val="21"/>
          <w:highlight w:val="none"/>
        </w:rPr>
      </w:pPr>
      <w:r>
        <w:rPr>
          <w:rFonts w:hint="eastAsia" w:ascii="宋体" w:hAnsi="宋体" w:cs="宋体"/>
          <w:b/>
          <w:color w:val="000000" w:themeColor="text1"/>
          <w:szCs w:val="21"/>
          <w:highlight w:val="none"/>
          <w:lang w:val="en-US" w:eastAsia="zh-CN"/>
        </w:rPr>
        <w:t>七</w:t>
      </w:r>
      <w:r>
        <w:rPr>
          <w:rFonts w:hint="eastAsia" w:ascii="宋体" w:hAnsi="宋体" w:cs="宋体"/>
          <w:b/>
          <w:color w:val="000000" w:themeColor="text1"/>
          <w:szCs w:val="21"/>
          <w:highlight w:val="none"/>
        </w:rPr>
        <w:t>、配送车辆及运载工具要求：</w:t>
      </w:r>
    </w:p>
    <w:p w14:paraId="0CF04CD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1.食品运输必须采用符合卫生标准的外包装和运载工具，所有运输工具都要保持干净。</w:t>
      </w:r>
    </w:p>
    <w:p w14:paraId="271DF1A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2.配送车辆专车专用，车身有明确的公司标识。车厢的内仓，包括地面、墙面和顶，应使用抗腐蚀、防潮，易清洁消毒的材料。车厢内无不良气味、异味。</w:t>
      </w:r>
    </w:p>
    <w:p w14:paraId="2BC893B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3.整个运输过程应科学合理，保持性能稳定，符合规定的温度要求，使运输食品处于恒定的环境中。</w:t>
      </w:r>
    </w:p>
    <w:p w14:paraId="20F0EF0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4.车厢内外应保持清洁并定期消毒，食品堆放科学合理，避免造成食品的交叉污染。如对温度有要求的食品应确定食品的温度，记录送货车辆温度，并记录存档。</w:t>
      </w:r>
    </w:p>
    <w:p w14:paraId="1FE9581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5.配送车辆实行一小时配送圈运作。</w:t>
      </w:r>
    </w:p>
    <w:p w14:paraId="3AC8BE4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6.在配送卸货环节中应保证冷藏食品脱离冷链时间不超过20分钟。</w:t>
      </w:r>
    </w:p>
    <w:p w14:paraId="2F24ED5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7.配送车辆内的食品应有包装或使用密闭容器盛放，容器材料应符合食品安全国家标准或有关规定，高危易腐食品应采用冷冻（藏）方式配送。</w:t>
      </w:r>
    </w:p>
    <w:p w14:paraId="74F48C5C">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cs="宋体"/>
          <w:b/>
          <w:color w:val="000000" w:themeColor="text1"/>
          <w:szCs w:val="21"/>
          <w:highlight w:val="none"/>
        </w:rPr>
      </w:pPr>
      <w:r>
        <w:rPr>
          <w:rFonts w:hint="eastAsia" w:ascii="宋体" w:hAnsi="宋体" w:cs="宋体"/>
          <w:b/>
          <w:color w:val="000000" w:themeColor="text1"/>
          <w:szCs w:val="21"/>
          <w:highlight w:val="none"/>
          <w:lang w:val="en-US" w:eastAsia="zh-CN"/>
        </w:rPr>
        <w:t>八</w:t>
      </w:r>
      <w:r>
        <w:rPr>
          <w:rFonts w:hint="eastAsia" w:ascii="宋体" w:hAnsi="宋体" w:cs="宋体"/>
          <w:b/>
          <w:color w:val="000000" w:themeColor="text1"/>
          <w:szCs w:val="21"/>
          <w:highlight w:val="none"/>
        </w:rPr>
        <w:t>、验收要求</w:t>
      </w:r>
    </w:p>
    <w:p w14:paraId="2958BA5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1.做好卸货前的检查。采购人和中标供应商双方的验收人员卸货前应对场地和验收设备做好准备。并对货物的外观质量进行初步了解。</w:t>
      </w:r>
    </w:p>
    <w:p w14:paraId="2887F07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2.采取现场验收的方式，双方验收人员应认真检查物资的质量，按索票、索据、验证---抽查---过磅（清点）---入库的程序完成验收，中标供应商可提供原件的留件，原件只有一份无法提供给采购人的，查验原件后索取复印件留存。</w:t>
      </w:r>
    </w:p>
    <w:p w14:paraId="7EA2FFE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3.对每次验收的物资均记录物资名称、数量、验收情况等事项，并由双方签名确认。</w:t>
      </w:r>
    </w:p>
    <w:p w14:paraId="227D58F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4.采购人在签收的同时，将随机抽取一份封存并做好相关的标识记录，中标供应商配送人员对此应予以确认，该封存食物封存时间将不少于48小时，且作为中标供应商所配送的食物品质依据之一，以备今后核查。</w:t>
      </w:r>
    </w:p>
    <w:p w14:paraId="16528DD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5.每批次每种货物均抽查验收，按前附产品质量描述对货物质量进行抽查。</w:t>
      </w:r>
    </w:p>
    <w:p w14:paraId="70D9AC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6.整批食品无或缺少《溯源标准及要求》中提及的相应票证的全部退货。</w:t>
      </w:r>
    </w:p>
    <w:p w14:paraId="489524B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7.对缺斤短两的按实际缺少重量进行扣减，对含水量超标的作退货处理。</w:t>
      </w:r>
    </w:p>
    <w:p w14:paraId="59FD414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8.有关大米、大批量统一包装同种食品重量的抽查；</w:t>
      </w:r>
    </w:p>
    <w:p w14:paraId="6B2DC08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（1）在当供货批次中随机选择5袋进行称重；</w:t>
      </w:r>
    </w:p>
    <w:p w14:paraId="310F68E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（2）以每袋称重之和的平均值作为当供货批次的抽查重量。</w:t>
      </w:r>
    </w:p>
    <w:p w14:paraId="4C8799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9.发现食品安全质量问题的处理</w:t>
      </w:r>
    </w:p>
    <w:p w14:paraId="7549B66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（1）对危及人身安全的食品质量问题采取零容忍措施，中标供应商提供假冒伪劣、过期、变质、有毒对身体产生不利影响或不符合卫生标准的食品，一经发现，当日所送同批次食品全部退货。</w:t>
      </w:r>
    </w:p>
    <w:p w14:paraId="375AC09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（2）若抽查未发现问题，而在加工食用前发现部分产品质量问题，采购人有权通知中标供应商将问题食品或全部食品进行退货处理。</w:t>
      </w:r>
    </w:p>
    <w:p w14:paraId="1F9471E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（3）采购人退货后将记录在案，并向中标供应商主张违约金，除要承担因此产生的一切损失和费用外。同时采购人有权取消中标供应商服务资格。</w:t>
      </w:r>
    </w:p>
    <w:p w14:paraId="79701DE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10.退（补）货流程</w:t>
      </w:r>
    </w:p>
    <w:p w14:paraId="38181B3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对不符合采购要求的食品由采购人提出清退,如双方对质量或重量有争议的可送具有检验资质的部门检测，同时留样备检，对数量不足或退货的，责令中标供应商以不影响学生伙食供应为前提。1小时内补送到位。</w:t>
      </w:r>
    </w:p>
    <w:p w14:paraId="2CC1E74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11.食品的质量问题争议及解决办法</w:t>
      </w:r>
    </w:p>
    <w:p w14:paraId="35D55C4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themeColor="text1"/>
          <w:highlight w:val="none"/>
        </w:rPr>
      </w:pPr>
      <w:r>
        <w:rPr>
          <w:rFonts w:hint="eastAsia" w:ascii="宋体" w:hAnsi="宋体" w:cs="宋体"/>
          <w:bCs/>
          <w:color w:val="000000" w:themeColor="text1"/>
          <w:szCs w:val="21"/>
          <w:highlight w:val="none"/>
        </w:rPr>
        <w:t>因食品的质量问题发生争议,由当地质量鉴定单位或国家法定的质量鉴定单位进行质量鉴定。食品符合质量标准的，鉴定费由采购人承担；食品不符合质量标准的，鉴定费由中标供应商承担，并且采购人有权追究中标供应商的相关责任。</w:t>
      </w:r>
    </w:p>
    <w:p w14:paraId="49D38AB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cs="宋体"/>
          <w:bCs/>
          <w:color w:val="000000" w:themeColor="text1"/>
          <w:szCs w:val="21"/>
          <w:highlight w:val="none"/>
        </w:rPr>
      </w:pPr>
      <w:r>
        <w:rPr>
          <w:rFonts w:hint="eastAsia" w:ascii="宋体" w:hAnsi="宋体" w:cs="宋体"/>
          <w:b/>
          <w:bCs w:val="0"/>
          <w:color w:val="000000" w:themeColor="text1"/>
          <w:szCs w:val="21"/>
          <w:highlight w:val="none"/>
          <w:lang w:val="en-US" w:eastAsia="zh-CN"/>
        </w:rPr>
        <w:t>九、</w:t>
      </w:r>
      <w:r>
        <w:rPr>
          <w:rFonts w:hint="eastAsia" w:ascii="宋体" w:hAnsi="宋体" w:cs="宋体"/>
          <w:b/>
          <w:bCs w:val="0"/>
          <w:color w:val="000000" w:themeColor="text1"/>
          <w:szCs w:val="21"/>
          <w:highlight w:val="none"/>
        </w:rPr>
        <w:t>溯源标准及要求</w:t>
      </w:r>
    </w:p>
    <w:p w14:paraId="46B778D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中标供应商提供的食材必须按照广东省农产品质量安全智慧监管平台提供溯源产品报告，做到报告随货到。相关政策如有最新规定，则遵从最新规定。（提供承诺函，格式自拟）</w:t>
      </w:r>
    </w:p>
    <w:p w14:paraId="48F7C26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招标文件要求对食品的来源和质量标准要有详尽的描述，并提出验收的行业标准和感官标准。如该品牌商品无质量标准，则由投标人按国家和行业的要求自行描述。为做到“来源可追溯、去向可查证”的目的，中标供应商要严格按照“测源标准”提供票证，做到货到票证到，并将票据原件交用采购人饭堂存档备查。验收中无票证、货与票证不相符的以及要素不全的，采购人有权拒收。</w:t>
      </w:r>
    </w:p>
    <w:p w14:paraId="123D7345">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cs="宋体"/>
          <w:bCs/>
          <w:color w:val="000000" w:themeColor="text1"/>
          <w:szCs w:val="21"/>
          <w:highlight w:val="none"/>
        </w:rPr>
      </w:pPr>
      <w:r>
        <w:rPr>
          <w:rFonts w:hint="eastAsia" w:ascii="宋体" w:hAnsi="宋体" w:cs="宋体"/>
          <w:b/>
          <w:bCs w:val="0"/>
          <w:color w:val="000000" w:themeColor="text1"/>
          <w:szCs w:val="21"/>
          <w:highlight w:val="none"/>
          <w:lang w:val="en-US" w:eastAsia="zh-CN"/>
        </w:rPr>
        <w:t>十</w:t>
      </w:r>
      <w:r>
        <w:rPr>
          <w:rFonts w:hint="eastAsia" w:ascii="宋体" w:hAnsi="宋体" w:cs="宋体"/>
          <w:b/>
          <w:bCs w:val="0"/>
          <w:color w:val="000000" w:themeColor="text1"/>
          <w:szCs w:val="21"/>
          <w:highlight w:val="none"/>
        </w:rPr>
        <w:t>、项目其它要求</w:t>
      </w:r>
    </w:p>
    <w:p w14:paraId="54BD87F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中标供应商在食品配送过程中如出现需向采购人支付经济赔偿金、违约罚金等相关费用时，采购人可直接在每月食品配送结算金额或履约金中扣除，如金额不足以支付时，差额部分中标供应商需另行向采购人支付。</w:t>
      </w:r>
    </w:p>
    <w:p w14:paraId="5FE0DCF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2.中标供应商因违反合同约定给采购人造成重大影响或经济损失，由此所造成采购人的经济损失以及引致的法律责任由中标供应商承担。</w:t>
      </w:r>
    </w:p>
    <w:p w14:paraId="0177A96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3.非采购人的原因而出现食品质量问题，由中标供应商负责更换或退货，并承担因此而产生的一切责任及费用。</w:t>
      </w:r>
    </w:p>
    <w:p w14:paraId="3480A94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4.采购人对中标供应商食品配送工作进行不定期抽查考核，原则上每月考核一次。</w:t>
      </w:r>
    </w:p>
    <w:p w14:paraId="4309A4F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5.中标供应商有以下行为，经调查属实的，采购人将立即解除相关供应合同：</w:t>
      </w:r>
    </w:p>
    <w:p w14:paraId="0BE89B2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5.1 弄虚作假，提供虚假材料取得中标资格的；</w:t>
      </w:r>
    </w:p>
    <w:p w14:paraId="76B04A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5.2 因所供货物质量原因导致发生食品安全事故的；</w:t>
      </w:r>
    </w:p>
    <w:p w14:paraId="7B9E9B8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5.3 中标后将项目转包、分包行为的；</w:t>
      </w:r>
    </w:p>
    <w:p w14:paraId="31A827F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5.4 无正当理由拒绝履行合同向采购人供货的；</w:t>
      </w:r>
    </w:p>
    <w:p w14:paraId="27460FF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5.5 有行贿等不正当竞争行为的；</w:t>
      </w:r>
    </w:p>
    <w:p w14:paraId="1B98FFF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5.6 所供应食品存在故意假冒伪劣行为的；</w:t>
      </w:r>
    </w:p>
    <w:p w14:paraId="719E446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5.7 经营情况发生重大变化，已经不具备承接中标供应项目能力的；</w:t>
      </w:r>
    </w:p>
    <w:p w14:paraId="6A0EBEA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5.8 违反招标文件和合同相关管理规定，或有其它违法违纪行为的。</w:t>
      </w:r>
    </w:p>
    <w:p w14:paraId="5693F04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cs="宋体"/>
          <w:bCs/>
          <w:color w:val="000000" w:themeColor="text1"/>
          <w:szCs w:val="21"/>
          <w:highlight w:val="none"/>
        </w:rPr>
      </w:pPr>
      <w:r>
        <w:rPr>
          <w:rFonts w:hint="eastAsia" w:ascii="宋体" w:hAnsi="宋体" w:cs="宋体"/>
          <w:b/>
          <w:bCs w:val="0"/>
          <w:color w:val="000000" w:themeColor="text1"/>
          <w:szCs w:val="21"/>
          <w:highlight w:val="none"/>
        </w:rPr>
        <w:t>十</w:t>
      </w:r>
      <w:r>
        <w:rPr>
          <w:rFonts w:hint="eastAsia" w:ascii="宋体" w:hAnsi="宋体" w:cs="宋体"/>
          <w:b/>
          <w:bCs w:val="0"/>
          <w:color w:val="000000" w:themeColor="text1"/>
          <w:szCs w:val="21"/>
          <w:highlight w:val="none"/>
          <w:lang w:val="en-US" w:eastAsia="zh-CN"/>
        </w:rPr>
        <w:t>一</w:t>
      </w:r>
      <w:r>
        <w:rPr>
          <w:rFonts w:hint="eastAsia" w:ascii="宋体" w:hAnsi="宋体" w:cs="宋体"/>
          <w:b/>
          <w:bCs w:val="0"/>
          <w:color w:val="000000" w:themeColor="text1"/>
          <w:szCs w:val="21"/>
          <w:highlight w:val="none"/>
        </w:rPr>
        <w:t>、供应商的退出</w:t>
      </w:r>
    </w:p>
    <w:p w14:paraId="5317FDE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（一）主动退出</w:t>
      </w:r>
    </w:p>
    <w:p w14:paraId="349A7A7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供货商中标或选定后因各种原因无法履行合同或职责，中途主动退出的，需提前30日向学校提出申请。主动退出的供货商，自退出之日起3年内不能参加或提供该校食堂食品食材采购和配送。</w:t>
      </w:r>
    </w:p>
    <w:p w14:paraId="186E86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（二）一票否决情形</w:t>
      </w:r>
    </w:p>
    <w:p w14:paraId="0EAF613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供货商在履行供货合同期间，如有以下情形之一的，相关学校可与供货商终止供货合同：</w:t>
      </w:r>
    </w:p>
    <w:p w14:paraId="36FFFC0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因提供的食品食材问题而发生学校食品安全事故被相关部门认定，造成不良影响的；</w:t>
      </w:r>
    </w:p>
    <w:p w14:paraId="08B2095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2</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供货商提供的食品食材被市场监管部门（或第三方抽检机构）抽检认定为存在质量问题或不合格的，一年内达两次或两次以上的；</w:t>
      </w:r>
    </w:p>
    <w:p w14:paraId="3C2E95E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3</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相关证照被行政主管部门吊销的；</w:t>
      </w:r>
    </w:p>
    <w:p w14:paraId="4374A7A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4</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供应商因违规违纪行为，受到行业监督管理部门通报、查处的；</w:t>
      </w:r>
    </w:p>
    <w:p w14:paraId="3EE3900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发生重大服务质量问题受到有关政府部门处罚的；</w:t>
      </w:r>
    </w:p>
    <w:p w14:paraId="502EB9D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6</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与他人串通，向学校主管人员或验收货人进行物质、金钱行贿的，损害国家利益、社会公共利益或师生合法权益的；</w:t>
      </w:r>
    </w:p>
    <w:p w14:paraId="5B2AC84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7</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不能按学校要求的期限完成供货计划，因供应商的原因影响学校无法正常用餐的；</w:t>
      </w:r>
    </w:p>
    <w:p w14:paraId="409D8DD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8</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工作态度或服务态度不端正，学校提出书面整改（或警告）通知后仍未采取有效措施进行改善，累计达3次的；</w:t>
      </w:r>
    </w:p>
    <w:p w14:paraId="603BC31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9</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无故推托或拒绝接受供货任务累计达3次的；</w:t>
      </w:r>
    </w:p>
    <w:p w14:paraId="550EFA2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10</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供应商违反了诚实信用和投标承诺，没有严格执行相关质量、服务，损害学校或师生利益的；</w:t>
      </w:r>
    </w:p>
    <w:p w14:paraId="0731C1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11</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提供虚假信息，隐瞒、伪造、假借等弄虚作假的非法手段误导或欺骗采购人，以谋取非法利益的；</w:t>
      </w:r>
    </w:p>
    <w:p w14:paraId="01229FF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12</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拒绝接受相关部门和学校监督和检查的；</w:t>
      </w:r>
    </w:p>
    <w:p w14:paraId="18A664A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13</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出现信用危机、财务危机、经营危机甚至破产、倒闭，无法继续履行合同的；</w:t>
      </w:r>
    </w:p>
    <w:p w14:paraId="6DC9CB4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14</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因食品食材质量问题造成安全事故的；</w:t>
      </w:r>
    </w:p>
    <w:p w14:paraId="4FB0418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15</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提供假冒伪劣、过期产品的；</w:t>
      </w:r>
    </w:p>
    <w:p w14:paraId="7705A36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16</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检验检测报告造假的；</w:t>
      </w:r>
    </w:p>
    <w:p w14:paraId="24F582E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17</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出现供货商有联手哄抬物价现象的，因供货价虚高被投诉达3次或以上的；</w:t>
      </w:r>
    </w:p>
    <w:p w14:paraId="25DA096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18</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对履行合同条款不到位，学校提出书面整改（或警告）通知后仍未采取有效措施进行改善，累计达3次的；</w:t>
      </w:r>
    </w:p>
    <w:p w14:paraId="22E6882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19</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存在其他违反法律法规、行业管理规定等行为的。</w:t>
      </w:r>
    </w:p>
    <w:p w14:paraId="3F68B98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（三）勒令退出</w:t>
      </w:r>
    </w:p>
    <w:p w14:paraId="715AF7F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lang w:val="en-US" w:eastAsia="zh-CN"/>
        </w:rPr>
        <w:t>1.</w:t>
      </w:r>
      <w:r>
        <w:rPr>
          <w:rFonts w:hint="eastAsia" w:ascii="宋体" w:hAnsi="宋体" w:cs="宋体"/>
          <w:bCs/>
          <w:color w:val="000000" w:themeColor="text1"/>
          <w:szCs w:val="21"/>
          <w:highlight w:val="none"/>
        </w:rPr>
        <w:t>中标或被选定后，供货商将标的转让、转包或委托他人配送的，一经查实，由学校约谈相关企业（个人），限定时间整改，约谈2次以上（含2次）拒不整改的，取消其供货资格。2年内不能参加或提供学校食品食材采购和配送。</w:t>
      </w:r>
    </w:p>
    <w:p w14:paraId="0D7CE04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lang w:val="en-US" w:eastAsia="zh-CN"/>
        </w:rPr>
        <w:t>2.</w:t>
      </w:r>
      <w:r>
        <w:rPr>
          <w:rFonts w:hint="eastAsia" w:ascii="宋体" w:hAnsi="宋体" w:cs="宋体"/>
          <w:bCs/>
          <w:color w:val="000000" w:themeColor="text1"/>
          <w:szCs w:val="21"/>
          <w:highlight w:val="none"/>
        </w:rPr>
        <w:t>在合同周期内，学校集中反映意见较大的供货商，由学校约谈相关企业（个人），限定时间整改，约谈2次以上（含2次）拒不整改的，取消供货资格。2年内不能参加或提供学校食品食材采购和配送。</w:t>
      </w:r>
    </w:p>
    <w:p w14:paraId="15F99B8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3</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学校充分发挥膳食管理委员会的监督作用，每季度组织不少于一次师生对学生食堂饭菜质量的满意度测评（满意度不得低于70%），每学期组织一次综合满意度测评（满意度不得低于70%），测评人数不少于就餐师生总数的50%；测评结果在适当范围内公示。供货期间，两次综合满意度测评结果低于70%的，学校可无条件终止合同，其损失由供货商自行负责。学年综合满意度低于70%或供货营期间有两次综合满意度测评结果低于70%的供货商，不得参与下一轮本学校食堂学校食堂食品原材料采购和配送的招投标活动。</w:t>
      </w:r>
    </w:p>
    <w:p w14:paraId="0FABB00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4</w:t>
      </w:r>
      <w:r>
        <w:rPr>
          <w:rFonts w:hint="eastAsia" w:ascii="宋体" w:hAnsi="宋体" w:cs="宋体"/>
          <w:bCs/>
          <w:color w:val="000000" w:themeColor="text1"/>
          <w:szCs w:val="21"/>
          <w:highlight w:val="none"/>
          <w:lang w:val="en-US" w:eastAsia="zh-CN"/>
        </w:rPr>
        <w:t>.</w:t>
      </w:r>
      <w:r>
        <w:rPr>
          <w:rFonts w:hint="eastAsia" w:ascii="宋体" w:hAnsi="宋体" w:cs="宋体"/>
          <w:bCs/>
          <w:color w:val="000000" w:themeColor="text1"/>
          <w:szCs w:val="21"/>
          <w:highlight w:val="none"/>
        </w:rPr>
        <w:t>中标供应商是食品供应直接责任人，应当重视师生的健康，确保食品卫生安全，杜绝食品安全事故的发生。如因中标供应商提供的食品导致发生食品安全事故，中标供应商负全部责任，采购人取消中标供应商食品定点供应商资格，并视情节轻重处以2万－5万元罚款，罚款从履约金中扣除。</w:t>
      </w:r>
    </w:p>
    <w:p w14:paraId="361ACC8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Cs/>
          <w:color w:val="000000" w:themeColor="text1"/>
          <w:szCs w:val="21"/>
          <w:highlight w:val="none"/>
        </w:rPr>
      </w:pPr>
      <w:r>
        <w:rPr>
          <w:rFonts w:hint="eastAsia" w:ascii="宋体" w:hAnsi="宋体" w:cs="宋体"/>
          <w:bCs/>
          <w:color w:val="000000" w:themeColor="text1"/>
          <w:szCs w:val="21"/>
          <w:highlight w:val="none"/>
        </w:rPr>
        <w:t>5.采购人在服务期限内对中标供应商实行考核制度（考核细则见附件），每月综合服务满意度满分为100分，合格标准为85分，满意度不得低于85分。半年内累计出现3次以及以上考核分数低于85分的采购人有权解除合同。</w:t>
      </w:r>
    </w:p>
    <w:p w14:paraId="00016C14">
      <w:pPr>
        <w:keepNext w:val="0"/>
        <w:keepLines w:val="0"/>
        <w:pageBreakBefore w:val="0"/>
        <w:widowControl w:val="0"/>
        <w:numPr>
          <w:ilvl w:val="0"/>
          <w:numId w:val="0"/>
        </w:numPr>
        <w:kinsoku/>
        <w:wordWrap/>
        <w:overflowPunct/>
        <w:topLinePunct w:val="0"/>
        <w:bidi w:val="0"/>
        <w:snapToGrid/>
        <w:spacing w:line="360" w:lineRule="auto"/>
        <w:rPr>
          <w:rFonts w:hint="eastAsia" w:ascii="宋体" w:hAnsi="宋体" w:eastAsia="宋体" w:cs="宋体"/>
          <w:b/>
          <w:bCs w:val="0"/>
          <w:color w:val="000000" w:themeColor="text1"/>
          <w:kern w:val="44"/>
          <w:sz w:val="21"/>
          <w:szCs w:val="21"/>
          <w:highlight w:val="none"/>
          <w:lang w:val="en-US" w:eastAsia="zh-CN"/>
        </w:rPr>
      </w:pPr>
      <w:r>
        <w:rPr>
          <w:rFonts w:hint="eastAsia" w:ascii="宋体" w:hAnsi="宋体" w:eastAsia="宋体" w:cs="宋体"/>
          <w:b/>
          <w:bCs w:val="0"/>
          <w:color w:val="000000" w:themeColor="text1"/>
          <w:szCs w:val="21"/>
          <w:highlight w:val="none"/>
          <w:lang w:val="en-US" w:eastAsia="zh-CN"/>
        </w:rPr>
        <w:t>十二、</w:t>
      </w:r>
      <w:r>
        <w:rPr>
          <w:rFonts w:hint="eastAsia" w:ascii="宋体" w:hAnsi="宋体" w:eastAsia="宋体" w:cs="宋体"/>
          <w:b/>
          <w:bCs w:val="0"/>
          <w:color w:val="000000" w:themeColor="text1"/>
          <w:kern w:val="44"/>
          <w:sz w:val="21"/>
          <w:szCs w:val="21"/>
          <w:highlight w:val="none"/>
          <w:lang w:val="en-US" w:eastAsia="zh-CN"/>
        </w:rPr>
        <w:t>其他事项</w:t>
      </w:r>
    </w:p>
    <w:p w14:paraId="12912286">
      <w:pPr>
        <w:pStyle w:val="5"/>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themeColor="text1"/>
          <w:kern w:val="2"/>
          <w:sz w:val="21"/>
          <w:szCs w:val="21"/>
          <w:highlight w:val="none"/>
          <w:lang w:val="en-US" w:eastAsia="zh-CN" w:bidi="ar-SA"/>
        </w:rPr>
        <w:sectPr>
          <w:footerReference r:id="rId9"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000000" w:themeColor="text1"/>
          <w:sz w:val="21"/>
          <w:szCs w:val="21"/>
          <w:highlight w:val="none"/>
        </w:rPr>
        <w:t>供货商退出后，由学校组织在年度余下该</w:t>
      </w:r>
      <w:r>
        <w:rPr>
          <w:rFonts w:hint="eastAsia" w:ascii="宋体" w:hAnsi="宋体" w:eastAsia="宋体" w:cs="宋体"/>
          <w:color w:val="000000" w:themeColor="text1"/>
          <w:sz w:val="21"/>
          <w:szCs w:val="21"/>
          <w:highlight w:val="none"/>
          <w:lang w:val="en-US" w:eastAsia="zh-CN"/>
        </w:rPr>
        <w:t>项目</w:t>
      </w:r>
      <w:r>
        <w:rPr>
          <w:rFonts w:hint="eastAsia" w:ascii="宋体" w:hAnsi="宋体" w:eastAsia="宋体" w:cs="宋体"/>
          <w:color w:val="000000" w:themeColor="text1"/>
          <w:sz w:val="21"/>
          <w:szCs w:val="21"/>
          <w:highlight w:val="none"/>
        </w:rPr>
        <w:t>候选已中标供货商中重新报名摇号产生。期间学校的供应，由学校在年度余下候选已中标供货商中明确为临时供应商，供货要求按原</w:t>
      </w:r>
      <w:r>
        <w:rPr>
          <w:rFonts w:hint="eastAsia" w:ascii="宋体" w:hAnsi="宋体" w:eastAsia="宋体" w:cs="宋体"/>
          <w:color w:val="000000" w:themeColor="text1"/>
          <w:sz w:val="21"/>
          <w:szCs w:val="21"/>
          <w:highlight w:val="none"/>
          <w:lang w:val="en-US" w:eastAsia="zh-CN"/>
        </w:rPr>
        <w:t>项目</w:t>
      </w:r>
      <w:r>
        <w:rPr>
          <w:rFonts w:hint="eastAsia" w:ascii="宋体" w:hAnsi="宋体" w:eastAsia="宋体" w:cs="宋体"/>
          <w:color w:val="000000" w:themeColor="text1"/>
          <w:sz w:val="21"/>
          <w:szCs w:val="21"/>
          <w:highlight w:val="none"/>
        </w:rPr>
        <w:t>的要求执行，报价按临时供应商投标时的报价折扣率结算</w:t>
      </w:r>
      <w:r>
        <w:rPr>
          <w:rFonts w:hint="eastAsia" w:ascii="宋体" w:hAnsi="宋体" w:eastAsia="宋体" w:cs="宋体"/>
          <w:color w:val="000000" w:themeColor="text1"/>
          <w:sz w:val="21"/>
          <w:szCs w:val="21"/>
          <w:highlight w:val="none"/>
          <w:lang w:eastAsia="zh-CN"/>
        </w:rPr>
        <w:t>。</w:t>
      </w:r>
    </w:p>
    <w:p w14:paraId="785C6A33">
      <w:pPr>
        <w:spacing w:line="240" w:lineRule="auto"/>
        <w:jc w:val="left"/>
        <w:rPr>
          <w:rFonts w:hint="eastAsia" w:ascii="宋体" w:hAnsi="宋体" w:cs="宋体"/>
          <w:b/>
          <w:bCs/>
          <w:color w:val="000000" w:themeColor="text1"/>
          <w:highlight w:val="none"/>
        </w:rPr>
      </w:pPr>
      <w:r>
        <w:rPr>
          <w:rFonts w:hint="eastAsia" w:ascii="宋体" w:hAnsi="宋体" w:cs="宋体"/>
          <w:b/>
          <w:bCs/>
          <w:color w:val="000000" w:themeColor="text1"/>
          <w:highlight w:val="none"/>
        </w:rPr>
        <w:t>附件</w:t>
      </w:r>
      <w:r>
        <w:rPr>
          <w:rFonts w:hint="eastAsia" w:ascii="宋体" w:hAnsi="宋体" w:cs="宋体"/>
          <w:b/>
          <w:bCs/>
          <w:color w:val="000000" w:themeColor="text1"/>
          <w:highlight w:val="none"/>
          <w:lang w:val="en-US" w:eastAsia="zh-CN"/>
        </w:rPr>
        <w:t xml:space="preserve">                           </w:t>
      </w:r>
      <w:r>
        <w:rPr>
          <w:rFonts w:hint="eastAsia" w:ascii="宋体" w:hAnsi="宋体" w:cs="宋体"/>
          <w:b/>
          <w:bCs/>
          <w:color w:val="000000" w:themeColor="text1"/>
          <w:highlight w:val="none"/>
        </w:rPr>
        <w:t>配送服务质量考核评价办法</w:t>
      </w:r>
    </w:p>
    <w:p w14:paraId="5EAB971F">
      <w:pPr>
        <w:spacing w:line="240" w:lineRule="auto"/>
        <w:rPr>
          <w:rFonts w:hint="eastAsia" w:ascii="宋体" w:hAnsi="宋体" w:cs="宋体"/>
          <w:color w:val="000000" w:themeColor="text1"/>
          <w:highlight w:val="none"/>
        </w:rPr>
      </w:pPr>
    </w:p>
    <w:p w14:paraId="3DB58FB4">
      <w:pPr>
        <w:ind w:firstLine="420" w:firstLineChars="200"/>
        <w:rPr>
          <w:rFonts w:ascii="宋体" w:hAnsi="Times New Roman" w:cs="宋体"/>
          <w:color w:val="000000" w:themeColor="text1"/>
          <w:highlight w:val="none"/>
        </w:rPr>
      </w:pPr>
      <w:r>
        <w:rPr>
          <w:rFonts w:ascii="宋体" w:hAnsi="宋体" w:cs="宋体"/>
          <w:color w:val="000000" w:themeColor="text1"/>
          <w:highlight w:val="none"/>
        </w:rPr>
        <w:t>1</w:t>
      </w:r>
      <w:r>
        <w:rPr>
          <w:rFonts w:hint="eastAsia" w:ascii="宋体" w:hAnsi="宋体" w:cs="宋体"/>
          <w:color w:val="000000" w:themeColor="text1"/>
          <w:highlight w:val="none"/>
          <w:lang w:val="en-US" w:eastAsia="zh-CN"/>
        </w:rPr>
        <w:t>.</w:t>
      </w:r>
      <w:r>
        <w:rPr>
          <w:rFonts w:hint="eastAsia" w:ascii="宋体" w:hAnsi="宋体" w:cs="宋体"/>
          <w:color w:val="000000" w:themeColor="text1"/>
          <w:highlight w:val="none"/>
        </w:rPr>
        <w:t>每月综合服务满意度满分为</w:t>
      </w:r>
      <w:r>
        <w:rPr>
          <w:rFonts w:ascii="宋体" w:hAnsi="宋体" w:cs="宋体"/>
          <w:color w:val="000000" w:themeColor="text1"/>
          <w:highlight w:val="none"/>
        </w:rPr>
        <w:t>100</w:t>
      </w:r>
      <w:r>
        <w:rPr>
          <w:rFonts w:hint="eastAsia" w:ascii="宋体" w:hAnsi="宋体" w:cs="宋体"/>
          <w:color w:val="000000" w:themeColor="text1"/>
          <w:highlight w:val="none"/>
        </w:rPr>
        <w:t>分，合格标准为</w:t>
      </w:r>
      <w:r>
        <w:rPr>
          <w:rFonts w:hint="eastAsia" w:ascii="宋体" w:hAnsi="宋体" w:cs="宋体"/>
          <w:color w:val="000000" w:themeColor="text1"/>
          <w:highlight w:val="none"/>
          <w:lang w:val="en-US" w:eastAsia="zh-CN"/>
        </w:rPr>
        <w:t>85</w:t>
      </w:r>
      <w:r>
        <w:rPr>
          <w:rFonts w:hint="eastAsia" w:ascii="宋体" w:hAnsi="宋体" w:cs="宋体"/>
          <w:color w:val="000000" w:themeColor="text1"/>
          <w:highlight w:val="none"/>
        </w:rPr>
        <w:t>分，满意度</w:t>
      </w:r>
      <w:r>
        <w:rPr>
          <w:rFonts w:hint="eastAsia" w:ascii="宋体" w:hAnsi="宋体" w:cs="宋体"/>
          <w:color w:val="000000" w:themeColor="text1"/>
          <w:highlight w:val="none"/>
          <w:lang w:val="en-US" w:eastAsia="zh-CN"/>
        </w:rPr>
        <w:t>不得</w:t>
      </w:r>
      <w:r>
        <w:rPr>
          <w:rFonts w:hint="eastAsia" w:ascii="宋体" w:hAnsi="宋体" w:cs="宋体"/>
          <w:color w:val="000000" w:themeColor="text1"/>
          <w:highlight w:val="none"/>
        </w:rPr>
        <w:t>低于</w:t>
      </w:r>
      <w:r>
        <w:rPr>
          <w:rFonts w:hint="eastAsia" w:ascii="宋体" w:hAnsi="宋体" w:cs="宋体"/>
          <w:color w:val="000000" w:themeColor="text1"/>
          <w:highlight w:val="none"/>
          <w:lang w:val="en-US" w:eastAsia="zh-CN"/>
        </w:rPr>
        <w:t>85</w:t>
      </w:r>
      <w:r>
        <w:rPr>
          <w:rFonts w:hint="eastAsia" w:ascii="宋体" w:hAnsi="宋体" w:cs="宋体"/>
          <w:color w:val="000000" w:themeColor="text1"/>
          <w:highlight w:val="none"/>
        </w:rPr>
        <w:t>分。半年内累计出现</w:t>
      </w:r>
      <w:r>
        <w:rPr>
          <w:rFonts w:hint="eastAsia" w:ascii="宋体" w:hAnsi="宋体" w:cs="宋体"/>
          <w:color w:val="000000" w:themeColor="text1"/>
          <w:highlight w:val="none"/>
          <w:lang w:val="en-US" w:eastAsia="zh-CN"/>
        </w:rPr>
        <w:t>3次以及以上考核分数</w:t>
      </w:r>
      <w:r>
        <w:rPr>
          <w:rFonts w:hint="eastAsia" w:ascii="宋体" w:hAnsi="宋体" w:cs="宋体"/>
          <w:color w:val="000000" w:themeColor="text1"/>
          <w:highlight w:val="none"/>
        </w:rPr>
        <w:t>低于</w:t>
      </w:r>
      <w:r>
        <w:rPr>
          <w:rFonts w:hint="eastAsia" w:ascii="宋体" w:hAnsi="宋体" w:cs="宋体"/>
          <w:color w:val="000000" w:themeColor="text1"/>
          <w:highlight w:val="none"/>
          <w:lang w:val="en-US" w:eastAsia="zh-CN"/>
        </w:rPr>
        <w:t>85分</w:t>
      </w:r>
      <w:r>
        <w:rPr>
          <w:rFonts w:hint="eastAsia" w:ascii="宋体" w:hAnsi="宋体" w:cs="宋体"/>
          <w:color w:val="000000" w:themeColor="text1"/>
          <w:highlight w:val="none"/>
        </w:rPr>
        <w:t>的采购人有权解除合同。</w:t>
      </w:r>
    </w:p>
    <w:p w14:paraId="59C04BBF">
      <w:pPr>
        <w:ind w:firstLine="420" w:firstLineChars="200"/>
        <w:rPr>
          <w:rFonts w:hint="default" w:ascii="宋体" w:hAnsi="宋体" w:cs="宋体"/>
          <w:color w:val="000000" w:themeColor="text1"/>
          <w:highlight w:val="none"/>
          <w:lang w:val="en-US" w:eastAsia="zh-CN"/>
        </w:rPr>
      </w:pPr>
      <w:r>
        <w:rPr>
          <w:rFonts w:ascii="宋体" w:hAnsi="宋体" w:cs="宋体"/>
          <w:color w:val="000000" w:themeColor="text1"/>
          <w:highlight w:val="none"/>
        </w:rPr>
        <w:t>2</w:t>
      </w:r>
      <w:r>
        <w:rPr>
          <w:rFonts w:hint="eastAsia" w:ascii="宋体" w:hAnsi="宋体" w:cs="宋体"/>
          <w:color w:val="000000" w:themeColor="text1"/>
          <w:highlight w:val="none"/>
          <w:lang w:val="en-US" w:eastAsia="zh-CN"/>
        </w:rPr>
        <w:t>.考核细则中1-15项中，按照每扣1分200元的标准在当月货款结算中中扣除。例如中标人违反第2条中，送货迟到20分钟，根据考核表扣减供应商考核分3分，并罚款600元。罚款在当月货款中扣除，货款不足扣除则在履约保证金中扣除。</w:t>
      </w:r>
    </w:p>
    <w:p w14:paraId="25B99CE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000000" w:themeColor="text1"/>
          <w:highlight w:val="none"/>
        </w:rPr>
      </w:pPr>
      <w:r>
        <w:rPr>
          <w:rFonts w:hint="eastAsia" w:ascii="宋体" w:hAnsi="宋体" w:cs="宋体"/>
          <w:color w:val="000000" w:themeColor="text1"/>
          <w:highlight w:val="none"/>
          <w:lang w:val="en-US" w:eastAsia="zh-CN"/>
        </w:rPr>
        <w:t>3.</w:t>
      </w:r>
      <w:r>
        <w:rPr>
          <w:rFonts w:hint="eastAsia" w:ascii="宋体" w:hAnsi="宋体" w:cs="宋体"/>
          <w:color w:val="000000" w:themeColor="text1"/>
          <w:highlight w:val="none"/>
        </w:rPr>
        <w:t>中标供应商需及时对采购人提出的存在问题作出响应并实施整改，次月未作出整改的，采购人将发出警告函</w:t>
      </w:r>
      <w:r>
        <w:rPr>
          <w:rFonts w:ascii="宋体" w:hAnsi="宋体" w:cs="宋体"/>
          <w:color w:val="000000" w:themeColor="text1"/>
          <w:highlight w:val="none"/>
        </w:rPr>
        <w:t>1</w:t>
      </w:r>
      <w:r>
        <w:rPr>
          <w:rFonts w:hint="eastAsia" w:ascii="宋体" w:hAnsi="宋体" w:cs="宋体"/>
          <w:color w:val="000000" w:themeColor="text1"/>
          <w:highlight w:val="none"/>
        </w:rPr>
        <w:t>次，连续因同一问题发出警告函</w:t>
      </w:r>
      <w:r>
        <w:rPr>
          <w:rFonts w:ascii="宋体" w:hAnsi="宋体" w:cs="宋体"/>
          <w:color w:val="000000" w:themeColor="text1"/>
          <w:highlight w:val="none"/>
        </w:rPr>
        <w:t>3</w:t>
      </w:r>
      <w:r>
        <w:rPr>
          <w:rFonts w:hint="eastAsia" w:ascii="宋体" w:hAnsi="宋体" w:cs="宋体"/>
          <w:color w:val="000000" w:themeColor="text1"/>
          <w:highlight w:val="none"/>
        </w:rPr>
        <w:t>次的，采购人有权终止其供货资格。</w:t>
      </w:r>
    </w:p>
    <w:p w14:paraId="7AE38E99">
      <w:pPr>
        <w:keepNext w:val="0"/>
        <w:keepLines w:val="0"/>
        <w:pageBreakBefore w:val="0"/>
        <w:widowControl w:val="0"/>
        <w:kinsoku/>
        <w:wordWrap/>
        <w:overflowPunct/>
        <w:topLinePunct w:val="0"/>
        <w:autoSpaceDE/>
        <w:autoSpaceDN/>
        <w:bidi w:val="0"/>
        <w:adjustRightInd/>
        <w:snapToGrid/>
        <w:spacing w:after="0"/>
        <w:ind w:firstLine="420" w:firstLineChars="200"/>
        <w:jc w:val="both"/>
        <w:textAlignment w:val="auto"/>
        <w:rPr>
          <w:rFonts w:hint="eastAsia" w:ascii="宋体" w:hAnsi="宋体" w:eastAsia="宋体" w:cs="宋体"/>
          <w:color w:val="000000" w:themeColor="text1"/>
          <w:kern w:val="2"/>
          <w:sz w:val="21"/>
          <w:szCs w:val="24"/>
          <w:highlight w:val="none"/>
          <w:lang w:val="en-US" w:eastAsia="zh-CN" w:bidi="ar-SA"/>
        </w:rPr>
      </w:pPr>
      <w:r>
        <w:rPr>
          <w:rFonts w:hint="eastAsia" w:ascii="宋体" w:hAnsi="宋体" w:eastAsia="宋体" w:cs="宋体"/>
          <w:color w:val="000000" w:themeColor="text1"/>
          <w:kern w:val="2"/>
          <w:sz w:val="21"/>
          <w:szCs w:val="24"/>
          <w:highlight w:val="none"/>
          <w:lang w:val="en-US" w:eastAsia="zh-CN" w:bidi="ar-SA"/>
        </w:rPr>
        <w:t>4.提前终止供货服务的一周前，需以书面形式通知对方。</w:t>
      </w:r>
    </w:p>
    <w:p w14:paraId="3154F5C3">
      <w:pPr>
        <w:keepNext w:val="0"/>
        <w:keepLines w:val="0"/>
        <w:pageBreakBefore w:val="0"/>
        <w:widowControl w:val="0"/>
        <w:kinsoku/>
        <w:wordWrap/>
        <w:overflowPunct/>
        <w:topLinePunct w:val="0"/>
        <w:autoSpaceDE/>
        <w:autoSpaceDN/>
        <w:bidi w:val="0"/>
        <w:adjustRightInd/>
        <w:snapToGrid/>
        <w:spacing w:after="0"/>
        <w:ind w:firstLine="420" w:firstLineChars="200"/>
        <w:jc w:val="both"/>
        <w:textAlignment w:val="auto"/>
        <w:rPr>
          <w:rFonts w:hint="eastAsia" w:ascii="宋体" w:hAnsi="宋体" w:eastAsia="宋体" w:cs="宋体"/>
          <w:color w:val="000000" w:themeColor="text1"/>
          <w:kern w:val="2"/>
          <w:sz w:val="21"/>
          <w:szCs w:val="24"/>
          <w:highlight w:val="none"/>
          <w:lang w:val="en-US" w:eastAsia="zh-CN" w:bidi="ar-SA"/>
        </w:rPr>
      </w:pPr>
      <w:r>
        <w:rPr>
          <w:rFonts w:hint="eastAsia" w:ascii="宋体" w:hAnsi="宋体" w:eastAsia="宋体" w:cs="宋体"/>
          <w:color w:val="000000" w:themeColor="text1"/>
          <w:kern w:val="2"/>
          <w:sz w:val="21"/>
          <w:szCs w:val="24"/>
          <w:highlight w:val="none"/>
          <w:lang w:val="en-US" w:eastAsia="zh-CN" w:bidi="ar-SA"/>
        </w:rPr>
        <w:t>5.采购人对考核标准保持最终修改权和解释权。</w:t>
      </w:r>
    </w:p>
    <w:tbl>
      <w:tblPr>
        <w:tblStyle w:val="46"/>
        <w:tblW w:w="918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05"/>
        <w:gridCol w:w="785"/>
        <w:gridCol w:w="5879"/>
        <w:gridCol w:w="750"/>
        <w:gridCol w:w="1063"/>
      </w:tblGrid>
      <w:tr w14:paraId="12856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 w:hRule="atLeast"/>
          <w:jc w:val="center"/>
        </w:trPr>
        <w:tc>
          <w:tcPr>
            <w:tcW w:w="9182" w:type="dxa"/>
            <w:gridSpan w:val="5"/>
            <w:tcBorders>
              <w:tl2br w:val="nil"/>
              <w:tr2bl w:val="nil"/>
            </w:tcBorders>
            <w:noWrap w:val="0"/>
            <w:vAlign w:val="center"/>
          </w:tcPr>
          <w:p w14:paraId="5EDA26C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rPr>
              <w:t>考核细则</w:t>
            </w:r>
          </w:p>
        </w:tc>
      </w:tr>
      <w:tr w14:paraId="7B35F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705" w:type="dxa"/>
            <w:tcBorders>
              <w:tl2br w:val="nil"/>
              <w:tr2bl w:val="nil"/>
            </w:tcBorders>
            <w:noWrap w:val="0"/>
            <w:vAlign w:val="center"/>
          </w:tcPr>
          <w:p w14:paraId="0490C31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rPr>
              <w:t>项目</w:t>
            </w:r>
          </w:p>
        </w:tc>
        <w:tc>
          <w:tcPr>
            <w:tcW w:w="785" w:type="dxa"/>
            <w:tcBorders>
              <w:tl2br w:val="nil"/>
              <w:tr2bl w:val="nil"/>
            </w:tcBorders>
            <w:noWrap w:val="0"/>
            <w:vAlign w:val="center"/>
          </w:tcPr>
          <w:p w14:paraId="18CC3DB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rPr>
              <w:t>序号</w:t>
            </w:r>
          </w:p>
        </w:tc>
        <w:tc>
          <w:tcPr>
            <w:tcW w:w="5879" w:type="dxa"/>
            <w:tcBorders>
              <w:tl2br w:val="nil"/>
              <w:tr2bl w:val="nil"/>
            </w:tcBorders>
            <w:noWrap w:val="0"/>
            <w:vAlign w:val="center"/>
          </w:tcPr>
          <w:p w14:paraId="45DC1610">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rPr>
              <w:t>评分细则</w:t>
            </w:r>
          </w:p>
        </w:tc>
        <w:tc>
          <w:tcPr>
            <w:tcW w:w="750" w:type="dxa"/>
            <w:tcBorders>
              <w:tl2br w:val="nil"/>
              <w:tr2bl w:val="nil"/>
            </w:tcBorders>
            <w:noWrap w:val="0"/>
            <w:vAlign w:val="center"/>
          </w:tcPr>
          <w:p w14:paraId="7E6462D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rPr>
              <w:t>扣分</w:t>
            </w:r>
          </w:p>
        </w:tc>
        <w:tc>
          <w:tcPr>
            <w:tcW w:w="1063" w:type="dxa"/>
            <w:tcBorders>
              <w:tl2br w:val="nil"/>
              <w:tr2bl w:val="nil"/>
            </w:tcBorders>
            <w:noWrap w:val="0"/>
            <w:vAlign w:val="center"/>
          </w:tcPr>
          <w:p w14:paraId="3698D31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rPr>
              <w:t>备注</w:t>
            </w:r>
          </w:p>
        </w:tc>
      </w:tr>
      <w:tr w14:paraId="6292B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6" w:hRule="atLeast"/>
          <w:jc w:val="center"/>
        </w:trPr>
        <w:tc>
          <w:tcPr>
            <w:tcW w:w="705" w:type="dxa"/>
            <w:vMerge w:val="restart"/>
            <w:tcBorders>
              <w:tl2br w:val="nil"/>
              <w:tr2bl w:val="nil"/>
            </w:tcBorders>
            <w:noWrap w:val="0"/>
            <w:vAlign w:val="center"/>
          </w:tcPr>
          <w:p w14:paraId="65F3C4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配送要求</w:t>
            </w:r>
          </w:p>
        </w:tc>
        <w:tc>
          <w:tcPr>
            <w:tcW w:w="785" w:type="dxa"/>
            <w:tcBorders>
              <w:tl2br w:val="nil"/>
              <w:tr2bl w:val="nil"/>
            </w:tcBorders>
            <w:noWrap w:val="0"/>
            <w:vAlign w:val="center"/>
          </w:tcPr>
          <w:p w14:paraId="545A53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1</w:t>
            </w:r>
          </w:p>
        </w:tc>
        <w:tc>
          <w:tcPr>
            <w:tcW w:w="5879" w:type="dxa"/>
            <w:tcBorders>
              <w:tl2br w:val="nil"/>
              <w:tr2bl w:val="nil"/>
            </w:tcBorders>
            <w:noWrap w:val="0"/>
            <w:vAlign w:val="center"/>
          </w:tcPr>
          <w:p w14:paraId="17B70D5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配送车辆、实际运输不符合招标文件及合同约定的，每次扣3分</w:t>
            </w:r>
          </w:p>
        </w:tc>
        <w:tc>
          <w:tcPr>
            <w:tcW w:w="750" w:type="dxa"/>
            <w:tcBorders>
              <w:tl2br w:val="nil"/>
              <w:tr2bl w:val="nil"/>
            </w:tcBorders>
            <w:noWrap w:val="0"/>
            <w:vAlign w:val="center"/>
          </w:tcPr>
          <w:p w14:paraId="273E1ABF">
            <w:pPr>
              <w:jc w:val="center"/>
              <w:rPr>
                <w:rFonts w:hint="eastAsia" w:ascii="宋体" w:hAnsi="宋体" w:eastAsia="宋体" w:cs="宋体"/>
                <w:i w:val="0"/>
                <w:iCs w:val="0"/>
                <w:color w:val="000000" w:themeColor="text1"/>
                <w:sz w:val="21"/>
                <w:szCs w:val="21"/>
                <w:highlight w:val="none"/>
                <w:u w:val="none"/>
              </w:rPr>
            </w:pPr>
          </w:p>
        </w:tc>
        <w:tc>
          <w:tcPr>
            <w:tcW w:w="1063" w:type="dxa"/>
            <w:tcBorders>
              <w:tl2br w:val="nil"/>
              <w:tr2bl w:val="nil"/>
            </w:tcBorders>
            <w:noWrap w:val="0"/>
            <w:vAlign w:val="center"/>
          </w:tcPr>
          <w:p w14:paraId="4FE0BCAC">
            <w:pPr>
              <w:jc w:val="center"/>
              <w:rPr>
                <w:rFonts w:hint="eastAsia" w:ascii="宋体" w:hAnsi="宋体" w:eastAsia="宋体" w:cs="宋体"/>
                <w:i w:val="0"/>
                <w:iCs w:val="0"/>
                <w:color w:val="000000" w:themeColor="text1"/>
                <w:sz w:val="21"/>
                <w:szCs w:val="21"/>
                <w:highlight w:val="none"/>
                <w:u w:val="none"/>
              </w:rPr>
            </w:pPr>
          </w:p>
        </w:tc>
      </w:tr>
      <w:tr w14:paraId="75D91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82" w:hRule="atLeast"/>
          <w:jc w:val="center"/>
        </w:trPr>
        <w:tc>
          <w:tcPr>
            <w:tcW w:w="705" w:type="dxa"/>
            <w:vMerge w:val="continue"/>
            <w:tcBorders>
              <w:tl2br w:val="nil"/>
              <w:tr2bl w:val="nil"/>
            </w:tcBorders>
            <w:noWrap w:val="0"/>
            <w:vAlign w:val="center"/>
          </w:tcPr>
          <w:p w14:paraId="1AF93410">
            <w:pPr>
              <w:jc w:val="center"/>
              <w:rPr>
                <w:rFonts w:hint="eastAsia" w:ascii="宋体" w:hAnsi="宋体" w:eastAsia="宋体" w:cs="宋体"/>
                <w:i w:val="0"/>
                <w:iCs w:val="0"/>
                <w:color w:val="000000" w:themeColor="text1"/>
                <w:sz w:val="21"/>
                <w:szCs w:val="21"/>
                <w:highlight w:val="none"/>
                <w:u w:val="none"/>
              </w:rPr>
            </w:pPr>
          </w:p>
        </w:tc>
        <w:tc>
          <w:tcPr>
            <w:tcW w:w="785" w:type="dxa"/>
            <w:tcBorders>
              <w:tl2br w:val="nil"/>
              <w:tr2bl w:val="nil"/>
            </w:tcBorders>
            <w:noWrap w:val="0"/>
            <w:vAlign w:val="center"/>
          </w:tcPr>
          <w:p w14:paraId="2F8F78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2</w:t>
            </w:r>
          </w:p>
        </w:tc>
        <w:tc>
          <w:tcPr>
            <w:tcW w:w="5879" w:type="dxa"/>
            <w:tcBorders>
              <w:tl2br w:val="nil"/>
              <w:tr2bl w:val="nil"/>
            </w:tcBorders>
            <w:noWrap w:val="0"/>
            <w:vAlign w:val="center"/>
          </w:tcPr>
          <w:p w14:paraId="6C8E91B8">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rPr>
              <w:t>在协议供货期，未在规定时间内（迟到超过半小时内）完成配送、供货，</w:t>
            </w:r>
            <w:r>
              <w:rPr>
                <w:rStyle w:val="310"/>
                <w:rFonts w:hint="eastAsia" w:ascii="宋体" w:hAnsi="宋体" w:eastAsia="宋体" w:cs="宋体"/>
                <w:color w:val="000000" w:themeColor="text1"/>
                <w:sz w:val="21"/>
                <w:szCs w:val="21"/>
                <w:highlight w:val="none"/>
                <w:lang w:val="en-US" w:eastAsia="zh-CN" w:bidi="ar"/>
              </w:rPr>
              <w:t>送货时间误点，</w:t>
            </w:r>
            <w:r>
              <w:rPr>
                <w:rStyle w:val="57"/>
                <w:rFonts w:hint="eastAsia" w:ascii="宋体" w:hAnsi="宋体" w:eastAsia="宋体" w:cs="宋体"/>
                <w:color w:val="000000" w:themeColor="text1"/>
                <w:sz w:val="21"/>
                <w:szCs w:val="21"/>
                <w:highlight w:val="none"/>
                <w:lang w:val="en-US" w:eastAsia="zh-CN" w:bidi="ar"/>
              </w:rPr>
              <w:t>每次扣3分，</w:t>
            </w:r>
            <w:r>
              <w:rPr>
                <w:rStyle w:val="310"/>
                <w:rFonts w:hint="eastAsia" w:ascii="宋体" w:hAnsi="宋体" w:eastAsia="宋体" w:cs="宋体"/>
                <w:color w:val="000000" w:themeColor="text1"/>
                <w:sz w:val="21"/>
                <w:szCs w:val="21"/>
                <w:highlight w:val="none"/>
                <w:lang w:val="en-US" w:eastAsia="zh-CN" w:bidi="ar"/>
              </w:rPr>
              <w:t>耽误食堂供餐扣（使供餐缺少某品类菜式）20分。</w:t>
            </w:r>
          </w:p>
        </w:tc>
        <w:tc>
          <w:tcPr>
            <w:tcW w:w="750" w:type="dxa"/>
            <w:tcBorders>
              <w:tl2br w:val="nil"/>
              <w:tr2bl w:val="nil"/>
            </w:tcBorders>
            <w:noWrap w:val="0"/>
            <w:vAlign w:val="center"/>
          </w:tcPr>
          <w:p w14:paraId="3A524724">
            <w:pPr>
              <w:jc w:val="center"/>
              <w:rPr>
                <w:rFonts w:hint="eastAsia" w:ascii="宋体" w:hAnsi="宋体" w:eastAsia="宋体" w:cs="宋体"/>
                <w:i w:val="0"/>
                <w:iCs w:val="0"/>
                <w:color w:val="000000" w:themeColor="text1"/>
                <w:sz w:val="21"/>
                <w:szCs w:val="21"/>
                <w:highlight w:val="none"/>
                <w:u w:val="none"/>
              </w:rPr>
            </w:pPr>
          </w:p>
        </w:tc>
        <w:tc>
          <w:tcPr>
            <w:tcW w:w="1063" w:type="dxa"/>
            <w:tcBorders>
              <w:tl2br w:val="nil"/>
              <w:tr2bl w:val="nil"/>
            </w:tcBorders>
            <w:noWrap w:val="0"/>
            <w:vAlign w:val="center"/>
          </w:tcPr>
          <w:p w14:paraId="26EDFCE7">
            <w:pPr>
              <w:jc w:val="center"/>
              <w:rPr>
                <w:rFonts w:hint="eastAsia" w:ascii="宋体" w:hAnsi="宋体" w:eastAsia="宋体" w:cs="宋体"/>
                <w:i w:val="0"/>
                <w:iCs w:val="0"/>
                <w:color w:val="000000" w:themeColor="text1"/>
                <w:sz w:val="21"/>
                <w:szCs w:val="21"/>
                <w:highlight w:val="none"/>
                <w:u w:val="none"/>
              </w:rPr>
            </w:pPr>
          </w:p>
        </w:tc>
      </w:tr>
      <w:tr w14:paraId="203FD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3" w:hRule="atLeast"/>
          <w:jc w:val="center"/>
        </w:trPr>
        <w:tc>
          <w:tcPr>
            <w:tcW w:w="705" w:type="dxa"/>
            <w:vMerge w:val="continue"/>
            <w:tcBorders>
              <w:tl2br w:val="nil"/>
              <w:tr2bl w:val="nil"/>
            </w:tcBorders>
            <w:noWrap w:val="0"/>
            <w:vAlign w:val="center"/>
          </w:tcPr>
          <w:p w14:paraId="0A56F74C">
            <w:pPr>
              <w:jc w:val="center"/>
              <w:rPr>
                <w:rFonts w:hint="eastAsia" w:ascii="宋体" w:hAnsi="宋体" w:eastAsia="宋体" w:cs="宋体"/>
                <w:i w:val="0"/>
                <w:iCs w:val="0"/>
                <w:color w:val="000000" w:themeColor="text1"/>
                <w:sz w:val="21"/>
                <w:szCs w:val="21"/>
                <w:highlight w:val="none"/>
                <w:u w:val="none"/>
              </w:rPr>
            </w:pPr>
          </w:p>
        </w:tc>
        <w:tc>
          <w:tcPr>
            <w:tcW w:w="785" w:type="dxa"/>
            <w:tcBorders>
              <w:tl2br w:val="nil"/>
              <w:tr2bl w:val="nil"/>
            </w:tcBorders>
            <w:noWrap w:val="0"/>
            <w:vAlign w:val="center"/>
          </w:tcPr>
          <w:p w14:paraId="0508FE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3</w:t>
            </w:r>
          </w:p>
        </w:tc>
        <w:tc>
          <w:tcPr>
            <w:tcW w:w="5879" w:type="dxa"/>
            <w:tcBorders>
              <w:tl2br w:val="nil"/>
              <w:tr2bl w:val="nil"/>
            </w:tcBorders>
            <w:noWrap w:val="0"/>
            <w:vAlign w:val="center"/>
          </w:tcPr>
          <w:p w14:paraId="338789F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实际配送货物少于订购数量且1小时内不能补充的，每次扣3分，</w:t>
            </w:r>
          </w:p>
        </w:tc>
        <w:tc>
          <w:tcPr>
            <w:tcW w:w="750" w:type="dxa"/>
            <w:tcBorders>
              <w:tl2br w:val="nil"/>
              <w:tr2bl w:val="nil"/>
            </w:tcBorders>
            <w:noWrap w:val="0"/>
            <w:vAlign w:val="center"/>
          </w:tcPr>
          <w:p w14:paraId="2BE1550A">
            <w:pPr>
              <w:jc w:val="center"/>
              <w:rPr>
                <w:rFonts w:hint="eastAsia" w:ascii="宋体" w:hAnsi="宋体" w:eastAsia="宋体" w:cs="宋体"/>
                <w:i w:val="0"/>
                <w:iCs w:val="0"/>
                <w:color w:val="000000" w:themeColor="text1"/>
                <w:sz w:val="21"/>
                <w:szCs w:val="21"/>
                <w:highlight w:val="none"/>
                <w:u w:val="none"/>
              </w:rPr>
            </w:pPr>
          </w:p>
        </w:tc>
        <w:tc>
          <w:tcPr>
            <w:tcW w:w="1063" w:type="dxa"/>
            <w:tcBorders>
              <w:tl2br w:val="nil"/>
              <w:tr2bl w:val="nil"/>
            </w:tcBorders>
            <w:noWrap w:val="0"/>
            <w:vAlign w:val="center"/>
          </w:tcPr>
          <w:p w14:paraId="1BBA2690">
            <w:pPr>
              <w:jc w:val="center"/>
              <w:rPr>
                <w:rFonts w:hint="eastAsia" w:ascii="宋体" w:hAnsi="宋体" w:eastAsia="宋体" w:cs="宋体"/>
                <w:i w:val="0"/>
                <w:iCs w:val="0"/>
                <w:color w:val="000000" w:themeColor="text1"/>
                <w:sz w:val="21"/>
                <w:szCs w:val="21"/>
                <w:highlight w:val="none"/>
                <w:u w:val="none"/>
              </w:rPr>
            </w:pPr>
          </w:p>
        </w:tc>
      </w:tr>
      <w:tr w14:paraId="4C35F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00" w:hRule="atLeast"/>
          <w:jc w:val="center"/>
        </w:trPr>
        <w:tc>
          <w:tcPr>
            <w:tcW w:w="705" w:type="dxa"/>
            <w:vMerge w:val="continue"/>
            <w:tcBorders>
              <w:tl2br w:val="nil"/>
              <w:tr2bl w:val="nil"/>
            </w:tcBorders>
            <w:noWrap w:val="0"/>
            <w:vAlign w:val="center"/>
          </w:tcPr>
          <w:p w14:paraId="058F27F6">
            <w:pPr>
              <w:jc w:val="center"/>
              <w:rPr>
                <w:rFonts w:hint="eastAsia" w:ascii="宋体" w:hAnsi="宋体" w:eastAsia="宋体" w:cs="宋体"/>
                <w:i w:val="0"/>
                <w:iCs w:val="0"/>
                <w:color w:val="000000" w:themeColor="text1"/>
                <w:sz w:val="21"/>
                <w:szCs w:val="21"/>
                <w:highlight w:val="none"/>
                <w:u w:val="none"/>
              </w:rPr>
            </w:pPr>
          </w:p>
        </w:tc>
        <w:tc>
          <w:tcPr>
            <w:tcW w:w="785" w:type="dxa"/>
            <w:tcBorders>
              <w:tl2br w:val="nil"/>
              <w:tr2bl w:val="nil"/>
            </w:tcBorders>
            <w:noWrap w:val="0"/>
            <w:vAlign w:val="center"/>
          </w:tcPr>
          <w:p w14:paraId="0D04D1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4</w:t>
            </w:r>
          </w:p>
        </w:tc>
        <w:tc>
          <w:tcPr>
            <w:tcW w:w="5879" w:type="dxa"/>
            <w:tcBorders>
              <w:tl2br w:val="nil"/>
              <w:tr2bl w:val="nil"/>
            </w:tcBorders>
            <w:noWrap w:val="0"/>
            <w:vAlign w:val="center"/>
          </w:tcPr>
          <w:p w14:paraId="4D81E23F">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rPr>
            </w:pPr>
            <w:r>
              <w:rPr>
                <w:rFonts w:hint="eastAsia" w:ascii="宋体" w:hAnsi="宋体" w:eastAsia="宋体" w:cs="宋体"/>
                <w:b/>
                <w:bCs/>
                <w:i w:val="0"/>
                <w:iCs w:val="0"/>
                <w:color w:val="000000" w:themeColor="text1"/>
                <w:kern w:val="0"/>
                <w:sz w:val="21"/>
                <w:szCs w:val="21"/>
                <w:highlight w:val="none"/>
                <w:u w:val="none"/>
                <w:lang w:val="en-US" w:eastAsia="zh-CN" w:bidi="ar"/>
              </w:rPr>
              <w:t>验收时发现有变质、以次充好、过期、货不对板、证照不全等不合格食品，每次扣3分；</w:t>
            </w:r>
            <w:r>
              <w:rPr>
                <w:rStyle w:val="57"/>
                <w:rFonts w:hint="eastAsia" w:ascii="宋体" w:hAnsi="宋体" w:eastAsia="宋体" w:cs="宋体"/>
                <w:color w:val="000000" w:themeColor="text1"/>
                <w:sz w:val="21"/>
                <w:szCs w:val="21"/>
                <w:highlight w:val="none"/>
                <w:lang w:val="en-US" w:eastAsia="zh-CN" w:bidi="ar"/>
              </w:rPr>
              <w:t>未能</w:t>
            </w:r>
            <w:r>
              <w:rPr>
                <w:rStyle w:val="310"/>
                <w:rFonts w:hint="eastAsia" w:ascii="宋体" w:hAnsi="宋体" w:eastAsia="宋体" w:cs="宋体"/>
                <w:color w:val="000000" w:themeColor="text1"/>
                <w:sz w:val="21"/>
                <w:szCs w:val="21"/>
                <w:highlight w:val="none"/>
                <w:lang w:val="en-US" w:eastAsia="zh-CN" w:bidi="ar"/>
              </w:rPr>
              <w:t>1小时内</w:t>
            </w:r>
            <w:r>
              <w:rPr>
                <w:rStyle w:val="57"/>
                <w:rFonts w:hint="eastAsia" w:ascii="宋体" w:hAnsi="宋体" w:eastAsia="宋体" w:cs="宋体"/>
                <w:color w:val="000000" w:themeColor="text1"/>
                <w:sz w:val="21"/>
                <w:szCs w:val="21"/>
                <w:highlight w:val="none"/>
                <w:lang w:val="en-US" w:eastAsia="zh-CN" w:bidi="ar"/>
              </w:rPr>
              <w:t>更换的</w:t>
            </w:r>
            <w:r>
              <w:rPr>
                <w:rStyle w:val="310"/>
                <w:rFonts w:hint="eastAsia" w:ascii="宋体" w:hAnsi="宋体" w:eastAsia="宋体" w:cs="宋体"/>
                <w:color w:val="000000" w:themeColor="text1"/>
                <w:sz w:val="21"/>
                <w:szCs w:val="21"/>
                <w:highlight w:val="none"/>
                <w:lang w:val="en-US" w:eastAsia="zh-CN" w:bidi="ar"/>
              </w:rPr>
              <w:t>，每次扣5分，耽误食堂供餐（使供餐缺少某品类菜式）扣20分。</w:t>
            </w:r>
          </w:p>
        </w:tc>
        <w:tc>
          <w:tcPr>
            <w:tcW w:w="750" w:type="dxa"/>
            <w:tcBorders>
              <w:tl2br w:val="nil"/>
              <w:tr2bl w:val="nil"/>
            </w:tcBorders>
            <w:noWrap w:val="0"/>
            <w:vAlign w:val="center"/>
          </w:tcPr>
          <w:p w14:paraId="21B8E86F">
            <w:pPr>
              <w:jc w:val="center"/>
              <w:rPr>
                <w:rFonts w:hint="eastAsia" w:ascii="宋体" w:hAnsi="宋体" w:eastAsia="宋体" w:cs="宋体"/>
                <w:i w:val="0"/>
                <w:iCs w:val="0"/>
                <w:color w:val="000000" w:themeColor="text1"/>
                <w:sz w:val="21"/>
                <w:szCs w:val="21"/>
                <w:highlight w:val="none"/>
                <w:u w:val="none"/>
              </w:rPr>
            </w:pPr>
          </w:p>
        </w:tc>
        <w:tc>
          <w:tcPr>
            <w:tcW w:w="1063" w:type="dxa"/>
            <w:tcBorders>
              <w:tl2br w:val="nil"/>
              <w:tr2bl w:val="nil"/>
            </w:tcBorders>
            <w:noWrap w:val="0"/>
            <w:vAlign w:val="center"/>
          </w:tcPr>
          <w:p w14:paraId="70AE60D6">
            <w:pPr>
              <w:jc w:val="center"/>
              <w:rPr>
                <w:rFonts w:hint="eastAsia" w:ascii="宋体" w:hAnsi="宋体" w:eastAsia="宋体" w:cs="宋体"/>
                <w:i w:val="0"/>
                <w:iCs w:val="0"/>
                <w:color w:val="000000" w:themeColor="text1"/>
                <w:sz w:val="21"/>
                <w:szCs w:val="21"/>
                <w:highlight w:val="none"/>
                <w:u w:val="none"/>
              </w:rPr>
            </w:pPr>
          </w:p>
        </w:tc>
      </w:tr>
      <w:tr w14:paraId="04F39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9" w:hRule="atLeast"/>
          <w:jc w:val="center"/>
        </w:trPr>
        <w:tc>
          <w:tcPr>
            <w:tcW w:w="705" w:type="dxa"/>
            <w:vMerge w:val="continue"/>
            <w:tcBorders>
              <w:tl2br w:val="nil"/>
              <w:tr2bl w:val="nil"/>
            </w:tcBorders>
            <w:noWrap w:val="0"/>
            <w:vAlign w:val="center"/>
          </w:tcPr>
          <w:p w14:paraId="7904F885">
            <w:pPr>
              <w:jc w:val="center"/>
              <w:rPr>
                <w:rFonts w:hint="eastAsia" w:ascii="宋体" w:hAnsi="宋体" w:eastAsia="宋体" w:cs="宋体"/>
                <w:i w:val="0"/>
                <w:iCs w:val="0"/>
                <w:color w:val="000000" w:themeColor="text1"/>
                <w:sz w:val="21"/>
                <w:szCs w:val="21"/>
                <w:highlight w:val="none"/>
                <w:u w:val="none"/>
              </w:rPr>
            </w:pPr>
          </w:p>
        </w:tc>
        <w:tc>
          <w:tcPr>
            <w:tcW w:w="785" w:type="dxa"/>
            <w:tcBorders>
              <w:tl2br w:val="nil"/>
              <w:tr2bl w:val="nil"/>
            </w:tcBorders>
            <w:noWrap w:val="0"/>
            <w:vAlign w:val="center"/>
          </w:tcPr>
          <w:p w14:paraId="33125A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5</w:t>
            </w:r>
          </w:p>
        </w:tc>
        <w:tc>
          <w:tcPr>
            <w:tcW w:w="5879" w:type="dxa"/>
            <w:tcBorders>
              <w:tl2br w:val="nil"/>
              <w:tr2bl w:val="nil"/>
            </w:tcBorders>
            <w:noWrap w:val="0"/>
            <w:vAlign w:val="center"/>
          </w:tcPr>
          <w:p w14:paraId="4D57877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送货时不能做到票随货到（送货单及相关检验合格证等），每次扣3分，24小时内不能补送扣5分。</w:t>
            </w:r>
          </w:p>
        </w:tc>
        <w:tc>
          <w:tcPr>
            <w:tcW w:w="750" w:type="dxa"/>
            <w:tcBorders>
              <w:tl2br w:val="nil"/>
              <w:tr2bl w:val="nil"/>
            </w:tcBorders>
            <w:noWrap w:val="0"/>
            <w:vAlign w:val="center"/>
          </w:tcPr>
          <w:p w14:paraId="76976851">
            <w:pPr>
              <w:jc w:val="center"/>
              <w:rPr>
                <w:rFonts w:hint="eastAsia" w:ascii="宋体" w:hAnsi="宋体" w:eastAsia="宋体" w:cs="宋体"/>
                <w:i w:val="0"/>
                <w:iCs w:val="0"/>
                <w:color w:val="000000" w:themeColor="text1"/>
                <w:sz w:val="21"/>
                <w:szCs w:val="21"/>
                <w:highlight w:val="none"/>
                <w:u w:val="none"/>
              </w:rPr>
            </w:pPr>
          </w:p>
        </w:tc>
        <w:tc>
          <w:tcPr>
            <w:tcW w:w="1063" w:type="dxa"/>
            <w:tcBorders>
              <w:tl2br w:val="nil"/>
              <w:tr2bl w:val="nil"/>
            </w:tcBorders>
            <w:noWrap w:val="0"/>
            <w:vAlign w:val="center"/>
          </w:tcPr>
          <w:p w14:paraId="54E290DA">
            <w:pPr>
              <w:jc w:val="center"/>
              <w:rPr>
                <w:rFonts w:hint="eastAsia" w:ascii="宋体" w:hAnsi="宋体" w:eastAsia="宋体" w:cs="宋体"/>
                <w:i w:val="0"/>
                <w:iCs w:val="0"/>
                <w:color w:val="000000" w:themeColor="text1"/>
                <w:sz w:val="21"/>
                <w:szCs w:val="21"/>
                <w:highlight w:val="none"/>
                <w:u w:val="none"/>
              </w:rPr>
            </w:pPr>
          </w:p>
        </w:tc>
      </w:tr>
      <w:tr w14:paraId="2B16E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0" w:hRule="atLeast"/>
          <w:jc w:val="center"/>
        </w:trPr>
        <w:tc>
          <w:tcPr>
            <w:tcW w:w="705" w:type="dxa"/>
            <w:vMerge w:val="continue"/>
            <w:tcBorders>
              <w:tl2br w:val="nil"/>
              <w:tr2bl w:val="nil"/>
            </w:tcBorders>
            <w:noWrap w:val="0"/>
            <w:vAlign w:val="center"/>
          </w:tcPr>
          <w:p w14:paraId="1E08AF8B">
            <w:pPr>
              <w:jc w:val="center"/>
              <w:rPr>
                <w:rFonts w:hint="eastAsia" w:ascii="宋体" w:hAnsi="宋体" w:eastAsia="宋体" w:cs="宋体"/>
                <w:i w:val="0"/>
                <w:iCs w:val="0"/>
                <w:color w:val="000000" w:themeColor="text1"/>
                <w:sz w:val="21"/>
                <w:szCs w:val="21"/>
                <w:highlight w:val="none"/>
                <w:u w:val="none"/>
              </w:rPr>
            </w:pPr>
          </w:p>
        </w:tc>
        <w:tc>
          <w:tcPr>
            <w:tcW w:w="785" w:type="dxa"/>
            <w:tcBorders>
              <w:tl2br w:val="nil"/>
              <w:tr2bl w:val="nil"/>
            </w:tcBorders>
            <w:noWrap w:val="0"/>
            <w:vAlign w:val="center"/>
          </w:tcPr>
          <w:p w14:paraId="524903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6</w:t>
            </w:r>
          </w:p>
        </w:tc>
        <w:tc>
          <w:tcPr>
            <w:tcW w:w="5879" w:type="dxa"/>
            <w:tcBorders>
              <w:tl2br w:val="nil"/>
              <w:tr2bl w:val="nil"/>
            </w:tcBorders>
            <w:noWrap w:val="0"/>
            <w:vAlign w:val="center"/>
          </w:tcPr>
          <w:p w14:paraId="47EB972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送货车辆进出学校，必须遵守采购人各项规章制度，若违规一次（如超速、鸣叭等）每次扣2分</w:t>
            </w:r>
          </w:p>
        </w:tc>
        <w:tc>
          <w:tcPr>
            <w:tcW w:w="750" w:type="dxa"/>
            <w:tcBorders>
              <w:tl2br w:val="nil"/>
              <w:tr2bl w:val="nil"/>
            </w:tcBorders>
            <w:noWrap w:val="0"/>
            <w:vAlign w:val="center"/>
          </w:tcPr>
          <w:p w14:paraId="4B7A1C0C">
            <w:pPr>
              <w:jc w:val="center"/>
              <w:rPr>
                <w:rFonts w:hint="eastAsia" w:ascii="宋体" w:hAnsi="宋体" w:eastAsia="宋体" w:cs="宋体"/>
                <w:i w:val="0"/>
                <w:iCs w:val="0"/>
                <w:color w:val="000000" w:themeColor="text1"/>
                <w:sz w:val="21"/>
                <w:szCs w:val="21"/>
                <w:highlight w:val="none"/>
                <w:u w:val="none"/>
              </w:rPr>
            </w:pPr>
          </w:p>
        </w:tc>
        <w:tc>
          <w:tcPr>
            <w:tcW w:w="1063" w:type="dxa"/>
            <w:tcBorders>
              <w:tl2br w:val="nil"/>
              <w:tr2bl w:val="nil"/>
            </w:tcBorders>
            <w:noWrap w:val="0"/>
            <w:vAlign w:val="center"/>
          </w:tcPr>
          <w:p w14:paraId="0EE4A5FB">
            <w:pPr>
              <w:jc w:val="center"/>
              <w:rPr>
                <w:rFonts w:hint="eastAsia" w:ascii="宋体" w:hAnsi="宋体" w:eastAsia="宋体" w:cs="宋体"/>
                <w:i w:val="0"/>
                <w:iCs w:val="0"/>
                <w:color w:val="000000" w:themeColor="text1"/>
                <w:sz w:val="21"/>
                <w:szCs w:val="21"/>
                <w:highlight w:val="none"/>
                <w:u w:val="none"/>
              </w:rPr>
            </w:pPr>
          </w:p>
        </w:tc>
      </w:tr>
      <w:tr w14:paraId="623DD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0" w:hRule="atLeast"/>
          <w:jc w:val="center"/>
        </w:trPr>
        <w:tc>
          <w:tcPr>
            <w:tcW w:w="705" w:type="dxa"/>
            <w:vMerge w:val="continue"/>
            <w:tcBorders>
              <w:tl2br w:val="nil"/>
              <w:tr2bl w:val="nil"/>
            </w:tcBorders>
            <w:noWrap w:val="0"/>
            <w:vAlign w:val="center"/>
          </w:tcPr>
          <w:p w14:paraId="451D6741">
            <w:pPr>
              <w:jc w:val="center"/>
              <w:rPr>
                <w:rFonts w:hint="eastAsia" w:ascii="宋体" w:hAnsi="宋体" w:eastAsia="宋体" w:cs="宋体"/>
                <w:i w:val="0"/>
                <w:iCs w:val="0"/>
                <w:color w:val="000000" w:themeColor="text1"/>
                <w:sz w:val="21"/>
                <w:szCs w:val="21"/>
                <w:highlight w:val="none"/>
                <w:u w:val="none"/>
              </w:rPr>
            </w:pPr>
          </w:p>
        </w:tc>
        <w:tc>
          <w:tcPr>
            <w:tcW w:w="785" w:type="dxa"/>
            <w:tcBorders>
              <w:tl2br w:val="nil"/>
              <w:tr2bl w:val="nil"/>
            </w:tcBorders>
            <w:noWrap w:val="0"/>
            <w:vAlign w:val="center"/>
          </w:tcPr>
          <w:p w14:paraId="1E747A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7</w:t>
            </w:r>
          </w:p>
        </w:tc>
        <w:tc>
          <w:tcPr>
            <w:tcW w:w="5879" w:type="dxa"/>
            <w:tcBorders>
              <w:tl2br w:val="nil"/>
              <w:tr2bl w:val="nil"/>
            </w:tcBorders>
            <w:noWrap w:val="0"/>
            <w:vAlign w:val="center"/>
          </w:tcPr>
          <w:p w14:paraId="6CBE575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学校执行控烟制度，校园内禁止吸烟，若发现送货人员在校园吸烟，每次扣2分。</w:t>
            </w:r>
          </w:p>
        </w:tc>
        <w:tc>
          <w:tcPr>
            <w:tcW w:w="750" w:type="dxa"/>
            <w:tcBorders>
              <w:tl2br w:val="nil"/>
              <w:tr2bl w:val="nil"/>
            </w:tcBorders>
            <w:noWrap w:val="0"/>
            <w:vAlign w:val="center"/>
          </w:tcPr>
          <w:p w14:paraId="42BFEBE4">
            <w:pPr>
              <w:jc w:val="center"/>
              <w:rPr>
                <w:rFonts w:hint="eastAsia" w:ascii="宋体" w:hAnsi="宋体" w:eastAsia="宋体" w:cs="宋体"/>
                <w:i w:val="0"/>
                <w:iCs w:val="0"/>
                <w:color w:val="000000" w:themeColor="text1"/>
                <w:sz w:val="21"/>
                <w:szCs w:val="21"/>
                <w:highlight w:val="none"/>
                <w:u w:val="none"/>
              </w:rPr>
            </w:pPr>
          </w:p>
        </w:tc>
        <w:tc>
          <w:tcPr>
            <w:tcW w:w="1063" w:type="dxa"/>
            <w:tcBorders>
              <w:tl2br w:val="nil"/>
              <w:tr2bl w:val="nil"/>
            </w:tcBorders>
            <w:noWrap w:val="0"/>
            <w:vAlign w:val="center"/>
          </w:tcPr>
          <w:p w14:paraId="7EE176A0">
            <w:pPr>
              <w:jc w:val="center"/>
              <w:rPr>
                <w:rFonts w:hint="eastAsia" w:ascii="宋体" w:hAnsi="宋体" w:eastAsia="宋体" w:cs="宋体"/>
                <w:i w:val="0"/>
                <w:iCs w:val="0"/>
                <w:color w:val="000000" w:themeColor="text1"/>
                <w:sz w:val="21"/>
                <w:szCs w:val="21"/>
                <w:highlight w:val="none"/>
                <w:u w:val="none"/>
              </w:rPr>
            </w:pPr>
          </w:p>
        </w:tc>
      </w:tr>
      <w:tr w14:paraId="6EC7F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5" w:hRule="atLeast"/>
          <w:jc w:val="center"/>
        </w:trPr>
        <w:tc>
          <w:tcPr>
            <w:tcW w:w="705" w:type="dxa"/>
            <w:tcBorders>
              <w:tl2br w:val="nil"/>
              <w:tr2bl w:val="nil"/>
            </w:tcBorders>
            <w:noWrap w:val="0"/>
            <w:vAlign w:val="center"/>
          </w:tcPr>
          <w:p w14:paraId="4FFF4F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质量要求</w:t>
            </w:r>
          </w:p>
        </w:tc>
        <w:tc>
          <w:tcPr>
            <w:tcW w:w="785" w:type="dxa"/>
            <w:tcBorders>
              <w:tl2br w:val="nil"/>
              <w:tr2bl w:val="nil"/>
            </w:tcBorders>
            <w:noWrap w:val="0"/>
            <w:vAlign w:val="center"/>
          </w:tcPr>
          <w:p w14:paraId="2AE1DD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10</w:t>
            </w:r>
          </w:p>
        </w:tc>
        <w:tc>
          <w:tcPr>
            <w:tcW w:w="5879" w:type="dxa"/>
            <w:tcBorders>
              <w:tl2br w:val="nil"/>
              <w:tr2bl w:val="nil"/>
            </w:tcBorders>
            <w:noWrap w:val="0"/>
            <w:vAlign w:val="center"/>
          </w:tcPr>
          <w:p w14:paraId="1B19048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货物品质与招标文件不符，并未能及时补充的，每次扣5分</w:t>
            </w:r>
          </w:p>
        </w:tc>
        <w:tc>
          <w:tcPr>
            <w:tcW w:w="750" w:type="dxa"/>
            <w:tcBorders>
              <w:tl2br w:val="nil"/>
              <w:tr2bl w:val="nil"/>
            </w:tcBorders>
            <w:noWrap w:val="0"/>
            <w:vAlign w:val="center"/>
          </w:tcPr>
          <w:p w14:paraId="2D0E8C48">
            <w:pPr>
              <w:jc w:val="center"/>
              <w:rPr>
                <w:rFonts w:hint="eastAsia" w:ascii="宋体" w:hAnsi="宋体" w:eastAsia="宋体" w:cs="宋体"/>
                <w:i w:val="0"/>
                <w:iCs w:val="0"/>
                <w:color w:val="000000" w:themeColor="text1"/>
                <w:sz w:val="21"/>
                <w:szCs w:val="21"/>
                <w:highlight w:val="none"/>
                <w:u w:val="none"/>
              </w:rPr>
            </w:pPr>
          </w:p>
        </w:tc>
        <w:tc>
          <w:tcPr>
            <w:tcW w:w="1063" w:type="dxa"/>
            <w:tcBorders>
              <w:tl2br w:val="nil"/>
              <w:tr2bl w:val="nil"/>
            </w:tcBorders>
            <w:noWrap w:val="0"/>
            <w:vAlign w:val="center"/>
          </w:tcPr>
          <w:p w14:paraId="3B4D8F89">
            <w:pPr>
              <w:jc w:val="center"/>
              <w:rPr>
                <w:rFonts w:hint="eastAsia" w:ascii="宋体" w:hAnsi="宋体" w:eastAsia="宋体" w:cs="宋体"/>
                <w:i w:val="0"/>
                <w:iCs w:val="0"/>
                <w:color w:val="000000" w:themeColor="text1"/>
                <w:sz w:val="21"/>
                <w:szCs w:val="21"/>
                <w:highlight w:val="none"/>
                <w:u w:val="none"/>
              </w:rPr>
            </w:pPr>
          </w:p>
        </w:tc>
      </w:tr>
      <w:tr w14:paraId="7CFB5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8" w:hRule="atLeast"/>
          <w:jc w:val="center"/>
        </w:trPr>
        <w:tc>
          <w:tcPr>
            <w:tcW w:w="705" w:type="dxa"/>
            <w:vMerge w:val="restart"/>
            <w:tcBorders>
              <w:tl2br w:val="nil"/>
              <w:tr2bl w:val="nil"/>
            </w:tcBorders>
            <w:noWrap w:val="0"/>
            <w:vAlign w:val="center"/>
          </w:tcPr>
          <w:p w14:paraId="4EF530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安全生产管理要求</w:t>
            </w:r>
          </w:p>
        </w:tc>
        <w:tc>
          <w:tcPr>
            <w:tcW w:w="785" w:type="dxa"/>
            <w:tcBorders>
              <w:tl2br w:val="nil"/>
              <w:tr2bl w:val="nil"/>
            </w:tcBorders>
            <w:noWrap w:val="0"/>
            <w:vAlign w:val="center"/>
          </w:tcPr>
          <w:p w14:paraId="4954DF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11</w:t>
            </w:r>
          </w:p>
        </w:tc>
        <w:tc>
          <w:tcPr>
            <w:tcW w:w="5879" w:type="dxa"/>
            <w:tcBorders>
              <w:tl2br w:val="nil"/>
              <w:tr2bl w:val="nil"/>
            </w:tcBorders>
            <w:noWrap w:val="0"/>
            <w:vAlign w:val="center"/>
          </w:tcPr>
          <w:p w14:paraId="2B92CB6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没有建立、健全本单位安全生产责任制，制定安全生产规章制度和操作规程，或违反制度操作的，每次扣2分</w:t>
            </w:r>
          </w:p>
        </w:tc>
        <w:tc>
          <w:tcPr>
            <w:tcW w:w="750" w:type="dxa"/>
            <w:tcBorders>
              <w:tl2br w:val="nil"/>
              <w:tr2bl w:val="nil"/>
            </w:tcBorders>
            <w:noWrap w:val="0"/>
            <w:vAlign w:val="center"/>
          </w:tcPr>
          <w:p w14:paraId="4B7BD21F">
            <w:pPr>
              <w:jc w:val="center"/>
              <w:rPr>
                <w:rFonts w:hint="eastAsia" w:ascii="宋体" w:hAnsi="宋体" w:eastAsia="宋体" w:cs="宋体"/>
                <w:i w:val="0"/>
                <w:iCs w:val="0"/>
                <w:color w:val="000000" w:themeColor="text1"/>
                <w:sz w:val="21"/>
                <w:szCs w:val="21"/>
                <w:highlight w:val="none"/>
                <w:u w:val="none"/>
              </w:rPr>
            </w:pPr>
          </w:p>
        </w:tc>
        <w:tc>
          <w:tcPr>
            <w:tcW w:w="1063" w:type="dxa"/>
            <w:tcBorders>
              <w:tl2br w:val="nil"/>
              <w:tr2bl w:val="nil"/>
            </w:tcBorders>
            <w:noWrap w:val="0"/>
            <w:vAlign w:val="center"/>
          </w:tcPr>
          <w:p w14:paraId="6EA5B636">
            <w:pPr>
              <w:jc w:val="center"/>
              <w:rPr>
                <w:rFonts w:hint="eastAsia" w:ascii="宋体" w:hAnsi="宋体" w:eastAsia="宋体" w:cs="宋体"/>
                <w:i w:val="0"/>
                <w:iCs w:val="0"/>
                <w:color w:val="000000" w:themeColor="text1"/>
                <w:sz w:val="21"/>
                <w:szCs w:val="21"/>
                <w:highlight w:val="none"/>
                <w:u w:val="none"/>
              </w:rPr>
            </w:pPr>
          </w:p>
        </w:tc>
      </w:tr>
      <w:tr w14:paraId="7029B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jc w:val="center"/>
        </w:trPr>
        <w:tc>
          <w:tcPr>
            <w:tcW w:w="705" w:type="dxa"/>
            <w:vMerge w:val="continue"/>
            <w:tcBorders>
              <w:tl2br w:val="nil"/>
              <w:tr2bl w:val="nil"/>
            </w:tcBorders>
            <w:noWrap w:val="0"/>
            <w:vAlign w:val="center"/>
          </w:tcPr>
          <w:p w14:paraId="23296502">
            <w:pPr>
              <w:jc w:val="center"/>
              <w:rPr>
                <w:rFonts w:hint="eastAsia" w:ascii="宋体" w:hAnsi="宋体" w:eastAsia="宋体" w:cs="宋体"/>
                <w:i w:val="0"/>
                <w:iCs w:val="0"/>
                <w:color w:val="000000" w:themeColor="text1"/>
                <w:sz w:val="21"/>
                <w:szCs w:val="21"/>
                <w:highlight w:val="none"/>
                <w:u w:val="none"/>
              </w:rPr>
            </w:pPr>
          </w:p>
        </w:tc>
        <w:tc>
          <w:tcPr>
            <w:tcW w:w="785" w:type="dxa"/>
            <w:tcBorders>
              <w:tl2br w:val="nil"/>
              <w:tr2bl w:val="nil"/>
            </w:tcBorders>
            <w:noWrap w:val="0"/>
            <w:vAlign w:val="center"/>
          </w:tcPr>
          <w:p w14:paraId="3E08CA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12</w:t>
            </w:r>
          </w:p>
        </w:tc>
        <w:tc>
          <w:tcPr>
            <w:tcW w:w="5879" w:type="dxa"/>
            <w:tcBorders>
              <w:tl2br w:val="nil"/>
              <w:tr2bl w:val="nil"/>
            </w:tcBorders>
            <w:noWrap w:val="0"/>
            <w:vAlign w:val="center"/>
          </w:tcPr>
          <w:p w14:paraId="6D83CC5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没有相关应急预案的，每次扣5分</w:t>
            </w:r>
          </w:p>
        </w:tc>
        <w:tc>
          <w:tcPr>
            <w:tcW w:w="750" w:type="dxa"/>
            <w:tcBorders>
              <w:tl2br w:val="nil"/>
              <w:tr2bl w:val="nil"/>
            </w:tcBorders>
            <w:noWrap w:val="0"/>
            <w:vAlign w:val="center"/>
          </w:tcPr>
          <w:p w14:paraId="51B6BC71">
            <w:pPr>
              <w:jc w:val="center"/>
              <w:rPr>
                <w:rFonts w:hint="eastAsia" w:ascii="宋体" w:hAnsi="宋体" w:eastAsia="宋体" w:cs="宋体"/>
                <w:i w:val="0"/>
                <w:iCs w:val="0"/>
                <w:color w:val="000000" w:themeColor="text1"/>
                <w:sz w:val="21"/>
                <w:szCs w:val="21"/>
                <w:highlight w:val="none"/>
                <w:u w:val="none"/>
              </w:rPr>
            </w:pPr>
          </w:p>
        </w:tc>
        <w:tc>
          <w:tcPr>
            <w:tcW w:w="1063" w:type="dxa"/>
            <w:tcBorders>
              <w:tl2br w:val="nil"/>
              <w:tr2bl w:val="nil"/>
            </w:tcBorders>
            <w:noWrap w:val="0"/>
            <w:vAlign w:val="center"/>
          </w:tcPr>
          <w:p w14:paraId="4EC025DF">
            <w:pPr>
              <w:jc w:val="center"/>
              <w:rPr>
                <w:rFonts w:hint="eastAsia" w:ascii="宋体" w:hAnsi="宋体" w:eastAsia="宋体" w:cs="宋体"/>
                <w:i w:val="0"/>
                <w:iCs w:val="0"/>
                <w:color w:val="000000" w:themeColor="text1"/>
                <w:sz w:val="21"/>
                <w:szCs w:val="21"/>
                <w:highlight w:val="none"/>
                <w:u w:val="none"/>
              </w:rPr>
            </w:pPr>
          </w:p>
        </w:tc>
      </w:tr>
      <w:tr w14:paraId="7F988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jc w:val="center"/>
        </w:trPr>
        <w:tc>
          <w:tcPr>
            <w:tcW w:w="705" w:type="dxa"/>
            <w:tcBorders>
              <w:tl2br w:val="nil"/>
              <w:tr2bl w:val="nil"/>
            </w:tcBorders>
            <w:noWrap w:val="0"/>
            <w:vAlign w:val="center"/>
          </w:tcPr>
          <w:p w14:paraId="1B866E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其他</w:t>
            </w:r>
          </w:p>
        </w:tc>
        <w:tc>
          <w:tcPr>
            <w:tcW w:w="785" w:type="dxa"/>
            <w:tcBorders>
              <w:tl2br w:val="nil"/>
              <w:tr2bl w:val="nil"/>
            </w:tcBorders>
            <w:noWrap w:val="0"/>
            <w:vAlign w:val="center"/>
          </w:tcPr>
          <w:p w14:paraId="6511B9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15</w:t>
            </w:r>
          </w:p>
        </w:tc>
        <w:tc>
          <w:tcPr>
            <w:tcW w:w="5879" w:type="dxa"/>
            <w:tcBorders>
              <w:tl2br w:val="nil"/>
              <w:tr2bl w:val="nil"/>
            </w:tcBorders>
            <w:noWrap w:val="0"/>
            <w:vAlign w:val="center"/>
          </w:tcPr>
          <w:p w14:paraId="7375452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rPr>
            </w:pPr>
            <w:r>
              <w:rPr>
                <w:rFonts w:hint="eastAsia" w:ascii="宋体" w:hAnsi="宋体" w:eastAsia="宋体" w:cs="宋体"/>
                <w:i w:val="0"/>
                <w:iCs w:val="0"/>
                <w:color w:val="000000" w:themeColor="text1"/>
                <w:kern w:val="0"/>
                <w:sz w:val="21"/>
                <w:szCs w:val="21"/>
                <w:highlight w:val="none"/>
                <w:u w:val="none"/>
                <w:lang w:val="en-US" w:eastAsia="zh-CN" w:bidi="ar"/>
              </w:rPr>
              <w:t>有违反招标文件及合同规定的其他违约事件的，每发现1次，需按违约性质并结合上述违约类型，每次扣5分</w:t>
            </w:r>
          </w:p>
        </w:tc>
        <w:tc>
          <w:tcPr>
            <w:tcW w:w="750" w:type="dxa"/>
            <w:tcBorders>
              <w:tl2br w:val="nil"/>
              <w:tr2bl w:val="nil"/>
            </w:tcBorders>
            <w:noWrap w:val="0"/>
            <w:vAlign w:val="center"/>
          </w:tcPr>
          <w:p w14:paraId="6211FB40">
            <w:pPr>
              <w:jc w:val="center"/>
              <w:rPr>
                <w:rFonts w:hint="eastAsia" w:ascii="宋体" w:hAnsi="宋体" w:eastAsia="宋体" w:cs="宋体"/>
                <w:i w:val="0"/>
                <w:iCs w:val="0"/>
                <w:color w:val="000000" w:themeColor="text1"/>
                <w:sz w:val="21"/>
                <w:szCs w:val="21"/>
                <w:highlight w:val="none"/>
                <w:u w:val="none"/>
              </w:rPr>
            </w:pPr>
          </w:p>
        </w:tc>
        <w:tc>
          <w:tcPr>
            <w:tcW w:w="1063" w:type="dxa"/>
            <w:tcBorders>
              <w:tl2br w:val="nil"/>
              <w:tr2bl w:val="nil"/>
            </w:tcBorders>
            <w:noWrap/>
            <w:vAlign w:val="center"/>
          </w:tcPr>
          <w:p w14:paraId="505DE0FD">
            <w:pPr>
              <w:rPr>
                <w:rFonts w:hint="eastAsia" w:ascii="宋体" w:hAnsi="宋体" w:eastAsia="宋体" w:cs="宋体"/>
                <w:i w:val="0"/>
                <w:iCs w:val="0"/>
                <w:color w:val="000000" w:themeColor="text1"/>
                <w:sz w:val="21"/>
                <w:szCs w:val="21"/>
                <w:highlight w:val="none"/>
                <w:u w:val="none"/>
              </w:rPr>
            </w:pPr>
          </w:p>
        </w:tc>
      </w:tr>
    </w:tbl>
    <w:p w14:paraId="0320C033">
      <w:pPr>
        <w:keepNext w:val="0"/>
        <w:keepLines w:val="0"/>
        <w:pageBreakBefore w:val="0"/>
        <w:widowControl w:val="0"/>
        <w:tabs>
          <w:tab w:val="left" w:pos="360"/>
        </w:tabs>
        <w:kinsoku/>
        <w:overflowPunct/>
        <w:topLinePunct w:val="0"/>
        <w:autoSpaceDE/>
        <w:autoSpaceDN/>
        <w:bidi w:val="0"/>
        <w:adjustRightInd/>
        <w:snapToGrid/>
        <w:spacing w:line="400" w:lineRule="exact"/>
        <w:jc w:val="left"/>
        <w:textAlignment w:val="auto"/>
        <w:rPr>
          <w:rFonts w:hint="eastAsia" w:ascii="宋体" w:hAnsi="宋体" w:cs="宋体"/>
          <w:color w:val="000000" w:themeColor="text1"/>
          <w:sz w:val="20"/>
          <w:szCs w:val="20"/>
          <w:highlight w:val="none"/>
          <w:lang w:val="en-US" w:eastAsia="zh-CN"/>
        </w:rPr>
      </w:pPr>
      <w:r>
        <w:rPr>
          <w:rFonts w:hint="eastAsia" w:ascii="宋体" w:hAnsi="宋体" w:cs="宋体"/>
          <w:color w:val="000000" w:themeColor="text1"/>
          <w:sz w:val="20"/>
          <w:szCs w:val="20"/>
          <w:highlight w:val="none"/>
        </w:rPr>
        <w:t>考核供应商：</w:t>
      </w:r>
      <w:r>
        <w:rPr>
          <w:rFonts w:hint="eastAsia" w:ascii="宋体" w:hAnsi="宋体" w:cs="宋体"/>
          <w:color w:val="000000" w:themeColor="text1"/>
          <w:sz w:val="20"/>
          <w:szCs w:val="20"/>
          <w:highlight w:val="none"/>
          <w:lang w:val="en-US" w:eastAsia="zh-CN"/>
        </w:rPr>
        <w:t xml:space="preserve">                             </w:t>
      </w:r>
      <w:r>
        <w:rPr>
          <w:rFonts w:hint="eastAsia" w:ascii="宋体" w:hAnsi="宋体" w:cs="宋体"/>
          <w:color w:val="000000" w:themeColor="text1"/>
          <w:sz w:val="20"/>
          <w:szCs w:val="20"/>
          <w:highlight w:val="none"/>
        </w:rPr>
        <w:t>考核月份：</w:t>
      </w:r>
      <w:r>
        <w:rPr>
          <w:rFonts w:hint="eastAsia" w:ascii="宋体" w:hAnsi="宋体" w:cs="宋体"/>
          <w:color w:val="000000" w:themeColor="text1"/>
          <w:sz w:val="20"/>
          <w:szCs w:val="20"/>
          <w:highlight w:val="none"/>
          <w:lang w:val="en-US" w:eastAsia="zh-CN"/>
        </w:rPr>
        <w:t xml:space="preserve">                         </w:t>
      </w:r>
    </w:p>
    <w:p w14:paraId="61C67670">
      <w:pPr>
        <w:keepNext w:val="0"/>
        <w:keepLines w:val="0"/>
        <w:pageBreakBefore w:val="0"/>
        <w:widowControl w:val="0"/>
        <w:tabs>
          <w:tab w:val="left" w:pos="360"/>
        </w:tabs>
        <w:kinsoku/>
        <w:overflowPunct/>
        <w:topLinePunct w:val="0"/>
        <w:autoSpaceDE/>
        <w:autoSpaceDN/>
        <w:bidi w:val="0"/>
        <w:adjustRightInd/>
        <w:snapToGrid/>
        <w:spacing w:line="400" w:lineRule="exact"/>
        <w:jc w:val="left"/>
        <w:textAlignment w:val="auto"/>
        <w:rPr>
          <w:rFonts w:ascii="宋体" w:hAnsi="宋体" w:cs="宋体"/>
          <w:color w:val="000000" w:themeColor="text1"/>
          <w:sz w:val="20"/>
          <w:szCs w:val="20"/>
          <w:highlight w:val="none"/>
        </w:rPr>
      </w:pPr>
      <w:r>
        <w:rPr>
          <w:rFonts w:hint="eastAsia" w:ascii="宋体" w:hAnsi="宋体" w:cs="宋体"/>
          <w:color w:val="000000" w:themeColor="text1"/>
          <w:sz w:val="20"/>
          <w:szCs w:val="20"/>
          <w:highlight w:val="none"/>
        </w:rPr>
        <w:t>考核总得分：</w:t>
      </w:r>
    </w:p>
    <w:p w14:paraId="30F6F458">
      <w:pPr>
        <w:keepNext w:val="0"/>
        <w:keepLines w:val="0"/>
        <w:pageBreakBefore w:val="0"/>
        <w:widowControl w:val="0"/>
        <w:tabs>
          <w:tab w:val="left" w:pos="360"/>
        </w:tabs>
        <w:kinsoku/>
        <w:overflowPunct/>
        <w:topLinePunct w:val="0"/>
        <w:autoSpaceDE/>
        <w:autoSpaceDN/>
        <w:bidi w:val="0"/>
        <w:adjustRightInd/>
        <w:snapToGrid/>
        <w:spacing w:line="400" w:lineRule="exact"/>
        <w:ind w:left="120" w:hanging="100" w:hangingChars="50"/>
        <w:jc w:val="left"/>
        <w:textAlignment w:val="auto"/>
        <w:rPr>
          <w:rFonts w:hint="eastAsia" w:ascii="宋体" w:hAnsi="宋体" w:cs="宋体"/>
          <w:b/>
          <w:bCs/>
          <w:color w:val="000000" w:themeColor="text1"/>
          <w:sz w:val="20"/>
          <w:szCs w:val="20"/>
          <w:highlight w:val="none"/>
          <w:lang w:val="en-US" w:eastAsia="zh-CN"/>
        </w:rPr>
      </w:pPr>
      <w:r>
        <w:rPr>
          <w:rFonts w:hint="eastAsia" w:ascii="宋体" w:hAnsi="宋体" w:cs="宋体"/>
          <w:color w:val="000000" w:themeColor="text1"/>
          <w:sz w:val="20"/>
          <w:szCs w:val="20"/>
          <w:highlight w:val="none"/>
        </w:rPr>
        <w:t>供应商确认签名：</w:t>
      </w:r>
      <w:r>
        <w:rPr>
          <w:rFonts w:hint="eastAsia" w:ascii="宋体" w:hAnsi="宋体" w:cs="宋体"/>
          <w:color w:val="000000" w:themeColor="text1"/>
          <w:sz w:val="20"/>
          <w:szCs w:val="20"/>
          <w:highlight w:val="none"/>
          <w:lang w:val="en-US" w:eastAsia="zh-CN"/>
        </w:rPr>
        <w:t xml:space="preserve">                         </w:t>
      </w:r>
      <w:r>
        <w:rPr>
          <w:rFonts w:hint="eastAsia" w:ascii="宋体" w:hAnsi="宋体" w:cs="宋体"/>
          <w:color w:val="000000" w:themeColor="text1"/>
          <w:sz w:val="20"/>
          <w:szCs w:val="20"/>
          <w:highlight w:val="none"/>
        </w:rPr>
        <w:t>考核人员签名：</w:t>
      </w:r>
    </w:p>
    <w:p w14:paraId="6A5181D8">
      <w:pPr>
        <w:rPr>
          <w:color w:val="000000" w:themeColor="text1"/>
          <w:highlight w:val="none"/>
        </w:rPr>
      </w:pPr>
    </w:p>
    <w:p w14:paraId="4C820097">
      <w:pPr>
        <w:rPr>
          <w:rFonts w:hint="eastAsia"/>
          <w:color w:val="000000" w:themeColor="text1"/>
          <w:highlight w:val="none"/>
        </w:rPr>
      </w:pPr>
      <w:r>
        <w:rPr>
          <w:rFonts w:hint="eastAsia"/>
          <w:color w:val="000000" w:themeColor="text1"/>
          <w:highlight w:val="none"/>
        </w:rPr>
        <w:br w:type="page"/>
      </w:r>
    </w:p>
    <w:p w14:paraId="57EF40A3">
      <w:pPr>
        <w:pStyle w:val="2"/>
        <w:numPr>
          <w:ilvl w:val="0"/>
          <w:numId w:val="0"/>
        </w:numPr>
        <w:spacing w:beforeLines="0" w:line="240" w:lineRule="auto"/>
        <w:rPr>
          <w:color w:val="000000" w:themeColor="text1"/>
          <w:highlight w:val="none"/>
        </w:rPr>
      </w:pPr>
      <w:bookmarkStart w:id="115" w:name="_Toc2306"/>
      <w:r>
        <w:rPr>
          <w:rFonts w:hint="eastAsia"/>
          <w:color w:val="000000" w:themeColor="text1"/>
          <w:highlight w:val="none"/>
        </w:rPr>
        <w:t>第三部分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5"/>
    </w:p>
    <w:p w14:paraId="0CEDB135">
      <w:pPr>
        <w:pStyle w:val="3"/>
        <w:numPr>
          <w:ilvl w:val="0"/>
          <w:numId w:val="0"/>
        </w:numPr>
        <w:rPr>
          <w:rFonts w:hint="eastAsia"/>
          <w:color w:val="000000" w:themeColor="text1"/>
          <w:szCs w:val="21"/>
          <w:highlight w:val="none"/>
        </w:rPr>
      </w:pPr>
      <w:bookmarkStart w:id="116" w:name="_Toc27609"/>
      <w:bookmarkStart w:id="117" w:name="_Toc434832495"/>
      <w:bookmarkStart w:id="118" w:name="_Toc456648358"/>
      <w:bookmarkStart w:id="119" w:name="_Toc456272919"/>
      <w:r>
        <w:rPr>
          <w:rFonts w:hint="eastAsia"/>
          <w:color w:val="000000" w:themeColor="text1"/>
          <w:szCs w:val="21"/>
          <w:highlight w:val="none"/>
        </w:rPr>
        <w:t>投标人须知前附表</w:t>
      </w:r>
      <w:bookmarkEnd w:id="116"/>
      <w:bookmarkEnd w:id="117"/>
      <w:bookmarkEnd w:id="118"/>
      <w:bookmarkEnd w:id="119"/>
    </w:p>
    <w:tbl>
      <w:tblPr>
        <w:tblStyle w:val="46"/>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6"/>
        <w:gridCol w:w="1587"/>
        <w:gridCol w:w="1458"/>
        <w:gridCol w:w="3991"/>
      </w:tblGrid>
      <w:tr w14:paraId="1937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64AE0967">
            <w:pPr>
              <w:keepNext w:val="0"/>
              <w:keepLines w:val="0"/>
              <w:pageBreakBefore w:val="0"/>
              <w:kinsoku/>
              <w:wordWrap/>
              <w:overflowPunct/>
              <w:topLinePunct w:val="0"/>
              <w:bidi w:val="0"/>
              <w:snapToGrid/>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序号</w:t>
            </w:r>
          </w:p>
        </w:tc>
        <w:tc>
          <w:tcPr>
            <w:tcW w:w="1856" w:type="dxa"/>
            <w:tcBorders>
              <w:top w:val="single" w:color="auto" w:sz="4" w:space="0"/>
              <w:left w:val="single" w:color="auto" w:sz="4" w:space="0"/>
              <w:bottom w:val="single" w:color="auto" w:sz="4" w:space="0"/>
              <w:right w:val="single" w:color="auto" w:sz="4" w:space="0"/>
            </w:tcBorders>
            <w:shd w:val="clear" w:color="auto" w:fill="F3F3F3"/>
            <w:vAlign w:val="center"/>
          </w:tcPr>
          <w:p w14:paraId="1E04B999">
            <w:pPr>
              <w:keepNext w:val="0"/>
              <w:keepLines w:val="0"/>
              <w:pageBreakBefore w:val="0"/>
              <w:kinsoku/>
              <w:wordWrap/>
              <w:overflowPunct/>
              <w:topLinePunct w:val="0"/>
              <w:bidi w:val="0"/>
              <w:snapToGrid/>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项  目</w:t>
            </w:r>
          </w:p>
        </w:tc>
        <w:tc>
          <w:tcPr>
            <w:tcW w:w="7036"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449F8BF4">
            <w:pPr>
              <w:keepNext w:val="0"/>
              <w:keepLines w:val="0"/>
              <w:pageBreakBefore w:val="0"/>
              <w:kinsoku/>
              <w:wordWrap/>
              <w:overflowPunct/>
              <w:topLinePunct w:val="0"/>
              <w:bidi w:val="0"/>
              <w:snapToGrid/>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主要内容</w:t>
            </w:r>
          </w:p>
        </w:tc>
      </w:tr>
      <w:tr w14:paraId="476F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CEB699">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rPr>
            </w:pPr>
            <w:r>
              <w:rPr>
                <w:rFonts w:ascii="宋体" w:hAnsi="宋体"/>
                <w:b/>
                <w:color w:val="000000" w:themeColor="text1"/>
                <w:szCs w:val="21"/>
                <w:highlight w:val="none"/>
              </w:rPr>
              <w:t>1</w:t>
            </w:r>
          </w:p>
        </w:tc>
        <w:tc>
          <w:tcPr>
            <w:tcW w:w="1856" w:type="dxa"/>
            <w:tcBorders>
              <w:top w:val="single" w:color="auto" w:sz="4" w:space="0"/>
              <w:left w:val="single" w:color="auto" w:sz="4" w:space="0"/>
              <w:bottom w:val="single" w:color="auto" w:sz="4" w:space="0"/>
              <w:right w:val="single" w:color="auto" w:sz="4" w:space="0"/>
            </w:tcBorders>
            <w:vAlign w:val="center"/>
          </w:tcPr>
          <w:p w14:paraId="3776EFBC">
            <w:pPr>
              <w:keepNext w:val="0"/>
              <w:keepLines w:val="0"/>
              <w:pageBreakBefore w:val="0"/>
              <w:kinsoku/>
              <w:wordWrap/>
              <w:overflowPunct/>
              <w:topLinePunct w:val="0"/>
              <w:bidi w:val="0"/>
              <w:snapToGrid/>
              <w:spacing w:line="400" w:lineRule="exact"/>
              <w:jc w:val="center"/>
              <w:rPr>
                <w:rFonts w:ascii="宋体" w:hAnsi="宋体"/>
                <w:color w:val="000000" w:themeColor="text1"/>
                <w:szCs w:val="21"/>
                <w:highlight w:val="none"/>
                <w:lang w:val="en-GB"/>
              </w:rPr>
            </w:pPr>
            <w:r>
              <w:rPr>
                <w:rFonts w:hint="eastAsia"/>
                <w:color w:val="000000" w:themeColor="text1"/>
                <w:highlight w:val="none"/>
              </w:rPr>
              <w:t>评标委员会</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7414655B">
            <w:pPr>
              <w:keepNext w:val="0"/>
              <w:keepLines w:val="0"/>
              <w:pageBreakBefore w:val="0"/>
              <w:kinsoku/>
              <w:wordWrap/>
              <w:overflowPunct/>
              <w:topLinePunct w:val="0"/>
              <w:bidi w:val="0"/>
              <w:snapToGrid/>
              <w:spacing w:line="400" w:lineRule="exact"/>
              <w:rPr>
                <w:rFonts w:ascii="宋体" w:hAnsi="宋体"/>
                <w:color w:val="000000" w:themeColor="text1"/>
                <w:szCs w:val="21"/>
                <w:highlight w:val="none"/>
              </w:rPr>
            </w:pPr>
            <w:r>
              <w:rPr>
                <w:rFonts w:hint="eastAsia" w:ascii="宋体"/>
                <w:bCs/>
                <w:color w:val="000000" w:themeColor="text1"/>
                <w:highlight w:val="none"/>
              </w:rPr>
              <w:t>评标委员会</w:t>
            </w:r>
            <w:r>
              <w:rPr>
                <w:rFonts w:hint="eastAsia" w:ascii="宋体"/>
                <w:bCs/>
                <w:color w:val="000000" w:themeColor="text1"/>
                <w:highlight w:val="none"/>
                <w:lang w:val="en-US" w:eastAsia="zh-CN"/>
              </w:rPr>
              <w:t>根据政府采购相关法律法规组成</w:t>
            </w:r>
            <w:r>
              <w:rPr>
                <w:rFonts w:hint="eastAsia" w:ascii="宋体"/>
                <w:bCs/>
                <w:color w:val="000000" w:themeColor="text1"/>
                <w:highlight w:val="none"/>
              </w:rPr>
              <w:t>，评审专家根据相关法律法规及法律程序</w:t>
            </w:r>
            <w:r>
              <w:rPr>
                <w:rFonts w:hint="eastAsia" w:ascii="宋体"/>
                <w:bCs/>
                <w:color w:val="000000" w:themeColor="text1"/>
                <w:highlight w:val="none"/>
                <w:lang w:eastAsia="zh-CN"/>
              </w:rPr>
              <w:t>，</w:t>
            </w:r>
            <w:r>
              <w:rPr>
                <w:rFonts w:hint="eastAsia" w:ascii="宋体"/>
                <w:bCs/>
                <w:color w:val="000000" w:themeColor="text1"/>
                <w:highlight w:val="none"/>
              </w:rPr>
              <w:t>依据本次采购活动的特点和需要在政府指定的专家库中随机抽取产生,</w:t>
            </w:r>
            <w:r>
              <w:rPr>
                <w:rFonts w:hint="eastAsia" w:ascii="宋体"/>
                <w:b/>
                <w:bCs/>
                <w:color w:val="000000" w:themeColor="text1"/>
                <w:highlight w:val="none"/>
              </w:rPr>
              <w:t>专家数量共</w:t>
            </w:r>
            <w:r>
              <w:rPr>
                <w:rFonts w:hint="eastAsia" w:ascii="宋体"/>
                <w:b/>
                <w:bCs/>
                <w:color w:val="000000" w:themeColor="text1"/>
                <w:highlight w:val="none"/>
                <w:u w:val="single"/>
              </w:rPr>
              <w:t xml:space="preserve"> </w:t>
            </w:r>
            <w:r>
              <w:rPr>
                <w:rFonts w:hint="eastAsia" w:ascii="宋体"/>
                <w:b/>
                <w:bCs/>
                <w:color w:val="000000" w:themeColor="text1"/>
                <w:highlight w:val="none"/>
                <w:u w:val="single"/>
                <w:lang w:val="en-US" w:eastAsia="zh-CN"/>
              </w:rPr>
              <w:t>5</w:t>
            </w:r>
            <w:r>
              <w:rPr>
                <w:rFonts w:ascii="宋体"/>
                <w:b/>
                <w:bCs/>
                <w:color w:val="000000" w:themeColor="text1"/>
                <w:highlight w:val="none"/>
                <w:u w:val="single"/>
              </w:rPr>
              <w:t xml:space="preserve"> </w:t>
            </w:r>
            <w:r>
              <w:rPr>
                <w:rFonts w:hint="eastAsia" w:ascii="宋体"/>
                <w:b/>
                <w:bCs/>
                <w:color w:val="000000" w:themeColor="text1"/>
                <w:highlight w:val="none"/>
              </w:rPr>
              <w:t>名。</w:t>
            </w:r>
          </w:p>
        </w:tc>
      </w:tr>
      <w:tr w14:paraId="7D9A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3145409">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rPr>
            </w:pPr>
            <w:r>
              <w:rPr>
                <w:rFonts w:ascii="宋体" w:hAnsi="宋体"/>
                <w:b/>
                <w:color w:val="000000" w:themeColor="text1"/>
                <w:szCs w:val="21"/>
                <w:highlight w:val="none"/>
              </w:rPr>
              <w:t>2</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14:paraId="10B533CB">
            <w:pPr>
              <w:keepNext w:val="0"/>
              <w:keepLines w:val="0"/>
              <w:pageBreakBefore w:val="0"/>
              <w:kinsoku/>
              <w:wordWrap/>
              <w:overflowPunct/>
              <w:topLinePunct w:val="0"/>
              <w:bidi w:val="0"/>
              <w:snapToGrid/>
              <w:spacing w:line="400" w:lineRule="exact"/>
              <w:jc w:val="center"/>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rPr>
              <w:t>投标资料数量和封装</w:t>
            </w:r>
            <w:r>
              <w:rPr>
                <w:rFonts w:hint="eastAsia" w:ascii="宋体" w:hAnsi="宋体"/>
                <w:color w:val="000000" w:themeColor="text1"/>
                <w:szCs w:val="21"/>
                <w:highlight w:val="none"/>
                <w:lang w:val="en-US" w:eastAsia="zh-CN"/>
              </w:rPr>
              <w:t>要求</w:t>
            </w:r>
          </w:p>
        </w:tc>
        <w:tc>
          <w:tcPr>
            <w:tcW w:w="1587" w:type="dxa"/>
            <w:vMerge w:val="restart"/>
            <w:tcBorders>
              <w:top w:val="single" w:color="auto" w:sz="4" w:space="0"/>
              <w:left w:val="single" w:color="auto" w:sz="4" w:space="0"/>
              <w:right w:val="single" w:color="auto" w:sz="4" w:space="0"/>
            </w:tcBorders>
            <w:vAlign w:val="center"/>
          </w:tcPr>
          <w:p w14:paraId="35FCEC5C">
            <w:pPr>
              <w:keepNext w:val="0"/>
              <w:keepLines w:val="0"/>
              <w:pageBreakBefore w:val="0"/>
              <w:tabs>
                <w:tab w:val="left" w:pos="528"/>
                <w:tab w:val="left" w:pos="783"/>
              </w:tabs>
              <w:kinsoku/>
              <w:wordWrap/>
              <w:overflowPunct/>
              <w:topLinePunct w:val="0"/>
              <w:bidi w:val="0"/>
              <w:snapToGrid/>
              <w:spacing w:line="400" w:lineRule="exact"/>
              <w:jc w:val="both"/>
              <w:rPr>
                <w:rFonts w:hint="eastAsia"/>
                <w:color w:val="000000" w:themeColor="text1"/>
                <w:highlight w:val="none"/>
                <w:lang w:eastAsia="zh-CN"/>
              </w:rPr>
            </w:pPr>
            <w:r>
              <w:rPr>
                <w:rFonts w:hint="eastAsia" w:ascii="宋体" w:hAnsi="宋体"/>
                <w:b/>
                <w:bCs/>
                <w:color w:val="000000" w:themeColor="text1"/>
                <w:szCs w:val="21"/>
                <w:highlight w:val="none"/>
                <w:lang w:val="en-US" w:eastAsia="zh-CN"/>
              </w:rPr>
              <w:t>共提供4份</w:t>
            </w:r>
            <w:r>
              <w:rPr>
                <w:rFonts w:hint="eastAsia" w:ascii="宋体" w:hAnsi="宋体"/>
                <w:b/>
                <w:bCs/>
                <w:color w:val="000000" w:themeColor="text1"/>
                <w:szCs w:val="21"/>
                <w:highlight w:val="none"/>
              </w:rPr>
              <w:t>投标</w:t>
            </w:r>
            <w:r>
              <w:rPr>
                <w:rFonts w:hint="eastAsia" w:ascii="宋体" w:hAnsi="宋体"/>
                <w:b/>
                <w:bCs/>
                <w:color w:val="000000" w:themeColor="text1"/>
                <w:szCs w:val="21"/>
                <w:highlight w:val="none"/>
                <w:lang w:val="en-US" w:eastAsia="zh-CN"/>
              </w:rPr>
              <w:t>资料，分别封装：</w:t>
            </w:r>
            <w:r>
              <w:rPr>
                <w:rFonts w:hint="eastAsia" w:ascii="宋体" w:hAnsi="宋体"/>
                <w:b/>
                <w:bCs/>
                <w:color w:val="000000" w:themeColor="text1"/>
                <w:szCs w:val="21"/>
                <w:highlight w:val="none"/>
                <w:lang w:val="en-US" w:eastAsia="zh-CN"/>
              </w:rPr>
              <w:br w:type="textWrapping"/>
            </w:r>
          </w:p>
          <w:p w14:paraId="03B50534">
            <w:pPr>
              <w:keepNext w:val="0"/>
              <w:keepLines w:val="0"/>
              <w:pageBreakBefore w:val="0"/>
              <w:numPr>
                <w:ilvl w:val="0"/>
                <w:numId w:val="0"/>
              </w:numPr>
              <w:tabs>
                <w:tab w:val="left" w:pos="528"/>
                <w:tab w:val="left" w:pos="783"/>
              </w:tabs>
              <w:kinsoku/>
              <w:wordWrap/>
              <w:overflowPunct/>
              <w:topLinePunct w:val="0"/>
              <w:bidi w:val="0"/>
              <w:snapToGrid/>
              <w:spacing w:line="400" w:lineRule="exact"/>
              <w:jc w:val="center"/>
              <w:rPr>
                <w:rFonts w:ascii="宋体" w:hAnsi="宋体"/>
                <w:b/>
                <w:color w:val="000000" w:themeColor="text1"/>
                <w:szCs w:val="21"/>
                <w:highlight w:val="none"/>
                <w:shd w:val="pct10" w:color="auto" w:fill="FFFFFF"/>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34842DF4">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rPr>
            </w:pPr>
            <w:r>
              <w:rPr>
                <w:rFonts w:hint="eastAsia" w:ascii="宋体" w:hAnsi="宋体"/>
                <w:b/>
                <w:bCs/>
                <w:color w:val="000000" w:themeColor="text1"/>
                <w:szCs w:val="21"/>
                <w:highlight w:val="none"/>
                <w:lang w:val="en-US" w:eastAsia="zh-CN"/>
              </w:rPr>
              <w:t>1.</w:t>
            </w:r>
            <w:r>
              <w:rPr>
                <w:rFonts w:hint="eastAsia" w:ascii="宋体" w:hAnsi="宋体"/>
                <w:b/>
                <w:bCs/>
                <w:color w:val="000000" w:themeColor="text1"/>
                <w:szCs w:val="21"/>
                <w:highlight w:val="none"/>
              </w:rPr>
              <w:t>资格审查文件</w:t>
            </w:r>
            <w:r>
              <w:rPr>
                <w:rFonts w:hint="eastAsia" w:ascii="宋体" w:hAnsi="宋体"/>
                <w:b/>
                <w:bCs/>
                <w:color w:val="000000" w:themeColor="text1"/>
                <w:szCs w:val="21"/>
                <w:highlight w:val="none"/>
                <w:lang w:eastAsia="zh-CN"/>
              </w:rPr>
              <w:t>。</w:t>
            </w:r>
            <w:r>
              <w:rPr>
                <w:rFonts w:hint="eastAsia"/>
                <w:color w:val="000000" w:themeColor="text1"/>
                <w:highlight w:val="none"/>
                <w:lang w:eastAsia="zh-CN"/>
              </w:rPr>
              <w:t>（</w:t>
            </w:r>
            <w:r>
              <w:rPr>
                <w:rFonts w:hint="eastAsia"/>
                <w:color w:val="000000" w:themeColor="text1"/>
                <w:highlight w:val="none"/>
                <w:lang w:val="en-US" w:eastAsia="zh-CN"/>
              </w:rPr>
              <w:t>内含</w:t>
            </w:r>
            <w:r>
              <w:rPr>
                <w:rFonts w:hint="eastAsia"/>
                <w:color w:val="000000" w:themeColor="text1"/>
                <w:highlight w:val="none"/>
                <w:u w:val="single"/>
                <w:lang w:val="en-US" w:eastAsia="zh-CN"/>
              </w:rPr>
              <w:t xml:space="preserve"> 1 </w:t>
            </w:r>
            <w:r>
              <w:rPr>
                <w:rFonts w:hint="eastAsia"/>
                <w:color w:val="000000" w:themeColor="text1"/>
                <w:highlight w:val="none"/>
                <w:lang w:val="en-US" w:eastAsia="zh-CN"/>
              </w:rPr>
              <w:t>正</w:t>
            </w:r>
            <w:r>
              <w:rPr>
                <w:rFonts w:hint="eastAsia"/>
                <w:color w:val="000000" w:themeColor="text1"/>
                <w:highlight w:val="none"/>
                <w:u w:val="single"/>
                <w:lang w:val="en-US" w:eastAsia="zh-CN"/>
              </w:rPr>
              <w:t xml:space="preserve"> 4 </w:t>
            </w:r>
            <w:r>
              <w:rPr>
                <w:rFonts w:hint="eastAsia"/>
                <w:color w:val="000000" w:themeColor="text1"/>
                <w:highlight w:val="none"/>
                <w:lang w:val="en-US" w:eastAsia="zh-CN"/>
              </w:rPr>
              <w:t>副，</w:t>
            </w:r>
            <w:r>
              <w:rPr>
                <w:rFonts w:hint="eastAsia" w:ascii="宋体" w:hAnsi="宋体"/>
                <w:bCs/>
                <w:color w:val="000000" w:themeColor="text1"/>
                <w:szCs w:val="21"/>
                <w:highlight w:val="none"/>
              </w:rPr>
              <w:t>独立装订成册</w:t>
            </w:r>
            <w:r>
              <w:rPr>
                <w:rFonts w:hint="eastAsia"/>
                <w:color w:val="000000" w:themeColor="text1"/>
                <w:highlight w:val="none"/>
                <w:lang w:eastAsia="zh-CN"/>
              </w:rPr>
              <w:t>。</w:t>
            </w:r>
            <w:r>
              <w:rPr>
                <w:rFonts w:hint="eastAsia"/>
                <w:color w:val="000000" w:themeColor="text1"/>
                <w:highlight w:val="none"/>
                <w:lang w:val="en-US" w:eastAsia="zh-CN"/>
              </w:rPr>
              <w:t>）</w:t>
            </w:r>
          </w:p>
        </w:tc>
      </w:tr>
      <w:tr w14:paraId="3DA1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5" w:type="dxa"/>
            <w:vMerge w:val="continue"/>
            <w:tcBorders>
              <w:left w:val="single" w:color="auto" w:sz="4" w:space="0"/>
              <w:right w:val="single" w:color="auto" w:sz="4" w:space="0"/>
            </w:tcBorders>
            <w:vAlign w:val="center"/>
          </w:tcPr>
          <w:p w14:paraId="6B48F98B">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14:paraId="5C971A72">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rPr>
            </w:pPr>
          </w:p>
        </w:tc>
        <w:tc>
          <w:tcPr>
            <w:tcW w:w="1587" w:type="dxa"/>
            <w:vMerge w:val="continue"/>
            <w:tcBorders>
              <w:left w:val="single" w:color="auto" w:sz="4" w:space="0"/>
              <w:bottom w:val="single" w:color="auto" w:sz="4" w:space="0"/>
              <w:right w:val="single" w:color="auto" w:sz="4" w:space="0"/>
            </w:tcBorders>
            <w:vAlign w:val="center"/>
          </w:tcPr>
          <w:p w14:paraId="14512ABC">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1F4B5103">
            <w:pPr>
              <w:keepNext w:val="0"/>
              <w:keepLines w:val="0"/>
              <w:pageBreakBefore w:val="0"/>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rPr>
            </w:pPr>
            <w:r>
              <w:rPr>
                <w:rFonts w:hint="eastAsia" w:ascii="宋体" w:hAnsi="宋体"/>
                <w:b/>
                <w:bCs/>
                <w:color w:val="000000" w:themeColor="text1"/>
                <w:szCs w:val="21"/>
                <w:highlight w:val="none"/>
                <w:lang w:val="en-US" w:eastAsia="zh-CN"/>
              </w:rPr>
              <w:t>2.</w:t>
            </w:r>
            <w:r>
              <w:rPr>
                <w:rFonts w:hint="eastAsia" w:ascii="宋体" w:hAnsi="宋体"/>
                <w:b/>
                <w:bCs/>
                <w:color w:val="000000" w:themeColor="text1"/>
                <w:szCs w:val="21"/>
                <w:highlight w:val="none"/>
              </w:rPr>
              <w:t>商务及技术文件</w:t>
            </w:r>
            <w:r>
              <w:rPr>
                <w:rFonts w:hint="eastAsia" w:ascii="宋体" w:hAnsi="宋体"/>
                <w:b/>
                <w:bCs/>
                <w:color w:val="000000" w:themeColor="text1"/>
                <w:szCs w:val="21"/>
                <w:highlight w:val="none"/>
                <w:lang w:eastAsia="zh-CN"/>
              </w:rPr>
              <w:t>。</w:t>
            </w:r>
            <w:r>
              <w:rPr>
                <w:rFonts w:hint="eastAsia"/>
                <w:color w:val="000000" w:themeColor="text1"/>
                <w:highlight w:val="none"/>
                <w:lang w:val="en-US" w:eastAsia="zh-CN"/>
              </w:rPr>
              <w:t>（内含</w:t>
            </w:r>
            <w:r>
              <w:rPr>
                <w:rFonts w:hint="eastAsia"/>
                <w:color w:val="000000" w:themeColor="text1"/>
                <w:highlight w:val="none"/>
                <w:u w:val="single"/>
                <w:lang w:val="en-US" w:eastAsia="zh-CN"/>
              </w:rPr>
              <w:t xml:space="preserve"> 1 </w:t>
            </w:r>
            <w:r>
              <w:rPr>
                <w:rFonts w:hint="eastAsia"/>
                <w:color w:val="000000" w:themeColor="text1"/>
                <w:highlight w:val="none"/>
                <w:lang w:val="en-US" w:eastAsia="zh-CN"/>
              </w:rPr>
              <w:t>正</w:t>
            </w:r>
            <w:r>
              <w:rPr>
                <w:rFonts w:hint="eastAsia"/>
                <w:color w:val="000000" w:themeColor="text1"/>
                <w:highlight w:val="none"/>
                <w:u w:val="single"/>
                <w:lang w:val="en-US" w:eastAsia="zh-CN"/>
              </w:rPr>
              <w:t xml:space="preserve"> 4 </w:t>
            </w:r>
            <w:r>
              <w:rPr>
                <w:rFonts w:hint="eastAsia"/>
                <w:color w:val="000000" w:themeColor="text1"/>
                <w:highlight w:val="none"/>
                <w:lang w:val="en-US" w:eastAsia="zh-CN"/>
              </w:rPr>
              <w:t>副，</w:t>
            </w:r>
            <w:r>
              <w:rPr>
                <w:rFonts w:hint="eastAsia" w:ascii="宋体" w:hAnsi="宋体"/>
                <w:bCs/>
                <w:color w:val="000000" w:themeColor="text1"/>
                <w:szCs w:val="21"/>
                <w:highlight w:val="none"/>
              </w:rPr>
              <w:t>独立装订成册</w:t>
            </w:r>
            <w:r>
              <w:rPr>
                <w:rFonts w:hint="eastAsia"/>
                <w:color w:val="000000" w:themeColor="text1"/>
                <w:highlight w:val="none"/>
                <w:lang w:eastAsia="zh-CN"/>
              </w:rPr>
              <w:t>。</w:t>
            </w:r>
            <w:r>
              <w:rPr>
                <w:rFonts w:hint="eastAsia"/>
                <w:color w:val="000000" w:themeColor="text1"/>
                <w:highlight w:val="none"/>
                <w:lang w:val="en-US" w:eastAsia="zh-CN"/>
              </w:rPr>
              <w:t>）</w:t>
            </w:r>
          </w:p>
        </w:tc>
      </w:tr>
      <w:tr w14:paraId="5BF2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14:paraId="247108C4">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14:paraId="3A88D4D1">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rPr>
            </w:pPr>
          </w:p>
        </w:tc>
        <w:tc>
          <w:tcPr>
            <w:tcW w:w="1587" w:type="dxa"/>
            <w:vMerge w:val="continue"/>
            <w:tcBorders>
              <w:left w:val="single" w:color="auto" w:sz="4" w:space="0"/>
              <w:bottom w:val="single" w:color="auto" w:sz="4" w:space="0"/>
              <w:right w:val="single" w:color="auto" w:sz="4" w:space="0"/>
            </w:tcBorders>
            <w:vAlign w:val="center"/>
          </w:tcPr>
          <w:p w14:paraId="79F06090">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5490AAEB">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rPr>
            </w:pPr>
            <w:r>
              <w:rPr>
                <w:rFonts w:hint="eastAsia"/>
                <w:b/>
                <w:bCs/>
                <w:color w:val="000000" w:themeColor="text1"/>
                <w:szCs w:val="21"/>
                <w:highlight w:val="none"/>
                <w:lang w:val="en-US" w:eastAsia="zh-CN"/>
              </w:rPr>
              <w:t>3.</w:t>
            </w:r>
            <w:r>
              <w:rPr>
                <w:rFonts w:hint="eastAsia"/>
                <w:b/>
                <w:bCs/>
                <w:color w:val="000000" w:themeColor="text1"/>
                <w:szCs w:val="21"/>
                <w:highlight w:val="none"/>
              </w:rPr>
              <w:t>开标信封</w:t>
            </w:r>
            <w:r>
              <w:rPr>
                <w:rFonts w:hint="eastAsia"/>
                <w:b/>
                <w:bCs/>
                <w:color w:val="000000" w:themeColor="text1"/>
                <w:szCs w:val="21"/>
                <w:highlight w:val="none"/>
                <w:lang w:eastAsia="zh-CN"/>
              </w:rPr>
              <w:t>。</w:t>
            </w:r>
            <w:r>
              <w:rPr>
                <w:rFonts w:hint="eastAsia"/>
                <w:color w:val="000000" w:themeColor="text1"/>
                <w:highlight w:val="none"/>
                <w:lang w:val="en-US" w:eastAsia="zh-CN"/>
              </w:rPr>
              <w:t>（内含“开标一览表”、“法定代表人（负责人）证明书”和“法定代表人（负责人）授权书”</w:t>
            </w:r>
            <w:r>
              <w:rPr>
                <w:rFonts w:hint="eastAsia"/>
                <w:color w:val="000000" w:themeColor="text1"/>
                <w:highlight w:val="none"/>
                <w:lang w:eastAsia="zh-CN"/>
              </w:rPr>
              <w:t>。</w:t>
            </w:r>
            <w:r>
              <w:rPr>
                <w:rFonts w:hint="eastAsia"/>
                <w:color w:val="000000" w:themeColor="text1"/>
                <w:highlight w:val="none"/>
                <w:lang w:val="en-US" w:eastAsia="zh-CN"/>
              </w:rPr>
              <w:t>）</w:t>
            </w:r>
          </w:p>
        </w:tc>
      </w:tr>
      <w:tr w14:paraId="19FD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14:paraId="0312E9E8">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14:paraId="0BFC3D4A">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rPr>
            </w:pPr>
          </w:p>
        </w:tc>
        <w:tc>
          <w:tcPr>
            <w:tcW w:w="1587" w:type="dxa"/>
            <w:vMerge w:val="continue"/>
            <w:tcBorders>
              <w:left w:val="single" w:color="auto" w:sz="4" w:space="0"/>
              <w:bottom w:val="single" w:color="auto" w:sz="4" w:space="0"/>
              <w:right w:val="single" w:color="auto" w:sz="4" w:space="0"/>
            </w:tcBorders>
            <w:vAlign w:val="center"/>
          </w:tcPr>
          <w:p w14:paraId="6DDA51E8">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52CA07E2">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rPr>
            </w:pPr>
            <w:r>
              <w:rPr>
                <w:rFonts w:hint="eastAsia"/>
                <w:b/>
                <w:bCs/>
                <w:color w:val="000000" w:themeColor="text1"/>
                <w:szCs w:val="21"/>
                <w:highlight w:val="none"/>
                <w:lang w:val="en-US" w:eastAsia="zh-CN"/>
              </w:rPr>
              <w:t>4.</w:t>
            </w:r>
            <w:r>
              <w:rPr>
                <w:rFonts w:hint="eastAsia"/>
                <w:b/>
                <w:bCs/>
                <w:color w:val="000000" w:themeColor="text1"/>
                <w:highlight w:val="none"/>
                <w:lang w:val="en-US" w:eastAsia="zh-CN"/>
              </w:rPr>
              <w:t>投标文件电子版。</w:t>
            </w:r>
            <w:r>
              <w:rPr>
                <w:rFonts w:hint="eastAsia"/>
                <w:color w:val="000000" w:themeColor="text1"/>
                <w:highlight w:val="none"/>
                <w:lang w:val="en-US" w:eastAsia="zh-CN"/>
              </w:rPr>
              <w:t>（以光盘或U盘提供，内含PDF及可编辑的投标文件电子版1份，</w:t>
            </w:r>
            <w:r>
              <w:rPr>
                <w:rFonts w:hint="eastAsia"/>
                <w:color w:val="000000" w:themeColor="text1"/>
                <w:szCs w:val="21"/>
                <w:highlight w:val="none"/>
              </w:rPr>
              <w:t>在封面上注明“</w:t>
            </w:r>
            <w:r>
              <w:rPr>
                <w:rFonts w:hint="eastAsia"/>
                <w:color w:val="000000" w:themeColor="text1"/>
                <w:szCs w:val="21"/>
                <w:highlight w:val="none"/>
                <w:lang w:val="en-US" w:eastAsia="zh-CN"/>
              </w:rPr>
              <w:t>公司名称-</w:t>
            </w:r>
            <w:r>
              <w:rPr>
                <w:rFonts w:hint="eastAsia"/>
                <w:color w:val="000000" w:themeColor="text1"/>
                <w:highlight w:val="none"/>
                <w:lang w:val="en-US" w:eastAsia="zh-CN"/>
              </w:rPr>
              <w:t>投标文件电子版</w:t>
            </w:r>
            <w:r>
              <w:rPr>
                <w:rFonts w:hint="eastAsia"/>
                <w:color w:val="000000" w:themeColor="text1"/>
                <w:szCs w:val="21"/>
                <w:highlight w:val="none"/>
              </w:rPr>
              <w:t>”</w:t>
            </w:r>
            <w:r>
              <w:rPr>
                <w:rFonts w:hint="eastAsia"/>
                <w:color w:val="000000" w:themeColor="text1"/>
                <w:highlight w:val="none"/>
                <w:lang w:eastAsia="zh-CN"/>
              </w:rPr>
              <w:t>。</w:t>
            </w:r>
            <w:r>
              <w:rPr>
                <w:rFonts w:hint="eastAsia"/>
                <w:color w:val="000000" w:themeColor="text1"/>
                <w:highlight w:val="none"/>
                <w:lang w:val="en-US" w:eastAsia="zh-CN"/>
              </w:rPr>
              <w:t>）</w:t>
            </w:r>
          </w:p>
        </w:tc>
      </w:tr>
      <w:tr w14:paraId="6870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75" w:type="dxa"/>
            <w:vMerge w:val="continue"/>
            <w:tcBorders>
              <w:left w:val="single" w:color="auto" w:sz="4" w:space="0"/>
              <w:right w:val="single" w:color="auto" w:sz="4" w:space="0"/>
            </w:tcBorders>
            <w:vAlign w:val="center"/>
          </w:tcPr>
          <w:p w14:paraId="32A62A0D">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14:paraId="455A581F">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41C95F32">
            <w:pPr>
              <w:keepNext w:val="0"/>
              <w:keepLines w:val="0"/>
              <w:pageBreakBefore w:val="0"/>
              <w:kinsoku/>
              <w:wordWrap/>
              <w:overflowPunct/>
              <w:topLinePunct w:val="0"/>
              <w:bidi w:val="0"/>
              <w:snapToGrid/>
              <w:spacing w:line="400" w:lineRule="exact"/>
              <w:rPr>
                <w:color w:val="000000" w:themeColor="text1"/>
                <w:highlight w:val="none"/>
              </w:rPr>
            </w:pPr>
            <w:r>
              <w:rPr>
                <w:rFonts w:hint="eastAsia" w:ascii="宋体" w:hAnsi="宋体"/>
                <w:b/>
                <w:bCs w:val="0"/>
                <w:color w:val="000000" w:themeColor="text1"/>
                <w:szCs w:val="21"/>
                <w:highlight w:val="none"/>
                <w:lang w:val="en-US" w:eastAsia="zh-CN"/>
              </w:rPr>
              <w:t>所有投标资料</w:t>
            </w:r>
            <w:r>
              <w:rPr>
                <w:rFonts w:hint="eastAsia" w:ascii="宋体"/>
                <w:bCs/>
                <w:color w:val="000000" w:themeColor="text1"/>
                <w:szCs w:val="21"/>
                <w:highlight w:val="none"/>
              </w:rPr>
              <w:t>分别</w:t>
            </w:r>
            <w:r>
              <w:rPr>
                <w:rFonts w:hint="eastAsia" w:ascii="宋体" w:hAnsi="宋体"/>
                <w:bCs/>
                <w:color w:val="000000" w:themeColor="text1"/>
                <w:szCs w:val="21"/>
                <w:highlight w:val="none"/>
              </w:rPr>
              <w:t>密封在不透明的外层封装中，</w:t>
            </w:r>
            <w:r>
              <w:rPr>
                <w:rFonts w:hint="eastAsia"/>
                <w:color w:val="000000" w:themeColor="text1"/>
                <w:szCs w:val="21"/>
                <w:highlight w:val="none"/>
              </w:rPr>
              <w:t>封面需按招标文件封面格式要求标注并加盖公章。</w:t>
            </w:r>
          </w:p>
        </w:tc>
      </w:tr>
      <w:tr w14:paraId="0D06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8FF9970">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4D9FF806">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5C8687BC">
            <w:pPr>
              <w:keepNext w:val="0"/>
              <w:keepLines w:val="0"/>
              <w:pageBreakBefore w:val="0"/>
              <w:kinsoku/>
              <w:wordWrap/>
              <w:overflowPunct/>
              <w:topLinePunct w:val="0"/>
              <w:bidi w:val="0"/>
              <w:snapToGrid/>
              <w:spacing w:line="400" w:lineRule="exact"/>
              <w:rPr>
                <w:color w:val="000000" w:themeColor="text1"/>
                <w:highlight w:val="none"/>
              </w:rPr>
            </w:pPr>
            <w:r>
              <w:rPr>
                <w:rFonts w:hint="eastAsia" w:ascii="宋体"/>
                <w:bCs/>
                <w:color w:val="000000" w:themeColor="text1"/>
                <w:highlight w:val="none"/>
              </w:rPr>
              <w:t>每一密封封</w:t>
            </w:r>
            <w:r>
              <w:rPr>
                <w:rFonts w:hint="eastAsia" w:ascii="宋体"/>
                <w:bCs/>
                <w:color w:val="000000" w:themeColor="text1"/>
                <w:highlight w:val="none"/>
                <w:lang w:val="en-US" w:eastAsia="zh-CN"/>
              </w:rPr>
              <w:t>装</w:t>
            </w:r>
            <w:r>
              <w:rPr>
                <w:rFonts w:hint="eastAsia" w:ascii="宋体"/>
                <w:bCs/>
                <w:color w:val="000000" w:themeColor="text1"/>
                <w:highlight w:val="none"/>
              </w:rPr>
              <w:t>上均注明“于</w:t>
            </w:r>
            <w:r>
              <w:rPr>
                <w:rFonts w:hint="eastAsia" w:ascii="宋体"/>
                <w:bCs/>
                <w:color w:val="000000" w:themeColor="text1"/>
                <w:highlight w:val="none"/>
                <w:u w:val="single"/>
              </w:rPr>
              <w:t xml:space="preserve">     （投标截止时间）   </w:t>
            </w:r>
            <w:r>
              <w:rPr>
                <w:rFonts w:hint="eastAsia" w:ascii="宋体"/>
                <w:bCs/>
                <w:color w:val="000000" w:themeColor="text1"/>
                <w:highlight w:val="none"/>
              </w:rPr>
              <w:t>之前不准启封”的字样。</w:t>
            </w:r>
          </w:p>
        </w:tc>
      </w:tr>
      <w:tr w14:paraId="4ACC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96F3035">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3852529E">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3601C82F">
            <w:pPr>
              <w:keepNext w:val="0"/>
              <w:keepLines w:val="0"/>
              <w:pageBreakBefore w:val="0"/>
              <w:kinsoku/>
              <w:wordWrap/>
              <w:overflowPunct/>
              <w:topLinePunct w:val="0"/>
              <w:bidi w:val="0"/>
              <w:snapToGrid/>
              <w:spacing w:line="400" w:lineRule="exact"/>
              <w:rPr>
                <w:rFonts w:ascii="宋体"/>
                <w:bCs/>
                <w:color w:val="000000" w:themeColor="text1"/>
                <w:highlight w:val="none"/>
              </w:rPr>
            </w:pPr>
            <w:r>
              <w:rPr>
                <w:rFonts w:hint="eastAsia" w:ascii="宋体"/>
                <w:bCs/>
                <w:color w:val="000000" w:themeColor="text1"/>
                <w:highlight w:val="none"/>
              </w:rPr>
              <w:t>投标人未按上述规定对投标文件进行密封和加写标记，</w:t>
            </w:r>
            <w:r>
              <w:rPr>
                <w:rFonts w:hint="eastAsia" w:ascii="宋体" w:hAnsi="宋体"/>
                <w:color w:val="000000" w:themeColor="text1"/>
                <w:highlight w:val="none"/>
              </w:rPr>
              <w:t>代理采购机构有权予以拒收，并退回给投标人。电报、电话、传真</w:t>
            </w:r>
            <w:r>
              <w:rPr>
                <w:rFonts w:hint="eastAsia" w:ascii="宋体"/>
                <w:bCs/>
                <w:color w:val="000000" w:themeColor="text1"/>
                <w:highlight w:val="none"/>
              </w:rPr>
              <w:t>等非纸质形式</w:t>
            </w:r>
            <w:r>
              <w:rPr>
                <w:rFonts w:hint="eastAsia" w:ascii="宋体" w:hAnsi="宋体"/>
                <w:color w:val="000000" w:themeColor="text1"/>
                <w:highlight w:val="none"/>
              </w:rPr>
              <w:t>的投标概不接受</w:t>
            </w:r>
            <w:r>
              <w:rPr>
                <w:rFonts w:hint="eastAsia" w:ascii="宋体"/>
                <w:bCs/>
                <w:color w:val="000000" w:themeColor="text1"/>
                <w:highlight w:val="none"/>
              </w:rPr>
              <w:t>。</w:t>
            </w:r>
            <w:r>
              <w:rPr>
                <w:b/>
                <w:bCs/>
                <w:color w:val="000000" w:themeColor="text1"/>
                <w:szCs w:val="21"/>
                <w:highlight w:val="none"/>
              </w:rPr>
              <w:t>所有投标文件密封袋的封口处应加盖投标人</w:t>
            </w:r>
            <w:r>
              <w:rPr>
                <w:rFonts w:hint="eastAsia"/>
                <w:b/>
                <w:bCs/>
                <w:color w:val="000000" w:themeColor="text1"/>
                <w:szCs w:val="21"/>
                <w:highlight w:val="none"/>
              </w:rPr>
              <w:t>公章或密封章。</w:t>
            </w:r>
          </w:p>
        </w:tc>
      </w:tr>
      <w:tr w14:paraId="1CB8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5FED40B">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3</w:t>
            </w:r>
          </w:p>
        </w:tc>
        <w:tc>
          <w:tcPr>
            <w:tcW w:w="1856" w:type="dxa"/>
            <w:tcBorders>
              <w:top w:val="single" w:color="auto" w:sz="4" w:space="0"/>
              <w:left w:val="single" w:color="auto" w:sz="4" w:space="0"/>
              <w:bottom w:val="single" w:color="auto" w:sz="4" w:space="0"/>
              <w:right w:val="single" w:color="auto" w:sz="4" w:space="0"/>
            </w:tcBorders>
            <w:vAlign w:val="center"/>
          </w:tcPr>
          <w:p w14:paraId="5A657001">
            <w:pPr>
              <w:keepNext w:val="0"/>
              <w:keepLines w:val="0"/>
              <w:pageBreakBefore w:val="0"/>
              <w:widowControl/>
              <w:kinsoku/>
              <w:wordWrap/>
              <w:overflowPunct/>
              <w:topLinePunct w:val="0"/>
              <w:bidi w:val="0"/>
              <w:snapToGrid/>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其他说明</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7CFB150F">
            <w:pPr>
              <w:pStyle w:val="5"/>
              <w:keepNext w:val="0"/>
              <w:keepLines w:val="0"/>
              <w:pageBreakBefore w:val="0"/>
              <w:numPr>
                <w:ilvl w:val="1"/>
                <w:numId w:val="20"/>
              </w:numPr>
              <w:tabs>
                <w:tab w:val="left" w:pos="26"/>
                <w:tab w:val="clear" w:pos="783"/>
              </w:tabs>
              <w:kinsoku/>
              <w:wordWrap/>
              <w:overflowPunct/>
              <w:topLinePunct w:val="0"/>
              <w:bidi w:val="0"/>
              <w:snapToGrid/>
              <w:spacing w:line="400" w:lineRule="exact"/>
              <w:ind w:left="26" w:firstLine="0"/>
              <w:jc w:val="both"/>
              <w:rPr>
                <w:b/>
                <w:color w:val="000000" w:themeColor="text1"/>
                <w:sz w:val="21"/>
                <w:szCs w:val="21"/>
                <w:highlight w:val="none"/>
              </w:rPr>
            </w:pPr>
            <w:r>
              <w:rPr>
                <w:rFonts w:hint="eastAsia"/>
                <w:b/>
                <w:color w:val="000000" w:themeColor="text1"/>
                <w:sz w:val="21"/>
                <w:szCs w:val="21"/>
                <w:highlight w:val="none"/>
              </w:rPr>
              <w:t>招标文件中打“★”号条款必须实质性响应，负偏离（不满足要求）将导致投标无效。</w:t>
            </w:r>
          </w:p>
          <w:p w14:paraId="1FF846A9">
            <w:pPr>
              <w:pStyle w:val="5"/>
              <w:keepNext w:val="0"/>
              <w:keepLines w:val="0"/>
              <w:pageBreakBefore w:val="0"/>
              <w:numPr>
                <w:ilvl w:val="1"/>
                <w:numId w:val="20"/>
              </w:numPr>
              <w:tabs>
                <w:tab w:val="left" w:pos="26"/>
                <w:tab w:val="clear" w:pos="783"/>
              </w:tabs>
              <w:kinsoku/>
              <w:wordWrap/>
              <w:overflowPunct/>
              <w:topLinePunct w:val="0"/>
              <w:bidi w:val="0"/>
              <w:snapToGrid/>
              <w:spacing w:line="400" w:lineRule="exact"/>
              <w:ind w:left="26" w:firstLine="0"/>
              <w:jc w:val="both"/>
              <w:rPr>
                <w:bCs/>
                <w:color w:val="000000" w:themeColor="text1"/>
                <w:highlight w:val="none"/>
              </w:rPr>
            </w:pPr>
            <w:r>
              <w:rPr>
                <w:rFonts w:hint="eastAsia"/>
                <w:b/>
                <w:color w:val="000000" w:themeColor="text1"/>
                <w:sz w:val="21"/>
                <w:szCs w:val="21"/>
                <w:highlight w:val="none"/>
              </w:rPr>
              <w:t>招标文件中带“▲”为实质性参数要求响应, 负偏离（不满足要求）将导致严重扣分。</w:t>
            </w:r>
          </w:p>
        </w:tc>
      </w:tr>
      <w:tr w14:paraId="5042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Merge w:val="restart"/>
            <w:tcBorders>
              <w:top w:val="single" w:color="auto" w:sz="4" w:space="0"/>
              <w:left w:val="single" w:color="auto" w:sz="4" w:space="0"/>
              <w:right w:val="single" w:color="auto" w:sz="4" w:space="0"/>
            </w:tcBorders>
            <w:vAlign w:val="center"/>
          </w:tcPr>
          <w:p w14:paraId="36BB788D">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rPr>
            </w:pPr>
            <w:r>
              <w:rPr>
                <w:rFonts w:ascii="宋体" w:hAnsi="宋体"/>
                <w:b/>
                <w:color w:val="000000" w:themeColor="text1"/>
                <w:szCs w:val="21"/>
                <w:highlight w:val="none"/>
              </w:rPr>
              <w:t>4</w:t>
            </w:r>
          </w:p>
        </w:tc>
        <w:tc>
          <w:tcPr>
            <w:tcW w:w="1856" w:type="dxa"/>
            <w:vMerge w:val="restart"/>
            <w:tcBorders>
              <w:top w:val="single" w:color="auto" w:sz="4" w:space="0"/>
              <w:left w:val="single" w:color="auto" w:sz="4" w:space="0"/>
              <w:right w:val="single" w:color="auto" w:sz="4" w:space="0"/>
            </w:tcBorders>
            <w:vAlign w:val="center"/>
          </w:tcPr>
          <w:p w14:paraId="60F92839">
            <w:pPr>
              <w:keepNext w:val="0"/>
              <w:keepLines w:val="0"/>
              <w:pageBreakBefore w:val="0"/>
              <w:widowControl/>
              <w:kinsoku/>
              <w:wordWrap/>
              <w:overflowPunct/>
              <w:topLinePunct w:val="0"/>
              <w:bidi w:val="0"/>
              <w:snapToGrid/>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信息公告媒体</w:t>
            </w:r>
          </w:p>
        </w:tc>
        <w:tc>
          <w:tcPr>
            <w:tcW w:w="3045" w:type="dxa"/>
            <w:gridSpan w:val="2"/>
            <w:tcBorders>
              <w:top w:val="single" w:color="auto" w:sz="4" w:space="0"/>
              <w:left w:val="single" w:color="auto" w:sz="4" w:space="0"/>
              <w:right w:val="single" w:color="auto" w:sz="4" w:space="0"/>
            </w:tcBorders>
            <w:vAlign w:val="center"/>
          </w:tcPr>
          <w:p w14:paraId="3F379E1C">
            <w:p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中国招标投标公共服务平台</w:t>
            </w:r>
          </w:p>
        </w:tc>
        <w:tc>
          <w:tcPr>
            <w:tcW w:w="3991" w:type="dxa"/>
            <w:tcBorders>
              <w:top w:val="single" w:color="auto" w:sz="4" w:space="0"/>
              <w:left w:val="single" w:color="auto" w:sz="4" w:space="0"/>
              <w:bottom w:val="single" w:color="auto" w:sz="4" w:space="0"/>
              <w:right w:val="single" w:color="auto" w:sz="4" w:space="0"/>
            </w:tcBorders>
            <w:vAlign w:val="center"/>
          </w:tcPr>
          <w:p w14:paraId="6B9F8AD8">
            <w:p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https://bulletin.cebpubservice.com/</w:t>
            </w:r>
          </w:p>
        </w:tc>
      </w:tr>
      <w:tr w14:paraId="24B1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75" w:type="dxa"/>
            <w:vMerge w:val="continue"/>
            <w:tcBorders>
              <w:left w:val="single" w:color="auto" w:sz="4" w:space="0"/>
              <w:right w:val="single" w:color="auto" w:sz="4" w:space="0"/>
            </w:tcBorders>
            <w:vAlign w:val="center"/>
          </w:tcPr>
          <w:p w14:paraId="5F73D16D">
            <w:pPr>
              <w:keepNext w:val="0"/>
              <w:keepLines w:val="0"/>
              <w:pageBreakBefore w:val="0"/>
              <w:widowControl/>
              <w:kinsoku/>
              <w:wordWrap/>
              <w:overflowPunct/>
              <w:topLinePunct w:val="0"/>
              <w:bidi w:val="0"/>
              <w:snapToGrid/>
              <w:spacing w:line="400" w:lineRule="exact"/>
              <w:jc w:val="left"/>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14:paraId="42B83908">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rPr>
            </w:pPr>
          </w:p>
        </w:tc>
        <w:tc>
          <w:tcPr>
            <w:tcW w:w="3045" w:type="dxa"/>
            <w:gridSpan w:val="2"/>
            <w:vMerge w:val="restart"/>
            <w:tcBorders>
              <w:top w:val="single" w:color="auto" w:sz="4" w:space="0"/>
              <w:left w:val="single" w:color="auto" w:sz="4" w:space="0"/>
              <w:right w:val="single" w:color="auto" w:sz="4" w:space="0"/>
            </w:tcBorders>
            <w:vAlign w:val="center"/>
          </w:tcPr>
          <w:p w14:paraId="595774E8">
            <w:pPr>
              <w:keepNext w:val="0"/>
              <w:keepLines w:val="0"/>
              <w:pageBreakBefore w:val="0"/>
              <w:kinsoku/>
              <w:wordWrap/>
              <w:overflowPunct/>
              <w:topLinePunct w:val="0"/>
              <w:bidi w:val="0"/>
              <w:snapToGrid/>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广东业信采购招标有限公司网</w:t>
            </w:r>
          </w:p>
        </w:tc>
        <w:tc>
          <w:tcPr>
            <w:tcW w:w="3991" w:type="dxa"/>
            <w:tcBorders>
              <w:top w:val="single" w:color="auto" w:sz="4" w:space="0"/>
              <w:left w:val="single" w:color="auto" w:sz="4" w:space="0"/>
              <w:bottom w:val="single" w:color="auto" w:sz="4" w:space="0"/>
              <w:right w:val="single" w:color="auto" w:sz="4" w:space="0"/>
            </w:tcBorders>
            <w:vAlign w:val="center"/>
          </w:tcPr>
          <w:p w14:paraId="173E7E64">
            <w:pPr>
              <w:keepNext w:val="0"/>
              <w:keepLines w:val="0"/>
              <w:pageBreakBefore w:val="0"/>
              <w:kinsoku/>
              <w:wordWrap/>
              <w:overflowPunct/>
              <w:topLinePunct w:val="0"/>
              <w:bidi w:val="0"/>
              <w:snapToGrid/>
              <w:spacing w:line="400" w:lineRule="exact"/>
              <w:rPr>
                <w:rFonts w:ascii="宋体" w:hAnsi="宋体"/>
                <w:color w:val="000000" w:themeColor="text1"/>
                <w:szCs w:val="21"/>
                <w:highlight w:val="none"/>
              </w:rPr>
            </w:pP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lang w:val="en-US" w:eastAsia="zh-CN"/>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tc>
      </w:tr>
      <w:tr w14:paraId="69EA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5" w:type="dxa"/>
            <w:vMerge w:val="continue"/>
            <w:tcBorders>
              <w:left w:val="single" w:color="auto" w:sz="4" w:space="0"/>
              <w:right w:val="single" w:color="auto" w:sz="4" w:space="0"/>
            </w:tcBorders>
            <w:vAlign w:val="center"/>
          </w:tcPr>
          <w:p w14:paraId="6DD2DEDD">
            <w:pPr>
              <w:keepNext w:val="0"/>
              <w:keepLines w:val="0"/>
              <w:pageBreakBefore w:val="0"/>
              <w:widowControl/>
              <w:kinsoku/>
              <w:wordWrap/>
              <w:overflowPunct/>
              <w:topLinePunct w:val="0"/>
              <w:bidi w:val="0"/>
              <w:snapToGrid/>
              <w:spacing w:line="400" w:lineRule="exact"/>
              <w:jc w:val="left"/>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14:paraId="3209501A">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rPr>
            </w:pPr>
          </w:p>
        </w:tc>
        <w:tc>
          <w:tcPr>
            <w:tcW w:w="3045" w:type="dxa"/>
            <w:gridSpan w:val="2"/>
            <w:vMerge w:val="continue"/>
            <w:tcBorders>
              <w:left w:val="single" w:color="auto" w:sz="4" w:space="0"/>
              <w:bottom w:val="single" w:color="auto" w:sz="4" w:space="0"/>
              <w:right w:val="single" w:color="auto" w:sz="4" w:space="0"/>
            </w:tcBorders>
            <w:vAlign w:val="center"/>
          </w:tcPr>
          <w:p w14:paraId="4D5D593E">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rPr>
            </w:pPr>
          </w:p>
        </w:tc>
        <w:tc>
          <w:tcPr>
            <w:tcW w:w="3991" w:type="dxa"/>
            <w:tcBorders>
              <w:top w:val="single" w:color="auto" w:sz="4" w:space="0"/>
              <w:left w:val="single" w:color="auto" w:sz="4" w:space="0"/>
              <w:bottom w:val="single" w:color="auto" w:sz="4" w:space="0"/>
              <w:right w:val="single" w:color="auto" w:sz="4" w:space="0"/>
            </w:tcBorders>
            <w:vAlign w:val="center"/>
          </w:tcPr>
          <w:p w14:paraId="2E7E2F04">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rPr>
            </w:pPr>
            <w:r>
              <w:rPr>
                <w:rFonts w:hint="eastAsia" w:ascii="宋体" w:hAnsi="宋体"/>
                <w:color w:val="000000" w:themeColor="text1"/>
                <w:szCs w:val="21"/>
                <w:highlight w:val="none"/>
              </w:rPr>
              <w:t>http://www.yjcg.cc</w:t>
            </w:r>
          </w:p>
        </w:tc>
      </w:tr>
    </w:tbl>
    <w:p w14:paraId="3D74EA4E">
      <w:pPr>
        <w:pStyle w:val="5"/>
        <w:ind w:left="0" w:leftChars="0" w:firstLine="0" w:firstLineChars="0"/>
        <w:rPr>
          <w:rFonts w:hint="eastAsia"/>
          <w:color w:val="000000" w:themeColor="text1"/>
          <w:szCs w:val="21"/>
          <w:highlight w:val="none"/>
        </w:rPr>
      </w:pPr>
    </w:p>
    <w:p w14:paraId="00DD13EE">
      <w:pPr>
        <w:pStyle w:val="5"/>
        <w:ind w:left="0" w:leftChars="0" w:firstLine="0" w:firstLineChars="0"/>
        <w:rPr>
          <w:rFonts w:hint="eastAsia"/>
          <w:color w:val="000000" w:themeColor="text1"/>
          <w:szCs w:val="21"/>
          <w:highlight w:val="none"/>
        </w:rPr>
      </w:pPr>
    </w:p>
    <w:p w14:paraId="49245612">
      <w:pPr>
        <w:pStyle w:val="3"/>
        <w:numPr>
          <w:ilvl w:val="0"/>
          <w:numId w:val="0"/>
        </w:numPr>
        <w:rPr>
          <w:color w:val="000000" w:themeColor="text1"/>
          <w:sz w:val="24"/>
          <w:highlight w:val="none"/>
        </w:rPr>
      </w:pPr>
      <w:bookmarkStart w:id="120" w:name="_Hlt21938668"/>
      <w:bookmarkEnd w:id="120"/>
      <w:bookmarkStart w:id="121" w:name="_Hlt21938665"/>
      <w:bookmarkEnd w:id="121"/>
      <w:bookmarkStart w:id="122" w:name="_Toc342060342"/>
      <w:bookmarkStart w:id="123" w:name="_Toc349127594"/>
      <w:bookmarkStart w:id="124" w:name="_Toc339020201"/>
      <w:bookmarkStart w:id="125" w:name="_Toc342296728"/>
      <w:bookmarkStart w:id="126" w:name="_Toc339019857"/>
      <w:bookmarkStart w:id="127" w:name="_Toc350438717"/>
      <w:bookmarkStart w:id="128" w:name="_Toc333237756"/>
      <w:bookmarkStart w:id="129" w:name="_Toc336681903"/>
      <w:bookmarkStart w:id="130" w:name="_Toc497224194"/>
      <w:bookmarkStart w:id="131" w:name="_Toc339020063"/>
      <w:bookmarkStart w:id="132" w:name="_Toc365967041"/>
      <w:bookmarkStart w:id="133" w:name="_Toc339019983"/>
      <w:bookmarkStart w:id="134" w:name="_Toc331684006"/>
      <w:bookmarkStart w:id="135" w:name="_Toc333238601"/>
      <w:bookmarkStart w:id="136" w:name="_Toc339441055"/>
      <w:bookmarkStart w:id="137" w:name="_Toc30734"/>
      <w:bookmarkStart w:id="138" w:name="_Toc340507410"/>
      <w:bookmarkStart w:id="139" w:name="_Toc333237645"/>
      <w:bookmarkStart w:id="140" w:name="_Toc345513835"/>
      <w:bookmarkStart w:id="141" w:name="_Toc503785396"/>
      <w:bookmarkStart w:id="142" w:name="_Toc337632326"/>
      <w:bookmarkStart w:id="143" w:name="_Toc350756418"/>
      <w:bookmarkStart w:id="144" w:name="_Toc333935314"/>
      <w:bookmarkStart w:id="145" w:name="_Toc333935655"/>
      <w:bookmarkStart w:id="146" w:name="_Toc340672837"/>
      <w:bookmarkStart w:id="147" w:name="_Toc339362268"/>
      <w:bookmarkStart w:id="148" w:name="_Toc349143557"/>
      <w:bookmarkStart w:id="149" w:name="_Toc332270314"/>
      <w:bookmarkStart w:id="150" w:name="_Toc332206676"/>
      <w:bookmarkStart w:id="151" w:name="_Toc366072496"/>
      <w:bookmarkStart w:id="152" w:name="_Toc330459953"/>
      <w:bookmarkStart w:id="153" w:name="_Toc340677038"/>
      <w:bookmarkStart w:id="154" w:name="_Toc331512866"/>
      <w:bookmarkStart w:id="155" w:name="_Toc341348306"/>
      <w:bookmarkStart w:id="156" w:name="_Toc365985147"/>
      <w:bookmarkStart w:id="157" w:name="_Toc336681548"/>
      <w:r>
        <w:rPr>
          <w:rFonts w:hint="eastAsia"/>
          <w:color w:val="000000" w:themeColor="text1"/>
          <w:sz w:val="24"/>
          <w:highlight w:val="none"/>
        </w:rPr>
        <w:t>Ａ说明</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8C129A7">
      <w:pPr>
        <w:pStyle w:val="4"/>
        <w:numPr>
          <w:ilvl w:val="4"/>
          <w:numId w:val="23"/>
        </w:numPr>
        <w:tabs>
          <w:tab w:val="left" w:pos="720"/>
        </w:tabs>
        <w:spacing w:before="240" w:after="120"/>
        <w:ind w:left="2432" w:hanging="2432"/>
        <w:rPr>
          <w:color w:val="000000" w:themeColor="text1"/>
          <w:highlight w:val="none"/>
        </w:rPr>
      </w:pPr>
      <w:bookmarkStart w:id="158" w:name="_Toc503785397"/>
      <w:bookmarkStart w:id="159" w:name="_Toc497224195"/>
      <w:bookmarkStart w:id="160" w:name="_Toc365967042"/>
      <w:bookmarkStart w:id="161" w:name="_Toc336681904"/>
      <w:bookmarkStart w:id="162" w:name="_Toc333935656"/>
      <w:bookmarkStart w:id="163" w:name="_Toc340507411"/>
      <w:bookmarkStart w:id="164" w:name="_Toc331684007"/>
      <w:bookmarkStart w:id="165" w:name="_Toc340672838"/>
      <w:bookmarkStart w:id="166" w:name="_Toc331512867"/>
      <w:bookmarkStart w:id="167" w:name="_Toc339441056"/>
      <w:bookmarkStart w:id="168" w:name="_Toc350756419"/>
      <w:bookmarkStart w:id="169" w:name="_Toc341348307"/>
      <w:bookmarkStart w:id="170" w:name="_Toc349143558"/>
      <w:bookmarkStart w:id="171" w:name="_Toc337632327"/>
      <w:bookmarkStart w:id="172" w:name="_Toc333238602"/>
      <w:bookmarkStart w:id="173" w:name="_Toc332270315"/>
      <w:bookmarkStart w:id="174" w:name="_Toc333935315"/>
      <w:bookmarkStart w:id="175" w:name="_Toc332206677"/>
      <w:bookmarkStart w:id="176" w:name="_Toc345513836"/>
      <w:bookmarkStart w:id="177" w:name="_Toc333237646"/>
      <w:bookmarkStart w:id="178" w:name="_Toc342296729"/>
      <w:bookmarkStart w:id="179" w:name="_Toc350438718"/>
      <w:bookmarkStart w:id="180" w:name="_Toc342060343"/>
      <w:bookmarkStart w:id="181" w:name="_Toc339020202"/>
      <w:bookmarkStart w:id="182" w:name="_Toc339020064"/>
      <w:bookmarkStart w:id="183" w:name="_Toc336681549"/>
      <w:bookmarkStart w:id="184" w:name="_Toc349127595"/>
      <w:bookmarkStart w:id="185" w:name="_Toc333237757"/>
      <w:bookmarkStart w:id="186" w:name="_Toc366072497"/>
      <w:bookmarkStart w:id="187" w:name="_Toc339362269"/>
      <w:bookmarkStart w:id="188" w:name="_Toc340677039"/>
      <w:bookmarkStart w:id="189" w:name="_Toc339019858"/>
      <w:bookmarkStart w:id="190" w:name="_Toc339019984"/>
      <w:bookmarkStart w:id="191" w:name="_Toc330459954"/>
      <w:bookmarkStart w:id="192" w:name="_Toc365985148"/>
      <w:bookmarkStart w:id="193" w:name="_Toc6832"/>
      <w:r>
        <w:rPr>
          <w:rFonts w:hint="eastAsia"/>
          <w:color w:val="000000" w:themeColor="text1"/>
          <w:highlight w:val="none"/>
        </w:rPr>
        <w:t>适用范围</w:t>
      </w:r>
      <w:bookmarkEnd w:id="158"/>
      <w:bookmarkEnd w:id="159"/>
      <w:r>
        <w:rPr>
          <w:rFonts w:hint="eastAsia"/>
          <w:color w:val="000000" w:themeColor="text1"/>
          <w:highlight w:val="none"/>
        </w:rPr>
        <w:t>和资金来源</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D0D1B03">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rPr>
      </w:pPr>
      <w:bookmarkStart w:id="194" w:name="_Toc339019859"/>
      <w:bookmarkStart w:id="195" w:name="_Toc333935657"/>
      <w:bookmarkStart w:id="196" w:name="_Toc337632328"/>
      <w:bookmarkStart w:id="197" w:name="_Toc331512868"/>
      <w:bookmarkStart w:id="198" w:name="_Toc340672839"/>
      <w:bookmarkStart w:id="199" w:name="_Toc339362270"/>
      <w:bookmarkStart w:id="200" w:name="_Toc365985149"/>
      <w:bookmarkStart w:id="201" w:name="_Toc333238603"/>
      <w:bookmarkStart w:id="202" w:name="_Toc365967043"/>
      <w:bookmarkStart w:id="203" w:name="_Toc342296730"/>
      <w:bookmarkStart w:id="204" w:name="_Toc336681905"/>
      <w:bookmarkStart w:id="205" w:name="_Toc497224196"/>
      <w:bookmarkStart w:id="206" w:name="_Toc340677040"/>
      <w:bookmarkStart w:id="207" w:name="_Toc332206678"/>
      <w:bookmarkStart w:id="208" w:name="_Toc349127596"/>
      <w:bookmarkStart w:id="209" w:name="_Toc333237647"/>
      <w:bookmarkStart w:id="210" w:name="_Toc341348308"/>
      <w:bookmarkStart w:id="211" w:name="_Toc331684008"/>
      <w:bookmarkStart w:id="212" w:name="_Toc350756420"/>
      <w:bookmarkStart w:id="213" w:name="_Toc374454571"/>
      <w:bookmarkStart w:id="214" w:name="_Toc333935316"/>
      <w:bookmarkStart w:id="215" w:name="_Toc345513837"/>
      <w:bookmarkStart w:id="216" w:name="_Toc350438719"/>
      <w:bookmarkStart w:id="217" w:name="_Toc336681550"/>
      <w:bookmarkStart w:id="218" w:name="_Toc339020065"/>
      <w:bookmarkStart w:id="219" w:name="_Toc503785398"/>
      <w:bookmarkStart w:id="220" w:name="_Toc340507412"/>
      <w:bookmarkStart w:id="221" w:name="_Toc333237758"/>
      <w:bookmarkStart w:id="222" w:name="_Toc339020203"/>
      <w:bookmarkStart w:id="223" w:name="_Toc342060344"/>
      <w:bookmarkStart w:id="224" w:name="_Toc332270316"/>
      <w:bookmarkStart w:id="225" w:name="_Toc330459955"/>
      <w:bookmarkStart w:id="226" w:name="_Toc339441057"/>
      <w:bookmarkStart w:id="227" w:name="_Toc339019985"/>
      <w:bookmarkStart w:id="228" w:name="_Toc349143559"/>
      <w:bookmarkStart w:id="229" w:name="_Toc366072498"/>
      <w:r>
        <w:rPr>
          <w:rFonts w:hint="eastAsia" w:ascii="宋体"/>
          <w:bCs/>
          <w:color w:val="000000" w:themeColor="text1"/>
          <w:highlight w:val="none"/>
        </w:rPr>
        <w:t>1</w:t>
      </w:r>
      <w:r>
        <w:rPr>
          <w:rFonts w:ascii="宋体"/>
          <w:bCs/>
          <w:color w:val="000000" w:themeColor="text1"/>
          <w:highlight w:val="none"/>
        </w:rPr>
        <w:t>.1</w:t>
      </w:r>
      <w:r>
        <w:rPr>
          <w:rFonts w:hint="eastAsia" w:ascii="宋体"/>
          <w:bCs/>
          <w:color w:val="000000" w:themeColor="text1"/>
          <w:highlight w:val="none"/>
        </w:rPr>
        <w:t xml:space="preserve">    本招标文件仅适用于本次投标邀请函中所叙述的采购招标项目。</w:t>
      </w:r>
    </w:p>
    <w:p w14:paraId="56E4CBCC">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1</w:t>
      </w:r>
      <w:r>
        <w:rPr>
          <w:rFonts w:ascii="宋体"/>
          <w:bCs/>
          <w:color w:val="000000" w:themeColor="text1"/>
          <w:highlight w:val="none"/>
        </w:rPr>
        <w:t>.</w:t>
      </w:r>
      <w:r>
        <w:rPr>
          <w:rFonts w:hint="eastAsia" w:ascii="宋体"/>
          <w:bCs/>
          <w:color w:val="000000" w:themeColor="text1"/>
          <w:highlight w:val="none"/>
        </w:rPr>
        <w:t>2    本项目的采购人已分别获得一笔资金用于支付本次招标项下的所有合同款项。</w:t>
      </w:r>
    </w:p>
    <w:p w14:paraId="582D255F">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1</w:t>
      </w:r>
      <w:r>
        <w:rPr>
          <w:rFonts w:ascii="宋体"/>
          <w:bCs/>
          <w:color w:val="000000" w:themeColor="text1"/>
          <w:highlight w:val="none"/>
        </w:rPr>
        <w:t>.</w:t>
      </w:r>
      <w:r>
        <w:rPr>
          <w:rFonts w:hint="eastAsia" w:ascii="宋体"/>
          <w:bCs/>
          <w:color w:val="000000" w:themeColor="text1"/>
          <w:highlight w:val="none"/>
        </w:rPr>
        <w:t>3    本招标文件由代理采购机构负责解释。</w:t>
      </w:r>
    </w:p>
    <w:p w14:paraId="48FFFE62">
      <w:pPr>
        <w:pStyle w:val="4"/>
        <w:numPr>
          <w:ilvl w:val="4"/>
          <w:numId w:val="23"/>
        </w:numPr>
        <w:tabs>
          <w:tab w:val="left" w:pos="720"/>
        </w:tabs>
        <w:spacing w:before="240" w:after="120"/>
        <w:ind w:left="2432" w:hanging="2432"/>
        <w:rPr>
          <w:color w:val="000000" w:themeColor="text1"/>
          <w:highlight w:val="none"/>
        </w:rPr>
      </w:pPr>
      <w:bookmarkStart w:id="230" w:name="_Toc27833"/>
      <w:r>
        <w:rPr>
          <w:rFonts w:hint="eastAsia"/>
          <w:color w:val="000000" w:themeColor="text1"/>
          <w:highlight w:val="none"/>
        </w:rPr>
        <w:t>定义</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21E76F6">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2.1</w:t>
      </w:r>
      <w:r>
        <w:rPr>
          <w:rFonts w:ascii="宋体"/>
          <w:bCs/>
          <w:color w:val="000000" w:themeColor="text1"/>
          <w:highlight w:val="none"/>
        </w:rPr>
        <w:tab/>
      </w:r>
      <w:r>
        <w:rPr>
          <w:rFonts w:hint="eastAsia" w:ascii="宋体"/>
          <w:bCs/>
          <w:color w:val="000000" w:themeColor="text1"/>
          <w:highlight w:val="none"/>
        </w:rPr>
        <w:t>“代理采购机构”系指组织本次招标的广东业信采购招标有限公司。</w:t>
      </w:r>
    </w:p>
    <w:p w14:paraId="64216994">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bCs/>
          <w:color w:val="000000" w:themeColor="text1"/>
          <w:highlight w:val="none"/>
        </w:rPr>
        <w:t>2</w:t>
      </w:r>
      <w:r>
        <w:rPr>
          <w:rFonts w:ascii="宋体"/>
          <w:bCs/>
          <w:color w:val="000000" w:themeColor="text1"/>
          <w:highlight w:val="none"/>
        </w:rPr>
        <w:t>.2</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“投标人”系指</w:t>
      </w:r>
      <w:r>
        <w:rPr>
          <w:rFonts w:hint="eastAsia" w:ascii="宋体" w:hAnsi="宋体"/>
          <w:bCs/>
          <w:color w:val="000000" w:themeColor="text1"/>
          <w:highlight w:val="none"/>
        </w:rPr>
        <w:t>符合招标文件合格投标人资格要求，并按招标文件规定提交投标文件的投标人。</w:t>
      </w:r>
    </w:p>
    <w:p w14:paraId="7D4DCC73">
      <w:pPr>
        <w:widowControl/>
        <w:tabs>
          <w:tab w:val="left" w:pos="753"/>
        </w:tabs>
        <w:adjustRightInd w:val="0"/>
        <w:snapToGrid w:val="0"/>
        <w:spacing w:line="360" w:lineRule="auto"/>
        <w:ind w:left="735" w:hanging="735" w:hangingChars="350"/>
        <w:rPr>
          <w:rFonts w:ascii="宋体" w:hAnsi="宋体"/>
          <w:bCs/>
          <w:color w:val="000000" w:themeColor="text1"/>
          <w:highlight w:val="none"/>
        </w:rPr>
      </w:pPr>
      <w:r>
        <w:rPr>
          <w:rFonts w:hint="eastAsia" w:ascii="宋体"/>
          <w:bCs/>
          <w:color w:val="000000" w:themeColor="text1"/>
          <w:highlight w:val="none"/>
        </w:rPr>
        <w:t>2.3</w:t>
      </w:r>
      <w:r>
        <w:rPr>
          <w:rFonts w:hint="eastAsia" w:ascii="宋体"/>
          <w:bCs/>
          <w:color w:val="000000" w:themeColor="text1"/>
          <w:highlight w:val="none"/>
        </w:rPr>
        <w:tab/>
      </w:r>
      <w:r>
        <w:rPr>
          <w:rFonts w:hint="eastAsia" w:ascii="宋体"/>
          <w:bCs/>
          <w:color w:val="000000" w:themeColor="text1"/>
          <w:highlight w:val="none"/>
        </w:rPr>
        <w:t>“采购人”系指</w:t>
      </w:r>
      <w:r>
        <w:rPr>
          <w:rFonts w:hint="eastAsia" w:ascii="宋体"/>
          <w:bCs/>
          <w:color w:val="000000" w:themeColor="text1"/>
          <w:highlight w:val="none"/>
          <w:lang w:eastAsia="zh-CN"/>
        </w:rPr>
        <w:t>阳江市江城第一中学</w:t>
      </w:r>
      <w:r>
        <w:rPr>
          <w:rFonts w:hint="eastAsia" w:ascii="宋体"/>
          <w:bCs/>
          <w:color w:val="000000" w:themeColor="text1"/>
          <w:highlight w:val="none"/>
        </w:rPr>
        <w:t>，即项目采购用户方。</w:t>
      </w:r>
    </w:p>
    <w:p w14:paraId="536F3716">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bCs/>
          <w:color w:val="000000" w:themeColor="text1"/>
          <w:highlight w:val="none"/>
        </w:rPr>
        <w:t>2.4</w:t>
      </w:r>
      <w:r>
        <w:rPr>
          <w:rFonts w:hint="eastAsia" w:ascii="宋体"/>
          <w:bCs/>
          <w:color w:val="000000" w:themeColor="text1"/>
          <w:highlight w:val="none"/>
        </w:rPr>
        <w:tab/>
      </w:r>
      <w:r>
        <w:rPr>
          <w:rFonts w:hint="eastAsia" w:ascii="宋体"/>
          <w:bCs/>
          <w:color w:val="000000" w:themeColor="text1"/>
          <w:highlight w:val="none"/>
        </w:rPr>
        <w:t xml:space="preserve"> </w:t>
      </w:r>
      <w:r>
        <w:rPr>
          <w:rFonts w:ascii="宋体" w:hAnsi="宋体"/>
          <w:bCs/>
          <w:color w:val="000000" w:themeColor="text1"/>
          <w:highlight w:val="none"/>
        </w:rPr>
        <w:t>“</w:t>
      </w:r>
      <w:r>
        <w:rPr>
          <w:rFonts w:hint="eastAsia" w:ascii="宋体" w:hAnsi="宋体"/>
          <w:bCs/>
          <w:color w:val="000000" w:themeColor="text1"/>
          <w:highlight w:val="none"/>
        </w:rPr>
        <w:t>货物</w:t>
      </w:r>
      <w:r>
        <w:rPr>
          <w:rFonts w:ascii="宋体" w:hAnsi="宋体"/>
          <w:bCs/>
          <w:color w:val="000000" w:themeColor="text1"/>
          <w:highlight w:val="none"/>
        </w:rPr>
        <w:t>”</w:t>
      </w:r>
      <w:r>
        <w:rPr>
          <w:rFonts w:hint="eastAsia" w:ascii="宋体" w:hAnsi="宋体"/>
          <w:bCs/>
          <w:color w:val="000000" w:themeColor="text1"/>
          <w:highlight w:val="none"/>
        </w:rPr>
        <w:t>系指投标人根据招标文件规定，须向采购人提供的设备、材料、备品备件、工具、使用手册、软件及有关技术资料等。</w:t>
      </w:r>
    </w:p>
    <w:p w14:paraId="6A209255">
      <w:pPr>
        <w:widowControl/>
        <w:numPr>
          <w:ilvl w:val="1"/>
          <w:numId w:val="24"/>
        </w:numPr>
        <w:tabs>
          <w:tab w:val="left" w:pos="753"/>
          <w:tab w:val="clear" w:pos="360"/>
        </w:tabs>
        <w:adjustRightInd w:val="0"/>
        <w:snapToGrid w:val="0"/>
        <w:spacing w:line="360" w:lineRule="auto"/>
        <w:ind w:left="753" w:hanging="753"/>
        <w:rPr>
          <w:rFonts w:ascii="宋体" w:hAnsi="宋体"/>
          <w:bCs/>
          <w:color w:val="000000" w:themeColor="text1"/>
          <w:highlight w:val="none"/>
        </w:rPr>
      </w:pPr>
      <w:r>
        <w:rPr>
          <w:rFonts w:hint="eastAsia" w:ascii="宋体" w:hAnsi="宋体"/>
          <w:bCs/>
          <w:color w:val="000000" w:themeColor="text1"/>
          <w:highlight w:val="none"/>
        </w:rPr>
        <w:t>“服务”系指招标文件规定中标投标人须承担与实施本项目有关的伴随服务，包括但不限于运输、安装、调试、技术支持、培训、售后服务等义务和合同中规定中标投标人应承担的其它义务。</w:t>
      </w:r>
    </w:p>
    <w:p w14:paraId="29191FC0">
      <w:pPr>
        <w:widowControl/>
        <w:numPr>
          <w:ilvl w:val="1"/>
          <w:numId w:val="24"/>
        </w:numPr>
        <w:tabs>
          <w:tab w:val="left" w:pos="753"/>
          <w:tab w:val="clear" w:pos="360"/>
        </w:tabs>
        <w:adjustRightInd w:val="0"/>
        <w:snapToGrid w:val="0"/>
        <w:spacing w:line="360" w:lineRule="auto"/>
        <w:ind w:left="753" w:hanging="753"/>
        <w:rPr>
          <w:rFonts w:ascii="宋体" w:hAnsi="宋体"/>
          <w:bCs/>
          <w:color w:val="000000" w:themeColor="text1"/>
          <w:highlight w:val="none"/>
        </w:rPr>
      </w:pPr>
      <w:r>
        <w:rPr>
          <w:rFonts w:hint="eastAsia" w:ascii="宋体" w:hAnsi="宋体"/>
          <w:bCs/>
          <w:color w:val="000000" w:themeColor="text1"/>
          <w:highlight w:val="none"/>
        </w:rPr>
        <w:t>“日”系指日历天。</w:t>
      </w:r>
    </w:p>
    <w:p w14:paraId="7895F2D4">
      <w:pPr>
        <w:widowControl/>
        <w:numPr>
          <w:ilvl w:val="1"/>
          <w:numId w:val="24"/>
        </w:numPr>
        <w:tabs>
          <w:tab w:val="left" w:pos="753"/>
          <w:tab w:val="clear" w:pos="360"/>
        </w:tabs>
        <w:adjustRightInd w:val="0"/>
        <w:snapToGrid w:val="0"/>
        <w:spacing w:line="360" w:lineRule="auto"/>
        <w:ind w:left="753" w:hanging="753"/>
        <w:rPr>
          <w:rFonts w:ascii="宋体" w:hAnsi="宋体"/>
          <w:bCs/>
          <w:color w:val="000000" w:themeColor="text1"/>
          <w:highlight w:val="none"/>
        </w:rPr>
      </w:pPr>
      <w:r>
        <w:rPr>
          <w:rFonts w:hint="eastAsia" w:ascii="宋体" w:hAnsi="宋体"/>
          <w:bCs/>
          <w:color w:val="000000" w:themeColor="text1"/>
          <w:highlight w:val="none"/>
        </w:rPr>
        <w:t>“工作日”系指国家规定除法定节假日以外的以日</w:t>
      </w:r>
      <w:r>
        <w:rPr>
          <w:rFonts w:ascii="宋体" w:hAnsi="宋体"/>
          <w:bCs/>
          <w:color w:val="000000" w:themeColor="text1"/>
          <w:highlight w:val="none"/>
        </w:rPr>
        <w:t>为计算单位的工作时间</w:t>
      </w:r>
      <w:r>
        <w:rPr>
          <w:rFonts w:hint="eastAsia" w:ascii="宋体" w:hAnsi="宋体"/>
          <w:bCs/>
          <w:color w:val="000000" w:themeColor="text1"/>
          <w:highlight w:val="none"/>
        </w:rPr>
        <w:t>。</w:t>
      </w:r>
    </w:p>
    <w:p w14:paraId="15E029CE">
      <w:pPr>
        <w:pStyle w:val="4"/>
        <w:numPr>
          <w:ilvl w:val="4"/>
          <w:numId w:val="23"/>
        </w:numPr>
        <w:tabs>
          <w:tab w:val="left" w:pos="720"/>
        </w:tabs>
        <w:spacing w:before="240" w:after="120"/>
        <w:ind w:left="2432" w:hanging="2432"/>
        <w:rPr>
          <w:color w:val="000000" w:themeColor="text1"/>
          <w:highlight w:val="none"/>
        </w:rPr>
      </w:pPr>
      <w:bookmarkStart w:id="231" w:name="_Toc503785399"/>
      <w:bookmarkStart w:id="232" w:name="_Toc497224197"/>
      <w:bookmarkStart w:id="233" w:name="_Toc349143560"/>
      <w:bookmarkStart w:id="234" w:name="_Toc333935658"/>
      <w:bookmarkStart w:id="235" w:name="_Toc333238604"/>
      <w:bookmarkStart w:id="236" w:name="_Toc342296731"/>
      <w:bookmarkStart w:id="237" w:name="_Toc340672840"/>
      <w:bookmarkStart w:id="238" w:name="_Toc333237648"/>
      <w:bookmarkStart w:id="239" w:name="_Toc365985150"/>
      <w:bookmarkStart w:id="240" w:name="_Toc365967044"/>
      <w:bookmarkStart w:id="241" w:name="_Toc330459956"/>
      <w:bookmarkStart w:id="242" w:name="_Toc366072499"/>
      <w:bookmarkStart w:id="243" w:name="_Toc339019860"/>
      <w:bookmarkStart w:id="244" w:name="_Toc350756421"/>
      <w:bookmarkStart w:id="245" w:name="_Toc333935317"/>
      <w:bookmarkStart w:id="246" w:name="_Toc340677041"/>
      <w:bookmarkStart w:id="247" w:name="_Toc336681906"/>
      <w:bookmarkStart w:id="248" w:name="_Toc331512869"/>
      <w:bookmarkStart w:id="249" w:name="_Toc349127597"/>
      <w:bookmarkStart w:id="250" w:name="_Toc336681551"/>
      <w:bookmarkStart w:id="251" w:name="_Toc341348309"/>
      <w:bookmarkStart w:id="252" w:name="_Toc339020204"/>
      <w:bookmarkStart w:id="253" w:name="_Toc350438720"/>
      <w:bookmarkStart w:id="254" w:name="_Toc332206679"/>
      <w:bookmarkStart w:id="255" w:name="_Toc340507413"/>
      <w:bookmarkStart w:id="256" w:name="_Toc339019986"/>
      <w:bookmarkStart w:id="257" w:name="_Toc332270317"/>
      <w:bookmarkStart w:id="258" w:name="_Toc345513838"/>
      <w:bookmarkStart w:id="259" w:name="_Toc374454572"/>
      <w:bookmarkStart w:id="260" w:name="_Toc331684009"/>
      <w:bookmarkStart w:id="261" w:name="_Toc339020066"/>
      <w:bookmarkStart w:id="262" w:name="_Toc337632329"/>
      <w:bookmarkStart w:id="263" w:name="_Toc339441058"/>
      <w:bookmarkStart w:id="264" w:name="_Toc22977"/>
      <w:bookmarkStart w:id="265" w:name="_Toc333237759"/>
      <w:bookmarkStart w:id="266" w:name="_Toc339362271"/>
      <w:bookmarkStart w:id="267" w:name="_Toc342060345"/>
      <w:r>
        <w:rPr>
          <w:rFonts w:hint="eastAsia"/>
          <w:color w:val="000000" w:themeColor="text1"/>
          <w:highlight w:val="none"/>
        </w:rPr>
        <w:t>合格的</w:t>
      </w:r>
      <w:bookmarkEnd w:id="231"/>
      <w:bookmarkEnd w:id="232"/>
      <w:r>
        <w:rPr>
          <w:rFonts w:hint="eastAsia"/>
          <w:color w:val="000000" w:themeColor="text1"/>
          <w:highlight w:val="none"/>
        </w:rPr>
        <w:t>投标人</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B222897">
      <w:pPr>
        <w:widowControl/>
        <w:tabs>
          <w:tab w:val="left" w:pos="502"/>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3.1</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w:t>
      </w:r>
      <w:r>
        <w:rPr>
          <w:rFonts w:hint="eastAsia" w:ascii="宋体" w:hAnsi="宋体"/>
          <w:bCs/>
          <w:color w:val="000000" w:themeColor="text1"/>
          <w:highlight w:val="none"/>
        </w:rPr>
        <w:t>国内有能力提供采购项目相关的工程、货物和服务且符合本项目合格投标人资格条件的投标人</w:t>
      </w:r>
      <w:r>
        <w:rPr>
          <w:rFonts w:hint="eastAsia" w:ascii="宋体"/>
          <w:bCs/>
          <w:color w:val="000000" w:themeColor="text1"/>
          <w:highlight w:val="none"/>
        </w:rPr>
        <w:t>为合格投标人。</w:t>
      </w:r>
    </w:p>
    <w:p w14:paraId="72430900">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3.2</w:t>
      </w:r>
      <w:r>
        <w:rPr>
          <w:rFonts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w:t>
      </w:r>
      <w:r>
        <w:rPr>
          <w:rFonts w:hint="eastAsia" w:ascii="宋体" w:hAnsi="宋体"/>
          <w:bCs/>
          <w:color w:val="000000" w:themeColor="text1"/>
          <w:highlight w:val="none"/>
        </w:rPr>
        <w:t>投标人必须遵守《中华人民共和国招标投标法》、《中华人民共和国政府采购法》的有关规定和其他相关的法律、法规、规章、条例及招标文件中的规定。</w:t>
      </w:r>
    </w:p>
    <w:p w14:paraId="735F71DC">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rPr>
      </w:pPr>
      <w:r>
        <w:rPr>
          <w:rFonts w:hint="eastAsia" w:ascii="宋体" w:hAnsi="宋体"/>
          <w:bCs/>
          <w:color w:val="000000" w:themeColor="text1"/>
          <w:szCs w:val="21"/>
          <w:highlight w:val="none"/>
        </w:rPr>
        <w:t xml:space="preserve">3.3    </w:t>
      </w:r>
      <w:r>
        <w:rPr>
          <w:rFonts w:ascii="宋体" w:hAnsi="宋体"/>
          <w:bCs/>
          <w:color w:val="000000" w:themeColor="text1"/>
          <w:szCs w:val="21"/>
          <w:highlight w:val="none"/>
        </w:rPr>
        <w:t>单位负责人为同一人或者存在直接控股、管理关系的不同供应商，不得参加同一合同项下的政府采购活动。</w:t>
      </w:r>
    </w:p>
    <w:p w14:paraId="63798BB1">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rPr>
      </w:pPr>
      <w:r>
        <w:rPr>
          <w:rFonts w:hint="eastAsia" w:ascii="宋体" w:hAnsi="宋体"/>
          <w:bCs/>
          <w:color w:val="000000" w:themeColor="text1"/>
          <w:szCs w:val="21"/>
          <w:highlight w:val="none"/>
        </w:rPr>
        <w:t xml:space="preserve">3.4     </w:t>
      </w:r>
      <w:r>
        <w:rPr>
          <w:rFonts w:ascii="宋体" w:hAnsi="宋体"/>
          <w:bCs/>
          <w:color w:val="000000" w:themeColor="text1"/>
          <w:szCs w:val="21"/>
          <w:highlight w:val="none"/>
        </w:rPr>
        <w:t>除单一来源采购项目外，为采购项目提供整体设计、规范编制或者项目管理、监理、检测等服务的供应商，不得再参加该政府采购项目的采购活动。</w:t>
      </w:r>
    </w:p>
    <w:p w14:paraId="1B4767FB">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rPr>
      </w:pPr>
      <w:r>
        <w:rPr>
          <w:rFonts w:hint="eastAsia" w:ascii="宋体" w:hAnsi="宋体"/>
          <w:bCs/>
          <w:color w:val="000000" w:themeColor="text1"/>
          <w:szCs w:val="21"/>
          <w:highlight w:val="none"/>
        </w:rPr>
        <w:t xml:space="preserve">3.5    </w:t>
      </w:r>
      <w:r>
        <w:rPr>
          <w:rFonts w:ascii="宋体" w:hAnsi="宋体"/>
          <w:bCs/>
          <w:color w:val="000000" w:themeColor="text1"/>
          <w:szCs w:val="21"/>
          <w:highlight w:val="none"/>
        </w:rPr>
        <w:t>联合体各方不得再单独参加或者与其他供应商另外组成联合体参加同一合同项下的政府采购活动。</w:t>
      </w:r>
    </w:p>
    <w:p w14:paraId="55B3D326">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szCs w:val="21"/>
          <w:highlight w:val="none"/>
        </w:rPr>
        <w:t xml:space="preserve">3.6    </w:t>
      </w:r>
      <w:r>
        <w:rPr>
          <w:bCs/>
          <w:color w:val="000000" w:themeColor="text1"/>
          <w:szCs w:val="21"/>
          <w:highlight w:val="none"/>
        </w:rPr>
        <w:t>专门面向中小微企业采购的项目，只能由中小企业或微型企业参加。</w:t>
      </w:r>
    </w:p>
    <w:p w14:paraId="37388895">
      <w:pPr>
        <w:pStyle w:val="4"/>
        <w:numPr>
          <w:ilvl w:val="4"/>
          <w:numId w:val="23"/>
        </w:numPr>
        <w:tabs>
          <w:tab w:val="left" w:pos="720"/>
        </w:tabs>
        <w:spacing w:before="240" w:after="120"/>
        <w:ind w:left="2432" w:hanging="2432"/>
        <w:rPr>
          <w:color w:val="000000" w:themeColor="text1"/>
          <w:highlight w:val="none"/>
        </w:rPr>
      </w:pPr>
      <w:bookmarkStart w:id="268" w:name="_Toc341348310"/>
      <w:bookmarkStart w:id="269" w:name="_Toc332270318"/>
      <w:bookmarkStart w:id="270" w:name="_Toc339020067"/>
      <w:bookmarkStart w:id="271" w:name="_Toc336681552"/>
      <w:bookmarkStart w:id="272" w:name="_Toc340507414"/>
      <w:bookmarkStart w:id="273" w:name="_Toc340672841"/>
      <w:bookmarkStart w:id="274" w:name="_Toc333935318"/>
      <w:bookmarkStart w:id="275" w:name="_Toc349127598"/>
      <w:bookmarkStart w:id="276" w:name="_Toc349143561"/>
      <w:bookmarkStart w:id="277" w:name="_Toc497224198"/>
      <w:bookmarkStart w:id="278" w:name="_Toc333237649"/>
      <w:bookmarkStart w:id="279" w:name="_Toc365985151"/>
      <w:bookmarkStart w:id="280" w:name="_Toc333237760"/>
      <w:bookmarkStart w:id="281" w:name="_Toc374454573"/>
      <w:bookmarkStart w:id="282" w:name="_Toc30323"/>
      <w:bookmarkStart w:id="283" w:name="_Toc342060346"/>
      <w:bookmarkStart w:id="284" w:name="_Toc340677042"/>
      <w:bookmarkStart w:id="285" w:name="_Toc331512870"/>
      <w:bookmarkStart w:id="286" w:name="_Toc339019861"/>
      <w:bookmarkStart w:id="287" w:name="_Toc345513839"/>
      <w:bookmarkStart w:id="288" w:name="_Toc350438721"/>
      <w:bookmarkStart w:id="289" w:name="_Toc333935659"/>
      <w:bookmarkStart w:id="290" w:name="_Toc365967045"/>
      <w:bookmarkStart w:id="291" w:name="_Toc366072500"/>
      <w:bookmarkStart w:id="292" w:name="_Toc336681907"/>
      <w:bookmarkStart w:id="293" w:name="_Toc330459957"/>
      <w:bookmarkStart w:id="294" w:name="_Toc333238605"/>
      <w:bookmarkStart w:id="295" w:name="_Toc350756422"/>
      <w:bookmarkStart w:id="296" w:name="_Toc339020205"/>
      <w:bookmarkStart w:id="297" w:name="_Toc339441059"/>
      <w:bookmarkStart w:id="298" w:name="_Toc332206680"/>
      <w:bookmarkStart w:id="299" w:name="_Toc339362272"/>
      <w:bookmarkStart w:id="300" w:name="_Toc342296732"/>
      <w:bookmarkStart w:id="301" w:name="_Toc337632330"/>
      <w:bookmarkStart w:id="302" w:name="_Toc331684010"/>
      <w:bookmarkStart w:id="303" w:name="_Toc339019987"/>
      <w:bookmarkStart w:id="304" w:name="_Toc503785400"/>
      <w:r>
        <w:rPr>
          <w:rFonts w:hint="eastAsia"/>
          <w:color w:val="000000" w:themeColor="text1"/>
          <w:highlight w:val="none"/>
        </w:rPr>
        <w:t>投标费用</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4D3CCBF">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4.1</w:t>
      </w:r>
      <w:r>
        <w:rPr>
          <w:rFonts w:hint="eastAsia" w:ascii="宋体"/>
          <w:bCs/>
          <w:color w:val="000000" w:themeColor="text1"/>
          <w:highlight w:val="none"/>
        </w:rPr>
        <w:tab/>
      </w:r>
      <w:r>
        <w:rPr>
          <w:rFonts w:hint="eastAsia" w:hAnsi="宋体"/>
          <w:color w:val="000000" w:themeColor="text1"/>
          <w:highlight w:val="none"/>
        </w:rPr>
        <w:t>投标人应承担所有与准备和参加投标有关的费用。不论投标的结果如何，代理采购机构和采购人均无义务和责任承担这些费用</w:t>
      </w:r>
      <w:r>
        <w:rPr>
          <w:rFonts w:hint="eastAsia" w:ascii="宋体"/>
          <w:bCs/>
          <w:color w:val="000000" w:themeColor="text1"/>
          <w:highlight w:val="none"/>
        </w:rPr>
        <w:t>。</w:t>
      </w:r>
      <w:bookmarkStart w:id="305" w:name="_Toc333935319"/>
      <w:bookmarkStart w:id="306" w:name="_Toc339362273"/>
      <w:bookmarkStart w:id="307" w:name="_Toc333237650"/>
      <w:bookmarkStart w:id="308" w:name="_Toc333238606"/>
      <w:bookmarkStart w:id="309" w:name="_Toc366072501"/>
      <w:bookmarkStart w:id="310" w:name="_Toc342296733"/>
      <w:bookmarkStart w:id="311" w:name="_Toc336681553"/>
      <w:bookmarkStart w:id="312" w:name="_Toc331684011"/>
      <w:bookmarkStart w:id="313" w:name="_Toc365985152"/>
      <w:bookmarkStart w:id="314" w:name="_Toc342060347"/>
      <w:bookmarkStart w:id="315" w:name="_Toc345513840"/>
      <w:bookmarkStart w:id="316" w:name="_Toc339441060"/>
      <w:bookmarkStart w:id="317" w:name="_Toc503785401"/>
      <w:bookmarkStart w:id="318" w:name="_Toc497224199"/>
      <w:bookmarkStart w:id="319" w:name="_Toc330459958"/>
      <w:bookmarkStart w:id="320" w:name="_Toc337632331"/>
      <w:bookmarkStart w:id="321" w:name="_Toc374454574"/>
      <w:bookmarkStart w:id="322" w:name="_Toc336681908"/>
      <w:bookmarkStart w:id="323" w:name="_Toc339019862"/>
      <w:bookmarkStart w:id="324" w:name="_Toc349143562"/>
      <w:bookmarkStart w:id="325" w:name="_Toc339019988"/>
      <w:bookmarkStart w:id="326" w:name="_Toc340677043"/>
      <w:bookmarkStart w:id="327" w:name="_Toc365967046"/>
      <w:bookmarkStart w:id="328" w:name="_Toc332270319"/>
      <w:bookmarkStart w:id="329" w:name="_Toc350756423"/>
      <w:bookmarkStart w:id="330" w:name="_Toc331512871"/>
      <w:bookmarkStart w:id="331" w:name="_Toc332206681"/>
      <w:bookmarkStart w:id="332" w:name="_Toc341348311"/>
      <w:bookmarkStart w:id="333" w:name="_Toc349127599"/>
      <w:bookmarkStart w:id="334" w:name="_Toc333935660"/>
      <w:bookmarkStart w:id="335" w:name="_Toc340672842"/>
      <w:bookmarkStart w:id="336" w:name="_Toc333237761"/>
      <w:bookmarkStart w:id="337" w:name="_Toc340507415"/>
      <w:bookmarkStart w:id="338" w:name="_Toc339020206"/>
      <w:bookmarkStart w:id="339" w:name="_Toc350438722"/>
      <w:bookmarkStart w:id="340" w:name="_Toc339020068"/>
    </w:p>
    <w:p w14:paraId="48BA3839">
      <w:pPr>
        <w:pStyle w:val="3"/>
        <w:numPr>
          <w:ilvl w:val="0"/>
          <w:numId w:val="0"/>
        </w:numPr>
        <w:rPr>
          <w:color w:val="000000" w:themeColor="text1"/>
          <w:sz w:val="24"/>
          <w:highlight w:val="none"/>
        </w:rPr>
      </w:pPr>
      <w:bookmarkStart w:id="341" w:name="_Toc3435"/>
      <w:r>
        <w:rPr>
          <w:rFonts w:hint="eastAsia"/>
          <w:color w:val="000000" w:themeColor="text1"/>
          <w:sz w:val="24"/>
          <w:highlight w:val="none"/>
        </w:rPr>
        <w:t>Ｂ招标文件说明</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74F77CD">
      <w:pPr>
        <w:pStyle w:val="4"/>
        <w:numPr>
          <w:ilvl w:val="4"/>
          <w:numId w:val="23"/>
        </w:numPr>
        <w:tabs>
          <w:tab w:val="left" w:pos="720"/>
        </w:tabs>
        <w:spacing w:before="240" w:after="120"/>
        <w:ind w:left="2432" w:hanging="2432"/>
        <w:rPr>
          <w:color w:val="000000" w:themeColor="text1"/>
          <w:highlight w:val="none"/>
        </w:rPr>
      </w:pPr>
      <w:bookmarkStart w:id="342" w:name="_Toc332206682"/>
      <w:bookmarkStart w:id="343" w:name="_Toc331684012"/>
      <w:bookmarkStart w:id="344" w:name="_Toc333237762"/>
      <w:bookmarkStart w:id="345" w:name="_Toc331512872"/>
      <w:bookmarkStart w:id="346" w:name="_Toc339441061"/>
      <w:bookmarkStart w:id="347" w:name="_Toc345513841"/>
      <w:bookmarkStart w:id="348" w:name="_Toc342296734"/>
      <w:bookmarkStart w:id="349" w:name="_Toc339362274"/>
      <w:bookmarkStart w:id="350" w:name="_Toc333237651"/>
      <w:bookmarkStart w:id="351" w:name="_Toc503785402"/>
      <w:bookmarkStart w:id="352" w:name="_Toc350438723"/>
      <w:bookmarkStart w:id="353" w:name="_Toc333238607"/>
      <w:bookmarkStart w:id="354" w:name="_Toc339020069"/>
      <w:bookmarkStart w:id="355" w:name="_Toc349127600"/>
      <w:bookmarkStart w:id="356" w:name="_Toc330459959"/>
      <w:bookmarkStart w:id="357" w:name="_Toc349143563"/>
      <w:bookmarkStart w:id="358" w:name="_Toc336681554"/>
      <w:bookmarkStart w:id="359" w:name="_Toc332270320"/>
      <w:bookmarkStart w:id="360" w:name="_Toc366072502"/>
      <w:bookmarkStart w:id="361" w:name="_Toc350756424"/>
      <w:bookmarkStart w:id="362" w:name="_Toc497224200"/>
      <w:bookmarkStart w:id="363" w:name="_Toc339020207"/>
      <w:bookmarkStart w:id="364" w:name="_Toc342060348"/>
      <w:bookmarkStart w:id="365" w:name="_Toc374454575"/>
      <w:bookmarkStart w:id="366" w:name="_Toc340677044"/>
      <w:bookmarkStart w:id="367" w:name="_Toc339019863"/>
      <w:bookmarkStart w:id="368" w:name="_Toc340672843"/>
      <w:bookmarkStart w:id="369" w:name="_Toc340507416"/>
      <w:bookmarkStart w:id="370" w:name="_Toc365967047"/>
      <w:bookmarkStart w:id="371" w:name="_Toc339019989"/>
      <w:bookmarkStart w:id="372" w:name="_Toc333935320"/>
      <w:bookmarkStart w:id="373" w:name="_Toc341348312"/>
      <w:bookmarkStart w:id="374" w:name="_Toc365985153"/>
      <w:bookmarkStart w:id="375" w:name="_Toc337632332"/>
      <w:bookmarkStart w:id="376" w:name="_Toc333935661"/>
      <w:bookmarkStart w:id="377" w:name="_Toc336681909"/>
      <w:bookmarkStart w:id="378" w:name="_Toc30731"/>
      <w:r>
        <w:rPr>
          <w:rFonts w:hint="eastAsia"/>
          <w:color w:val="000000" w:themeColor="text1"/>
          <w:highlight w:val="none"/>
        </w:rPr>
        <w:t>招标文件的构成</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126CE68F">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5.1</w:t>
      </w:r>
      <w:r>
        <w:rPr>
          <w:rFonts w:ascii="宋体"/>
          <w:bCs/>
          <w:color w:val="000000" w:themeColor="text1"/>
          <w:highlight w:val="none"/>
        </w:rPr>
        <w:tab/>
      </w:r>
      <w:r>
        <w:rPr>
          <w:rFonts w:hint="eastAsia" w:ascii="宋体"/>
          <w:bCs/>
          <w:color w:val="000000" w:themeColor="text1"/>
          <w:highlight w:val="none"/>
        </w:rPr>
        <w:t>招标文件用以阐明所需货物及服务、招标投标程序、合同条款及相关附件。招标文件由下述部分组成：</w:t>
      </w:r>
    </w:p>
    <w:p w14:paraId="350A3F7A">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第一部分  投标邀请函</w:t>
      </w:r>
    </w:p>
    <w:p w14:paraId="2480CBF2">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第二部分  采购项目内容</w:t>
      </w:r>
    </w:p>
    <w:p w14:paraId="7BF5EF8F">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第三部分  投标人须知</w:t>
      </w:r>
    </w:p>
    <w:p w14:paraId="4F758AC8">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第四部分  参考合同</w:t>
      </w:r>
    </w:p>
    <w:p w14:paraId="5B75F1BB">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第五部分  投标文件格式（含附件）</w:t>
      </w:r>
    </w:p>
    <w:p w14:paraId="727CCF9E">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5.2</w:t>
      </w:r>
      <w:r>
        <w:rPr>
          <w:rFonts w:hint="eastAsia" w:ascii="宋体"/>
          <w:bCs/>
          <w:color w:val="000000" w:themeColor="text1"/>
          <w:highlight w:val="none"/>
        </w:rPr>
        <w:t xml:space="preserve"> </w:t>
      </w:r>
      <w:r>
        <w:rPr>
          <w:rFonts w:ascii="宋体"/>
          <w:bCs/>
          <w:color w:val="000000" w:themeColor="text1"/>
          <w:highlight w:val="none"/>
        </w:rPr>
        <w:tab/>
      </w:r>
      <w:r>
        <w:rPr>
          <w:rFonts w:hint="eastAsia" w:ascii="宋体"/>
          <w:bCs/>
          <w:color w:val="000000" w:themeColor="text1"/>
          <w:highlight w:val="none"/>
        </w:rPr>
        <w:t>招标文件以中文编印。</w:t>
      </w:r>
    </w:p>
    <w:p w14:paraId="1746E3FB">
      <w:pPr>
        <w:pStyle w:val="4"/>
        <w:numPr>
          <w:ilvl w:val="4"/>
          <w:numId w:val="23"/>
        </w:numPr>
        <w:tabs>
          <w:tab w:val="left" w:pos="720"/>
        </w:tabs>
        <w:spacing w:before="240" w:after="120"/>
        <w:ind w:left="2432" w:hanging="2432"/>
        <w:rPr>
          <w:color w:val="000000" w:themeColor="text1"/>
          <w:highlight w:val="none"/>
        </w:rPr>
      </w:pPr>
      <w:bookmarkStart w:id="379" w:name="_Toc370388389"/>
      <w:bookmarkStart w:id="380" w:name="_Toc350756425"/>
      <w:bookmarkStart w:id="381" w:name="_Toc333237652"/>
      <w:bookmarkStart w:id="382" w:name="_Toc365967048"/>
      <w:bookmarkStart w:id="383" w:name="_Toc339020070"/>
      <w:bookmarkStart w:id="384" w:name="_Toc503785403"/>
      <w:bookmarkStart w:id="385" w:name="_Toc333935662"/>
      <w:bookmarkStart w:id="386" w:name="_Toc497224201"/>
      <w:bookmarkStart w:id="387" w:name="_Toc340507417"/>
      <w:bookmarkStart w:id="388" w:name="_Toc340677045"/>
      <w:bookmarkStart w:id="389" w:name="_Toc365985154"/>
      <w:bookmarkStart w:id="390" w:name="_Toc339362275"/>
      <w:bookmarkStart w:id="391" w:name="_Toc332270321"/>
      <w:bookmarkStart w:id="392" w:name="_Toc340672844"/>
      <w:bookmarkStart w:id="393" w:name="_Toc336681910"/>
      <w:bookmarkStart w:id="394" w:name="_Toc337632333"/>
      <w:bookmarkStart w:id="395" w:name="_Toc345513842"/>
      <w:bookmarkStart w:id="396" w:name="_Toc333238608"/>
      <w:bookmarkStart w:id="397" w:name="_Toc342060349"/>
      <w:bookmarkStart w:id="398" w:name="_Toc350438724"/>
      <w:bookmarkStart w:id="399" w:name="_Toc342296735"/>
      <w:bookmarkStart w:id="400" w:name="_Toc333237763"/>
      <w:bookmarkStart w:id="401" w:name="_Toc339019990"/>
      <w:bookmarkStart w:id="402" w:name="_Toc349143564"/>
      <w:bookmarkStart w:id="403" w:name="_Toc331684013"/>
      <w:bookmarkStart w:id="404" w:name="_Toc339441062"/>
      <w:bookmarkStart w:id="405" w:name="_Toc339019864"/>
      <w:bookmarkStart w:id="406" w:name="_Toc332206683"/>
      <w:bookmarkStart w:id="407" w:name="_Toc341348313"/>
      <w:bookmarkStart w:id="408" w:name="_Toc333935321"/>
      <w:bookmarkStart w:id="409" w:name="_Toc331512873"/>
      <w:bookmarkStart w:id="410" w:name="_Toc330459960"/>
      <w:bookmarkStart w:id="411" w:name="_Toc349127601"/>
      <w:bookmarkStart w:id="412" w:name="_Toc339020208"/>
      <w:bookmarkStart w:id="413" w:name="_Toc336681555"/>
      <w:bookmarkStart w:id="414" w:name="_Toc1415"/>
      <w:bookmarkStart w:id="415" w:name="_Toc374454576"/>
      <w:bookmarkStart w:id="416" w:name="_Toc503785405"/>
      <w:bookmarkStart w:id="417" w:name="_Toc497224203"/>
      <w:bookmarkStart w:id="418" w:name="_Toc331684015"/>
      <w:bookmarkStart w:id="419" w:name="_Toc339020210"/>
      <w:bookmarkStart w:id="420" w:name="_Toc333935664"/>
      <w:bookmarkStart w:id="421" w:name="_Toc345513844"/>
      <w:bookmarkStart w:id="422" w:name="_Toc365985156"/>
      <w:bookmarkStart w:id="423" w:name="_Toc333237654"/>
      <w:bookmarkStart w:id="424" w:name="_Toc340672846"/>
      <w:bookmarkStart w:id="425" w:name="_Toc342296737"/>
      <w:bookmarkStart w:id="426" w:name="_Toc342060351"/>
      <w:bookmarkStart w:id="427" w:name="_Toc333935323"/>
      <w:bookmarkStart w:id="428" w:name="_Toc337632335"/>
      <w:bookmarkStart w:id="429" w:name="_Toc339441064"/>
      <w:bookmarkStart w:id="430" w:name="_Toc333237765"/>
      <w:bookmarkStart w:id="431" w:name="_Toc349143566"/>
      <w:bookmarkStart w:id="432" w:name="_Toc331512875"/>
      <w:bookmarkStart w:id="433" w:name="_Toc330459962"/>
      <w:bookmarkStart w:id="434" w:name="_Toc350756427"/>
      <w:bookmarkStart w:id="435" w:name="_Toc341348315"/>
      <w:bookmarkStart w:id="436" w:name="_Toc339019992"/>
      <w:bookmarkStart w:id="437" w:name="_Toc336681912"/>
      <w:bookmarkStart w:id="438" w:name="_Toc340507419"/>
      <w:bookmarkStart w:id="439" w:name="_Toc365967050"/>
      <w:bookmarkStart w:id="440" w:name="_Toc350438726"/>
      <w:bookmarkStart w:id="441" w:name="_Toc339020072"/>
      <w:bookmarkStart w:id="442" w:name="_Toc339019866"/>
      <w:bookmarkStart w:id="443" w:name="_Toc332206685"/>
      <w:bookmarkStart w:id="444" w:name="_Toc333238610"/>
      <w:bookmarkStart w:id="445" w:name="_Toc349127603"/>
      <w:bookmarkStart w:id="446" w:name="_Toc340677047"/>
      <w:bookmarkStart w:id="447" w:name="_Toc332270323"/>
      <w:bookmarkStart w:id="448" w:name="_Toc336681557"/>
      <w:bookmarkStart w:id="449" w:name="_Toc339362277"/>
      <w:bookmarkStart w:id="450" w:name="_Toc366072505"/>
      <w:r>
        <w:rPr>
          <w:rFonts w:hint="eastAsia"/>
          <w:color w:val="000000" w:themeColor="text1"/>
          <w:highlight w:val="none"/>
        </w:rPr>
        <w:t>招标文件的澄清</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Fonts w:hint="eastAsia"/>
          <w:color w:val="000000" w:themeColor="text1"/>
          <w:highlight w:val="none"/>
        </w:rPr>
        <w:t>、修改</w:t>
      </w:r>
      <w:bookmarkEnd w:id="414"/>
      <w:bookmarkEnd w:id="415"/>
    </w:p>
    <w:p w14:paraId="35A6B877">
      <w:pPr>
        <w:widowControl/>
        <w:numPr>
          <w:ilvl w:val="1"/>
          <w:numId w:val="25"/>
        </w:numPr>
        <w:tabs>
          <w:tab w:val="left" w:pos="735"/>
          <w:tab w:val="clear" w:pos="360"/>
        </w:tabs>
        <w:adjustRightInd w:val="0"/>
        <w:snapToGrid w:val="0"/>
        <w:spacing w:line="360" w:lineRule="auto"/>
        <w:ind w:left="735" w:hanging="735"/>
        <w:rPr>
          <w:rFonts w:ascii="宋体" w:hAnsi="宋体"/>
          <w:bCs/>
          <w:color w:val="000000" w:themeColor="text1"/>
          <w:highlight w:val="none"/>
        </w:rPr>
      </w:pPr>
      <w:r>
        <w:rPr>
          <w:rFonts w:hint="eastAsia" w:ascii="宋体" w:hAnsi="宋体"/>
          <w:color w:val="000000" w:themeColor="text1"/>
          <w:highlight w:val="none"/>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14:paraId="0B2DE036">
      <w:pPr>
        <w:widowControl/>
        <w:numPr>
          <w:ilvl w:val="1"/>
          <w:numId w:val="25"/>
        </w:numPr>
        <w:tabs>
          <w:tab w:val="left" w:pos="735"/>
          <w:tab w:val="clear" w:pos="360"/>
        </w:tabs>
        <w:adjustRightInd w:val="0"/>
        <w:snapToGrid w:val="0"/>
        <w:spacing w:line="360" w:lineRule="auto"/>
        <w:ind w:left="735" w:hanging="735"/>
        <w:rPr>
          <w:rFonts w:ascii="宋体" w:hAnsi="宋体"/>
          <w:bCs/>
          <w:color w:val="000000" w:themeColor="text1"/>
          <w:highlight w:val="none"/>
        </w:rPr>
      </w:pPr>
      <w:r>
        <w:rPr>
          <w:rFonts w:hint="eastAsia" w:ascii="宋体" w:hAnsi="宋体"/>
          <w:color w:val="000000" w:themeColor="text1"/>
          <w:highlight w:val="none"/>
        </w:rPr>
        <w:t>澄清或修改时间距投标截止时间不足15日的，采购人或代理采购机构在征得已获取招标文件的投标人同意并书面确认后，可不改变投标截止时间。</w:t>
      </w:r>
    </w:p>
    <w:p w14:paraId="5BFF884A">
      <w:pPr>
        <w:pStyle w:val="3"/>
        <w:numPr>
          <w:ilvl w:val="0"/>
          <w:numId w:val="0"/>
        </w:numPr>
        <w:rPr>
          <w:color w:val="000000" w:themeColor="text1"/>
          <w:sz w:val="24"/>
          <w:highlight w:val="none"/>
        </w:rPr>
      </w:pPr>
      <w:bookmarkStart w:id="451" w:name="_Toc374454577"/>
      <w:r>
        <w:rPr>
          <w:color w:val="000000" w:themeColor="text1"/>
          <w:sz w:val="24"/>
          <w:highlight w:val="none"/>
        </w:rPr>
        <w:br w:type="page"/>
      </w:r>
      <w:bookmarkStart w:id="452" w:name="_Toc8490"/>
      <w:r>
        <w:rPr>
          <w:rFonts w:hint="eastAsia"/>
          <w:color w:val="000000" w:themeColor="text1"/>
          <w:sz w:val="24"/>
          <w:highlight w:val="none"/>
        </w:rPr>
        <w:t>Ｃ投标文件的编</w:t>
      </w:r>
      <w:bookmarkEnd w:id="416"/>
      <w:bookmarkEnd w:id="417"/>
      <w:r>
        <w:rPr>
          <w:rFonts w:hint="eastAsia"/>
          <w:color w:val="000000" w:themeColor="text1"/>
          <w:sz w:val="24"/>
          <w:highlight w:val="none"/>
        </w:rPr>
        <w:t>制</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F044434">
      <w:pPr>
        <w:pStyle w:val="4"/>
        <w:numPr>
          <w:ilvl w:val="4"/>
          <w:numId w:val="23"/>
        </w:numPr>
        <w:tabs>
          <w:tab w:val="left" w:pos="720"/>
        </w:tabs>
        <w:spacing w:before="240" w:after="120"/>
        <w:ind w:left="2432" w:hanging="2432"/>
        <w:rPr>
          <w:color w:val="000000" w:themeColor="text1"/>
          <w:highlight w:val="none"/>
        </w:rPr>
      </w:pPr>
      <w:bookmarkStart w:id="453" w:name="_Toc336681913"/>
      <w:bookmarkStart w:id="454" w:name="_Toc331684016"/>
      <w:bookmarkStart w:id="455" w:name="_Toc339441065"/>
      <w:bookmarkStart w:id="456" w:name="_Toc374454578"/>
      <w:bookmarkStart w:id="457" w:name="_Toc333237655"/>
      <w:bookmarkStart w:id="458" w:name="_Toc340507420"/>
      <w:bookmarkStart w:id="459" w:name="_Toc350438727"/>
      <w:bookmarkStart w:id="460" w:name="_Toc342060352"/>
      <w:bookmarkStart w:id="461" w:name="_Toc340677048"/>
      <w:bookmarkStart w:id="462" w:name="_Toc332270324"/>
      <w:bookmarkStart w:id="463" w:name="_Toc497224204"/>
      <w:bookmarkStart w:id="464" w:name="_Toc333237766"/>
      <w:bookmarkStart w:id="465" w:name="_Toc336681558"/>
      <w:bookmarkStart w:id="466" w:name="_Toc349127604"/>
      <w:bookmarkStart w:id="467" w:name="_Toc333935324"/>
      <w:bookmarkStart w:id="468" w:name="_Toc365967051"/>
      <w:bookmarkStart w:id="469" w:name="_Toc332206686"/>
      <w:bookmarkStart w:id="470" w:name="_Toc342296738"/>
      <w:bookmarkStart w:id="471" w:name="_Toc345513845"/>
      <w:bookmarkStart w:id="472" w:name="_Toc366072506"/>
      <w:bookmarkStart w:id="473" w:name="_Toc349143567"/>
      <w:bookmarkStart w:id="474" w:name="_Toc339020073"/>
      <w:bookmarkStart w:id="475" w:name="_Toc330459963"/>
      <w:bookmarkStart w:id="476" w:name="_Toc340672847"/>
      <w:bookmarkStart w:id="477" w:name="_Toc15722"/>
      <w:bookmarkStart w:id="478" w:name="_Toc339020211"/>
      <w:bookmarkStart w:id="479" w:name="_Toc341348316"/>
      <w:bookmarkStart w:id="480" w:name="_Toc503785406"/>
      <w:bookmarkStart w:id="481" w:name="_Toc337632336"/>
      <w:bookmarkStart w:id="482" w:name="_Toc333238611"/>
      <w:bookmarkStart w:id="483" w:name="_Toc331512876"/>
      <w:bookmarkStart w:id="484" w:name="_Toc365985157"/>
      <w:bookmarkStart w:id="485" w:name="_Toc333935665"/>
      <w:bookmarkStart w:id="486" w:name="_Toc339362278"/>
      <w:bookmarkStart w:id="487" w:name="_Toc350756428"/>
      <w:bookmarkStart w:id="488" w:name="_Toc339019993"/>
      <w:bookmarkStart w:id="489" w:name="_Toc339019867"/>
      <w:r>
        <w:rPr>
          <w:rFonts w:hint="eastAsia"/>
          <w:color w:val="000000" w:themeColor="text1"/>
          <w:highlight w:val="none"/>
        </w:rPr>
        <w:t>要求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DA5BF53">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7</w:t>
      </w:r>
      <w:r>
        <w:rPr>
          <w:rFonts w:ascii="宋体"/>
          <w:bCs/>
          <w:color w:val="000000" w:themeColor="text1"/>
          <w:highlight w:val="none"/>
        </w:rPr>
        <w:t>.1</w:t>
      </w:r>
      <w:r>
        <w:rPr>
          <w:rFonts w:ascii="宋体"/>
          <w:bCs/>
          <w:color w:val="000000" w:themeColor="text1"/>
          <w:highlight w:val="none"/>
        </w:rPr>
        <w:tab/>
      </w:r>
      <w:r>
        <w:rPr>
          <w:rFonts w:hint="eastAsia" w:ascii="宋体"/>
          <w:bCs/>
          <w:color w:val="000000" w:themeColor="text1"/>
          <w:highlight w:val="none"/>
        </w:rPr>
        <w:t>投标人应仔细阅读招标文件的所有内容，按招标文件的要求编制投标文件，并保证所提供的全部资料的真实性，以使其投标对招标文件提出的要求和条件做出实质性响应，否则，其投标将作无效投标处理。</w:t>
      </w:r>
    </w:p>
    <w:p w14:paraId="1541586A">
      <w:pPr>
        <w:pStyle w:val="4"/>
        <w:numPr>
          <w:ilvl w:val="4"/>
          <w:numId w:val="23"/>
        </w:numPr>
        <w:tabs>
          <w:tab w:val="left" w:pos="720"/>
        </w:tabs>
        <w:spacing w:before="240" w:after="120"/>
        <w:ind w:left="2432" w:hanging="2432"/>
        <w:rPr>
          <w:color w:val="000000" w:themeColor="text1"/>
          <w:highlight w:val="none"/>
        </w:rPr>
      </w:pPr>
      <w:bookmarkStart w:id="490" w:name="_Toc503785407"/>
      <w:bookmarkStart w:id="491" w:name="_Toc349143568"/>
      <w:bookmarkStart w:id="492" w:name="_Toc333935666"/>
      <w:bookmarkStart w:id="493" w:name="_Toc330459964"/>
      <w:bookmarkStart w:id="494" w:name="_Toc345513846"/>
      <w:bookmarkStart w:id="495" w:name="_Toc350438728"/>
      <w:bookmarkStart w:id="496" w:name="_Toc365967052"/>
      <w:bookmarkStart w:id="497" w:name="_Toc339020212"/>
      <w:bookmarkStart w:id="498" w:name="_Toc337632337"/>
      <w:bookmarkStart w:id="499" w:name="_Toc333237767"/>
      <w:bookmarkStart w:id="500" w:name="_Toc497224205"/>
      <w:bookmarkStart w:id="501" w:name="_Toc341348317"/>
      <w:bookmarkStart w:id="502" w:name="_Toc333237656"/>
      <w:bookmarkStart w:id="503" w:name="_Toc350756429"/>
      <w:bookmarkStart w:id="504" w:name="_Toc340672848"/>
      <w:bookmarkStart w:id="505" w:name="_Toc331512877"/>
      <w:bookmarkStart w:id="506" w:name="_Toc333935325"/>
      <w:bookmarkStart w:id="507" w:name="_Toc340677049"/>
      <w:bookmarkStart w:id="508" w:name="_Toc342060353"/>
      <w:bookmarkStart w:id="509" w:name="_Toc332270325"/>
      <w:bookmarkStart w:id="510" w:name="_Toc331684017"/>
      <w:bookmarkStart w:id="511" w:name="_Toc336681559"/>
      <w:bookmarkStart w:id="512" w:name="_Toc339362279"/>
      <w:bookmarkStart w:id="513" w:name="_Toc365985158"/>
      <w:bookmarkStart w:id="514" w:name="_Toc374454579"/>
      <w:bookmarkStart w:id="515" w:name="_Toc332206687"/>
      <w:bookmarkStart w:id="516" w:name="_Toc339020074"/>
      <w:bookmarkStart w:id="517" w:name="_Toc366072507"/>
      <w:bookmarkStart w:id="518" w:name="_Toc336681914"/>
      <w:bookmarkStart w:id="519" w:name="_Toc339441066"/>
      <w:bookmarkStart w:id="520" w:name="_Toc349127605"/>
      <w:bookmarkStart w:id="521" w:name="_Toc339019994"/>
      <w:bookmarkStart w:id="522" w:name="_Toc333238612"/>
      <w:bookmarkStart w:id="523" w:name="_Toc342296739"/>
      <w:bookmarkStart w:id="524" w:name="_Toc10466"/>
      <w:bookmarkStart w:id="525" w:name="_Toc339019868"/>
      <w:bookmarkStart w:id="526" w:name="_Toc340507421"/>
      <w:r>
        <w:rPr>
          <w:rFonts w:hint="eastAsia"/>
          <w:color w:val="000000" w:themeColor="text1"/>
          <w:highlight w:val="none"/>
        </w:rPr>
        <w:t>投标语言及计量单位</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EDAD056">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8</w:t>
      </w:r>
      <w:r>
        <w:rPr>
          <w:rFonts w:ascii="宋体"/>
          <w:bCs/>
          <w:color w:val="000000" w:themeColor="text1"/>
          <w:highlight w:val="none"/>
        </w:rPr>
        <w:t>.1</w:t>
      </w:r>
      <w:r>
        <w:rPr>
          <w:rFonts w:ascii="宋体"/>
          <w:bCs/>
          <w:color w:val="000000" w:themeColor="text1"/>
          <w:highlight w:val="none"/>
        </w:rPr>
        <w:tab/>
      </w:r>
      <w:r>
        <w:rPr>
          <w:rFonts w:hint="eastAsia" w:ascii="宋体"/>
          <w:bCs/>
          <w:color w:val="000000" w:themeColor="text1"/>
          <w:highlight w:val="none"/>
        </w:rPr>
        <w:t xml:space="preserve"> 投标人提交的投标文件（包括资格证明文件）以及投标人与代理采购机构就有关投标的所有往来函电均应使用中文。投标人可以提交用其它语言打印的资料，但有关段落必须译成中文。</w:t>
      </w:r>
    </w:p>
    <w:p w14:paraId="53257646">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8</w:t>
      </w:r>
      <w:r>
        <w:rPr>
          <w:rFonts w:ascii="宋体"/>
          <w:bCs/>
          <w:color w:val="000000" w:themeColor="text1"/>
          <w:highlight w:val="none"/>
        </w:rPr>
        <w:t>.2</w:t>
      </w:r>
      <w:r>
        <w:rPr>
          <w:rFonts w:hint="eastAsia" w:ascii="宋体"/>
          <w:bCs/>
          <w:color w:val="000000" w:themeColor="text1"/>
          <w:highlight w:val="none"/>
        </w:rPr>
        <w:t xml:space="preserve"> </w:t>
      </w:r>
      <w:r>
        <w:rPr>
          <w:rFonts w:ascii="宋体"/>
          <w:bCs/>
          <w:color w:val="000000" w:themeColor="text1"/>
          <w:highlight w:val="none"/>
        </w:rPr>
        <w:tab/>
      </w:r>
      <w:r>
        <w:rPr>
          <w:rFonts w:hint="eastAsia" w:ascii="宋体"/>
          <w:bCs/>
          <w:color w:val="000000" w:themeColor="text1"/>
          <w:highlight w:val="none"/>
        </w:rPr>
        <w:t>除在招标文件的技术规格中另有规定外，计量单位应使用中华人民共和国法定计量单位</w:t>
      </w:r>
      <w:r>
        <w:rPr>
          <w:rFonts w:hint="eastAsia"/>
          <w:bCs/>
          <w:color w:val="000000" w:themeColor="text1"/>
          <w:highlight w:val="none"/>
        </w:rPr>
        <w:t>（国际单位制和国家选定的其他计量单位）</w:t>
      </w:r>
      <w:r>
        <w:rPr>
          <w:rFonts w:hint="eastAsia" w:ascii="宋体"/>
          <w:bCs/>
          <w:color w:val="000000" w:themeColor="text1"/>
          <w:highlight w:val="none"/>
        </w:rPr>
        <w:t>。</w:t>
      </w:r>
    </w:p>
    <w:p w14:paraId="7D55B36A">
      <w:pPr>
        <w:pStyle w:val="4"/>
        <w:numPr>
          <w:ilvl w:val="4"/>
          <w:numId w:val="23"/>
        </w:numPr>
        <w:tabs>
          <w:tab w:val="left" w:pos="720"/>
        </w:tabs>
        <w:spacing w:before="240" w:after="120"/>
        <w:ind w:left="2432" w:hanging="2432"/>
        <w:rPr>
          <w:color w:val="000000" w:themeColor="text1"/>
          <w:highlight w:val="none"/>
        </w:rPr>
      </w:pPr>
      <w:bookmarkStart w:id="527" w:name="_Toc336681560"/>
      <w:bookmarkStart w:id="528" w:name="_Toc366072508"/>
      <w:bookmarkStart w:id="529" w:name="_Toc333237657"/>
      <w:bookmarkStart w:id="530" w:name="_Toc337632338"/>
      <w:bookmarkStart w:id="531" w:name="_Toc497224206"/>
      <w:bookmarkStart w:id="532" w:name="_Toc365967053"/>
      <w:bookmarkStart w:id="533" w:name="_Toc339020213"/>
      <w:bookmarkStart w:id="534" w:name="_Toc342296740"/>
      <w:bookmarkStart w:id="535" w:name="_Toc333237768"/>
      <w:bookmarkStart w:id="536" w:name="_Toc339362280"/>
      <w:bookmarkStart w:id="537" w:name="_Toc333238613"/>
      <w:bookmarkStart w:id="538" w:name="_Toc336681915"/>
      <w:bookmarkStart w:id="539" w:name="_Toc340677050"/>
      <w:bookmarkStart w:id="540" w:name="_Toc342060354"/>
      <w:bookmarkStart w:id="541" w:name="_Toc503785408"/>
      <w:bookmarkStart w:id="542" w:name="_Toc350438729"/>
      <w:bookmarkStart w:id="543" w:name="_Toc350756430"/>
      <w:bookmarkStart w:id="544" w:name="_Toc340507422"/>
      <w:bookmarkStart w:id="545" w:name="_Toc365985159"/>
      <w:bookmarkStart w:id="546" w:name="_Toc345513847"/>
      <w:bookmarkStart w:id="547" w:name="_Toc332270326"/>
      <w:bookmarkStart w:id="548" w:name="_Toc332206688"/>
      <w:bookmarkStart w:id="549" w:name="_Toc15552"/>
      <w:bookmarkStart w:id="550" w:name="_Toc340672849"/>
      <w:bookmarkStart w:id="551" w:name="_Toc349143569"/>
      <w:bookmarkStart w:id="552" w:name="_Toc374454580"/>
      <w:bookmarkStart w:id="553" w:name="_Toc349127606"/>
      <w:bookmarkStart w:id="554" w:name="_Toc339441067"/>
      <w:bookmarkStart w:id="555" w:name="_Toc341348318"/>
      <w:bookmarkStart w:id="556" w:name="_Toc331512878"/>
      <w:bookmarkStart w:id="557" w:name="_Toc339019869"/>
      <w:bookmarkStart w:id="558" w:name="_Toc330459965"/>
      <w:bookmarkStart w:id="559" w:name="_Toc333935326"/>
      <w:bookmarkStart w:id="560" w:name="_Toc333935667"/>
      <w:bookmarkStart w:id="561" w:name="_Toc331684018"/>
      <w:bookmarkStart w:id="562" w:name="_Toc339020075"/>
      <w:bookmarkStart w:id="563" w:name="_Toc339019995"/>
      <w:r>
        <w:rPr>
          <w:rFonts w:hint="eastAsia"/>
          <w:color w:val="000000" w:themeColor="text1"/>
          <w:highlight w:val="none"/>
        </w:rPr>
        <w:t>投标文件的构成</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10364E91">
      <w:pPr>
        <w:widowControl/>
        <w:tabs>
          <w:tab w:val="left" w:pos="753"/>
        </w:tabs>
        <w:adjustRightInd w:val="0"/>
        <w:snapToGrid w:val="0"/>
        <w:spacing w:line="360" w:lineRule="auto"/>
        <w:rPr>
          <w:rFonts w:ascii="宋体"/>
          <w:bCs/>
          <w:color w:val="000000" w:themeColor="text1"/>
          <w:highlight w:val="none"/>
        </w:rPr>
      </w:pPr>
      <w:r>
        <w:rPr>
          <w:rFonts w:hint="eastAsia" w:ascii="宋体"/>
          <w:bCs/>
          <w:color w:val="000000" w:themeColor="text1"/>
          <w:highlight w:val="none"/>
        </w:rPr>
        <w:t>9</w:t>
      </w:r>
      <w:r>
        <w:rPr>
          <w:rFonts w:ascii="宋体"/>
          <w:bCs/>
          <w:color w:val="000000" w:themeColor="text1"/>
          <w:highlight w:val="none"/>
        </w:rPr>
        <w:t>.1</w:t>
      </w:r>
      <w:r>
        <w:rPr>
          <w:rFonts w:hint="eastAsia" w:ascii="宋体"/>
          <w:bCs/>
          <w:color w:val="000000" w:themeColor="text1"/>
          <w:highlight w:val="none"/>
        </w:rPr>
        <w:t xml:space="preserve">   投标文件包括：</w:t>
      </w:r>
    </w:p>
    <w:p w14:paraId="77DA649E">
      <w:pPr>
        <w:widowControl/>
        <w:adjustRightInd w:val="0"/>
        <w:snapToGrid w:val="0"/>
        <w:spacing w:line="360" w:lineRule="auto"/>
        <w:ind w:left="734"/>
        <w:rPr>
          <w:rFonts w:ascii="宋体" w:hAnsi="宋体"/>
          <w:bCs/>
          <w:color w:val="000000" w:themeColor="text1"/>
          <w:highlight w:val="none"/>
        </w:rPr>
      </w:pPr>
      <w:bookmarkStart w:id="564" w:name="_Toc503785409"/>
      <w:bookmarkStart w:id="565" w:name="_Toc497224207"/>
      <w:r>
        <w:rPr>
          <w:rFonts w:hint="eastAsia" w:ascii="宋体" w:hAnsi="宋体"/>
          <w:bCs/>
          <w:color w:val="000000" w:themeColor="text1"/>
          <w:highlight w:val="none"/>
        </w:rPr>
        <w:t>第一章 资格审查文件（含附件）</w:t>
      </w:r>
    </w:p>
    <w:p w14:paraId="21480BF4">
      <w:pPr>
        <w:widowControl/>
        <w:adjustRightInd w:val="0"/>
        <w:snapToGrid w:val="0"/>
        <w:spacing w:line="360" w:lineRule="auto"/>
        <w:ind w:left="734"/>
        <w:rPr>
          <w:rFonts w:ascii="宋体" w:hAnsi="宋体"/>
          <w:bCs/>
          <w:color w:val="000000" w:themeColor="text1"/>
          <w:highlight w:val="none"/>
        </w:rPr>
      </w:pPr>
      <w:r>
        <w:rPr>
          <w:rFonts w:hint="eastAsia" w:ascii="宋体" w:hAnsi="宋体"/>
          <w:bCs/>
          <w:color w:val="000000" w:themeColor="text1"/>
          <w:highlight w:val="none"/>
        </w:rPr>
        <w:t>第二章 商务和技术部分</w:t>
      </w:r>
    </w:p>
    <w:p w14:paraId="5333F4A5">
      <w:pPr>
        <w:pStyle w:val="4"/>
        <w:numPr>
          <w:ilvl w:val="4"/>
          <w:numId w:val="23"/>
        </w:numPr>
        <w:tabs>
          <w:tab w:val="left" w:pos="720"/>
        </w:tabs>
        <w:spacing w:before="240" w:after="120"/>
        <w:ind w:left="2432" w:hanging="2432"/>
        <w:rPr>
          <w:color w:val="000000" w:themeColor="text1"/>
          <w:highlight w:val="none"/>
        </w:rPr>
      </w:pPr>
      <w:bookmarkStart w:id="566" w:name="_Toc332206689"/>
      <w:bookmarkStart w:id="567" w:name="_Toc349143570"/>
      <w:bookmarkStart w:id="568" w:name="_Toc337632339"/>
      <w:bookmarkStart w:id="569" w:name="_Toc333238614"/>
      <w:bookmarkStart w:id="570" w:name="_Toc333237658"/>
      <w:bookmarkStart w:id="571" w:name="_Toc339020076"/>
      <w:bookmarkStart w:id="572" w:name="_Toc341348319"/>
      <w:bookmarkStart w:id="573" w:name="_Toc350756431"/>
      <w:bookmarkStart w:id="574" w:name="_Toc333935327"/>
      <w:bookmarkStart w:id="575" w:name="_Toc336681916"/>
      <w:bookmarkStart w:id="576" w:name="_Toc366072509"/>
      <w:bookmarkStart w:id="577" w:name="_Toc332270327"/>
      <w:bookmarkStart w:id="578" w:name="_Toc31112"/>
      <w:bookmarkStart w:id="579" w:name="_Toc340507423"/>
      <w:bookmarkStart w:id="580" w:name="_Toc374454581"/>
      <w:bookmarkStart w:id="581" w:name="_Toc342296741"/>
      <w:bookmarkStart w:id="582" w:name="_Toc342060355"/>
      <w:bookmarkStart w:id="583" w:name="_Toc330459966"/>
      <w:bookmarkStart w:id="584" w:name="_Toc365967054"/>
      <w:bookmarkStart w:id="585" w:name="_Toc339019996"/>
      <w:bookmarkStart w:id="586" w:name="_Toc345513848"/>
      <w:bookmarkStart w:id="587" w:name="_Toc339441068"/>
      <w:bookmarkStart w:id="588" w:name="_Toc349127607"/>
      <w:bookmarkStart w:id="589" w:name="_Toc336681561"/>
      <w:bookmarkStart w:id="590" w:name="_Toc340677051"/>
      <w:bookmarkStart w:id="591" w:name="_Toc333237769"/>
      <w:bookmarkStart w:id="592" w:name="_Toc333935668"/>
      <w:bookmarkStart w:id="593" w:name="_Toc365985160"/>
      <w:bookmarkStart w:id="594" w:name="_Toc339020214"/>
      <w:bookmarkStart w:id="595" w:name="_Toc340672850"/>
      <w:bookmarkStart w:id="596" w:name="_Toc331512879"/>
      <w:bookmarkStart w:id="597" w:name="_Toc331684019"/>
      <w:bookmarkStart w:id="598" w:name="_Toc339019870"/>
      <w:bookmarkStart w:id="599" w:name="_Toc339362281"/>
      <w:bookmarkStart w:id="600" w:name="_Toc350438730"/>
      <w:r>
        <w:rPr>
          <w:rFonts w:hint="eastAsia"/>
          <w:color w:val="000000" w:themeColor="text1"/>
          <w:highlight w:val="none"/>
        </w:rPr>
        <w:t>投标文件格式</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5EFB290E">
      <w:pPr>
        <w:widowControl/>
        <w:tabs>
          <w:tab w:val="left" w:pos="753"/>
        </w:tabs>
        <w:adjustRightInd w:val="0"/>
        <w:snapToGrid w:val="0"/>
        <w:spacing w:before="240"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0</w:t>
      </w:r>
      <w:r>
        <w:rPr>
          <w:rFonts w:ascii="宋体"/>
          <w:bCs/>
          <w:color w:val="000000" w:themeColor="text1"/>
          <w:highlight w:val="none"/>
        </w:rPr>
        <w:t>.1</w:t>
      </w:r>
      <w:r>
        <w:rPr>
          <w:rFonts w:hint="eastAsia" w:ascii="宋体"/>
          <w:bCs/>
          <w:color w:val="000000" w:themeColor="text1"/>
          <w:highlight w:val="none"/>
        </w:rPr>
        <w:t xml:space="preserve">   投标人应</w:t>
      </w:r>
      <w:r>
        <w:rPr>
          <w:rFonts w:hint="eastAsia" w:ascii="宋体" w:hAnsi="宋体"/>
          <w:bCs/>
          <w:color w:val="000000" w:themeColor="text1"/>
          <w:highlight w:val="none"/>
        </w:rPr>
        <w:t>按照招标文件中提供的投标文件格式编制投标文件（详见第五部分）。</w:t>
      </w:r>
    </w:p>
    <w:p w14:paraId="4BBA393A">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 xml:space="preserve">10.2 </w:t>
      </w:r>
      <w:r>
        <w:rPr>
          <w:rFonts w:hint="eastAsia" w:ascii="宋体" w:hAnsi="宋体"/>
          <w:bCs/>
          <w:color w:val="000000" w:themeColor="text1"/>
          <w:highlight w:val="none"/>
        </w:rPr>
        <w:tab/>
      </w:r>
      <w:r>
        <w:rPr>
          <w:rFonts w:hint="eastAsia" w:ascii="宋体" w:hAnsi="宋体"/>
          <w:bCs/>
          <w:color w:val="000000" w:themeColor="text1"/>
          <w:highlight w:val="none"/>
        </w:rPr>
        <w:tab/>
      </w:r>
      <w:r>
        <w:rPr>
          <w:rFonts w:hint="eastAsia" w:ascii="宋体" w:hAnsi="宋体"/>
          <w:bCs/>
          <w:color w:val="000000" w:themeColor="text1"/>
          <w:highlight w:val="none"/>
        </w:rPr>
        <w:t>投标人应完整地填写招标文件提供的投标函、开标一览表等表格，表明所提供的货物、货物简介（含技术参数）、数量和价格；若招标为工程类或服务类项目的，投标文件中涉及货物的技术参数等可不填写。</w:t>
      </w:r>
    </w:p>
    <w:p w14:paraId="128E51EC">
      <w:pPr>
        <w:pStyle w:val="4"/>
        <w:numPr>
          <w:ilvl w:val="4"/>
          <w:numId w:val="23"/>
        </w:numPr>
        <w:tabs>
          <w:tab w:val="left" w:pos="720"/>
        </w:tabs>
        <w:spacing w:before="240" w:after="120"/>
        <w:ind w:left="2432" w:hanging="2432"/>
        <w:rPr>
          <w:color w:val="000000" w:themeColor="text1"/>
          <w:highlight w:val="none"/>
        </w:rPr>
      </w:pPr>
      <w:bookmarkStart w:id="601" w:name="_Toc342296742"/>
      <w:bookmarkStart w:id="602" w:name="_Toc333935328"/>
      <w:bookmarkStart w:id="603" w:name="_Toc374454582"/>
      <w:bookmarkStart w:id="604" w:name="_Toc332206690"/>
      <w:bookmarkStart w:id="605" w:name="_Toc349127608"/>
      <w:bookmarkStart w:id="606" w:name="_Toc340672851"/>
      <w:bookmarkStart w:id="607" w:name="_Toc333238615"/>
      <w:bookmarkStart w:id="608" w:name="_Toc365985161"/>
      <w:bookmarkStart w:id="609" w:name="_Toc340677052"/>
      <w:bookmarkStart w:id="610" w:name="_Toc349143571"/>
      <w:bookmarkStart w:id="611" w:name="_Toc337632340"/>
      <w:bookmarkStart w:id="612" w:name="_Toc339362282"/>
      <w:bookmarkStart w:id="613" w:name="_Toc339441069"/>
      <w:bookmarkStart w:id="614" w:name="_Toc333237659"/>
      <w:bookmarkStart w:id="615" w:name="_Toc342060356"/>
      <w:bookmarkStart w:id="616" w:name="_Toc339019871"/>
      <w:bookmarkStart w:id="617" w:name="_Toc350756432"/>
      <w:bookmarkStart w:id="618" w:name="_Toc350438731"/>
      <w:bookmarkStart w:id="619" w:name="_Toc330459967"/>
      <w:bookmarkStart w:id="620" w:name="_Toc336681917"/>
      <w:bookmarkStart w:id="621" w:name="_Toc5003680"/>
      <w:bookmarkStart w:id="622" w:name="_Toc331684020"/>
      <w:bookmarkStart w:id="623" w:name="_Toc332270328"/>
      <w:bookmarkStart w:id="624" w:name="_Toc366072510"/>
      <w:bookmarkStart w:id="625" w:name="_Toc365967055"/>
      <w:bookmarkStart w:id="626" w:name="_Toc345513849"/>
      <w:bookmarkStart w:id="627" w:name="_Toc339019997"/>
      <w:bookmarkStart w:id="628" w:name="_Toc339020215"/>
      <w:bookmarkStart w:id="629" w:name="_Toc333237770"/>
      <w:bookmarkStart w:id="630" w:name="_Toc336681562"/>
      <w:bookmarkStart w:id="631" w:name="_Toc331512880"/>
      <w:bookmarkStart w:id="632" w:name="_Toc341348320"/>
      <w:bookmarkStart w:id="633" w:name="_Toc339020077"/>
      <w:bookmarkStart w:id="634" w:name="_Toc10365"/>
      <w:bookmarkStart w:id="635" w:name="_Toc340507424"/>
      <w:bookmarkStart w:id="636" w:name="_Toc333935669"/>
      <w:r>
        <w:rPr>
          <w:rFonts w:hint="eastAsia"/>
          <w:color w:val="000000" w:themeColor="text1"/>
          <w:highlight w:val="none"/>
        </w:rPr>
        <w:t>资格证明文件</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1DD3B076">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 xml:space="preserve">11.1  </w:t>
      </w:r>
      <w:r>
        <w:rPr>
          <w:rFonts w:hint="eastAsia" w:ascii="宋体" w:hAnsi="宋体"/>
          <w:bCs/>
          <w:color w:val="000000" w:themeColor="text1"/>
          <w:highlight w:val="none"/>
        </w:rPr>
        <w:tab/>
      </w:r>
      <w:r>
        <w:rPr>
          <w:rFonts w:hint="eastAsia" w:ascii="宋体" w:hAnsi="宋体"/>
          <w:bCs/>
          <w:color w:val="000000" w:themeColor="text1"/>
          <w:highlight w:val="none"/>
        </w:rPr>
        <w:t>投标人应按招标文件的要求，提交其有资格参加投标和中标后有履行合同能力的文件，并作为其投标文件的组成部分，包括但不限于下列文件：</w:t>
      </w:r>
    </w:p>
    <w:p w14:paraId="325C7FA5">
      <w:pPr>
        <w:widowControl/>
        <w:numPr>
          <w:ilvl w:val="0"/>
          <w:numId w:val="26"/>
        </w:numPr>
        <w:tabs>
          <w:tab w:val="left" w:pos="1255"/>
          <w:tab w:val="clear" w:pos="1638"/>
        </w:tabs>
        <w:adjustRightInd w:val="0"/>
        <w:snapToGrid w:val="0"/>
        <w:spacing w:line="360" w:lineRule="auto"/>
        <w:ind w:left="1255" w:hanging="502"/>
        <w:rPr>
          <w:rFonts w:ascii="宋体" w:hAnsi="宋体"/>
          <w:bCs/>
          <w:color w:val="000000" w:themeColor="text1"/>
          <w:highlight w:val="none"/>
        </w:rPr>
      </w:pPr>
      <w:r>
        <w:rPr>
          <w:rFonts w:hint="eastAsia" w:ascii="宋体" w:hAnsi="宋体"/>
          <w:bCs/>
          <w:color w:val="000000" w:themeColor="text1"/>
          <w:highlight w:val="none"/>
        </w:rPr>
        <w:t>投标人满足招标文件中列出的资格标准；</w:t>
      </w:r>
    </w:p>
    <w:p w14:paraId="6B14606C">
      <w:pPr>
        <w:widowControl/>
        <w:numPr>
          <w:ilvl w:val="0"/>
          <w:numId w:val="26"/>
        </w:numPr>
        <w:tabs>
          <w:tab w:val="left" w:pos="1255"/>
          <w:tab w:val="clear" w:pos="1638"/>
        </w:tabs>
        <w:adjustRightInd w:val="0"/>
        <w:snapToGrid w:val="0"/>
        <w:spacing w:line="360" w:lineRule="auto"/>
        <w:ind w:left="1255" w:hanging="502"/>
        <w:rPr>
          <w:rFonts w:ascii="宋体" w:hAnsi="宋体"/>
          <w:bCs/>
          <w:color w:val="000000" w:themeColor="text1"/>
          <w:highlight w:val="none"/>
        </w:rPr>
      </w:pPr>
      <w:r>
        <w:rPr>
          <w:rFonts w:hint="eastAsia" w:ascii="宋体" w:hAnsi="宋体"/>
          <w:bCs/>
          <w:color w:val="000000" w:themeColor="text1"/>
          <w:highlight w:val="none"/>
        </w:rPr>
        <w:t>投标人已具备履行合同所需的财务、技术、生产和服务能力。</w:t>
      </w:r>
    </w:p>
    <w:p w14:paraId="269A9326">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11.2   招标文件允许联合体投标时，投标人才能组建联合体。联合体投标时，应提交各方的资格证明文件、联合体协议并注明主办人；联合体各方签订合同投标协议后，不得再以自己的名义单独在同一项目中投标，也不得组成新的联合体参加同一项目投标。违反上述规定的联合体投标将导致其投标被拒绝。联合体中标的，联合体各方应当共同与采购人签订合同，就中标项目向采购人承担连带责任。</w:t>
      </w:r>
    </w:p>
    <w:p w14:paraId="5E6D3BCD">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11.3   资格证明文件必须真实有效，要求提供的证明材料为复印件的，必须加盖单位公章。资格条件不符合、资格证明文件不全或者资格证明文件复印件没有盖单位公章的投标人的投标将作无效投标处理。</w:t>
      </w:r>
    </w:p>
    <w:p w14:paraId="422567E5">
      <w:pPr>
        <w:pStyle w:val="4"/>
        <w:numPr>
          <w:ilvl w:val="4"/>
          <w:numId w:val="23"/>
        </w:numPr>
        <w:tabs>
          <w:tab w:val="left" w:pos="720"/>
        </w:tabs>
        <w:spacing w:before="240" w:after="120"/>
        <w:ind w:left="2432" w:hanging="2432"/>
        <w:rPr>
          <w:color w:val="000000" w:themeColor="text1"/>
          <w:highlight w:val="none"/>
        </w:rPr>
      </w:pPr>
      <w:bookmarkStart w:id="637" w:name="_Toc333935329"/>
      <w:bookmarkStart w:id="638" w:name="_Toc330459968"/>
      <w:bookmarkStart w:id="639" w:name="_Toc339020078"/>
      <w:bookmarkStart w:id="640" w:name="_Toc331512881"/>
      <w:bookmarkStart w:id="641" w:name="_Toc337632341"/>
      <w:bookmarkStart w:id="642" w:name="_Toc374454583"/>
      <w:bookmarkStart w:id="643" w:name="_Toc336681563"/>
      <w:bookmarkStart w:id="644" w:name="_Toc339441070"/>
      <w:bookmarkStart w:id="645" w:name="_Toc365985162"/>
      <w:bookmarkStart w:id="646" w:name="_Toc339020216"/>
      <w:bookmarkStart w:id="647" w:name="_Toc340672852"/>
      <w:bookmarkStart w:id="648" w:name="_Toc332270329"/>
      <w:bookmarkStart w:id="649" w:name="_Toc336681918"/>
      <w:bookmarkStart w:id="650" w:name="_Toc333238616"/>
      <w:bookmarkStart w:id="651" w:name="_Toc331684021"/>
      <w:bookmarkStart w:id="652" w:name="_Toc5003681"/>
      <w:bookmarkStart w:id="653" w:name="_Toc332206691"/>
      <w:bookmarkStart w:id="654" w:name="_Toc350438732"/>
      <w:bookmarkStart w:id="655" w:name="_Toc349143572"/>
      <w:bookmarkStart w:id="656" w:name="_Toc350756433"/>
      <w:bookmarkStart w:id="657" w:name="_Toc365967056"/>
      <w:bookmarkStart w:id="658" w:name="_Toc333935670"/>
      <w:bookmarkStart w:id="659" w:name="_Toc333237771"/>
      <w:bookmarkStart w:id="660" w:name="_Toc339019998"/>
      <w:bookmarkStart w:id="661" w:name="_Toc340677053"/>
      <w:bookmarkStart w:id="662" w:name="_Toc333237660"/>
      <w:bookmarkStart w:id="663" w:name="_Toc349127609"/>
      <w:bookmarkStart w:id="664" w:name="_Toc342060357"/>
      <w:bookmarkStart w:id="665" w:name="_Toc16486"/>
      <w:bookmarkStart w:id="666" w:name="_Toc341348321"/>
      <w:bookmarkStart w:id="667" w:name="_Toc339019872"/>
      <w:bookmarkStart w:id="668" w:name="_Toc345513850"/>
      <w:bookmarkStart w:id="669" w:name="_Toc366072511"/>
      <w:bookmarkStart w:id="670" w:name="_Toc339362283"/>
      <w:bookmarkStart w:id="671" w:name="_Toc342296743"/>
      <w:bookmarkStart w:id="672" w:name="_Toc340507425"/>
      <w:r>
        <w:rPr>
          <w:rFonts w:hint="eastAsia"/>
          <w:color w:val="000000" w:themeColor="text1"/>
          <w:highlight w:val="none"/>
        </w:rPr>
        <w:t>货物和服务的证明文件</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380CC759">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 xml:space="preserve">12.1 </w:t>
      </w:r>
      <w:r>
        <w:rPr>
          <w:rFonts w:hint="eastAsia" w:ascii="宋体" w:hAnsi="宋体"/>
          <w:bCs/>
          <w:color w:val="000000" w:themeColor="text1"/>
          <w:highlight w:val="none"/>
        </w:rPr>
        <w:tab/>
      </w:r>
      <w:r>
        <w:rPr>
          <w:rFonts w:hint="eastAsia" w:ascii="宋体" w:hAnsi="宋体"/>
          <w:bCs/>
          <w:color w:val="000000" w:themeColor="text1"/>
          <w:highlight w:val="none"/>
        </w:rPr>
        <w:t>投标人应提交其拟供的合同项下的货物和服务的合格性符合招标文件规定的证明文件，并作为其投标文件的一部分。</w:t>
      </w:r>
    </w:p>
    <w:p w14:paraId="302E4906">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12.2</w:t>
      </w:r>
      <w:r>
        <w:rPr>
          <w:rFonts w:hint="eastAsia" w:ascii="宋体" w:hAnsi="宋体"/>
          <w:bCs/>
          <w:color w:val="000000" w:themeColor="text1"/>
          <w:highlight w:val="none"/>
        </w:rPr>
        <w:tab/>
      </w:r>
      <w:r>
        <w:rPr>
          <w:rFonts w:hint="eastAsia" w:ascii="宋体" w:hAnsi="宋体"/>
          <w:bCs/>
          <w:color w:val="000000" w:themeColor="text1"/>
          <w:highlight w:val="none"/>
        </w:rPr>
        <w:t xml:space="preserve"> 证明货物和服务与招标文件的要求相一致的文件，它可以是文字资料、图纸、手册和数据，包括：</w:t>
      </w:r>
    </w:p>
    <w:p w14:paraId="3056E947">
      <w:pPr>
        <w:numPr>
          <w:ilvl w:val="5"/>
          <w:numId w:val="23"/>
        </w:numPr>
        <w:tabs>
          <w:tab w:val="left" w:pos="735"/>
          <w:tab w:val="left" w:pos="3798"/>
          <w:tab w:val="clear" w:pos="2520"/>
        </w:tabs>
        <w:autoSpaceDE w:val="0"/>
        <w:autoSpaceDN w:val="0"/>
        <w:adjustRightInd w:val="0"/>
        <w:snapToGrid w:val="0"/>
        <w:spacing w:line="360" w:lineRule="auto"/>
        <w:ind w:left="735" w:hanging="315"/>
        <w:rPr>
          <w:rFonts w:ascii="宋体" w:hAnsi="宋体"/>
          <w:bCs/>
          <w:color w:val="000000" w:themeColor="text1"/>
          <w:highlight w:val="none"/>
        </w:rPr>
      </w:pPr>
      <w:r>
        <w:rPr>
          <w:rFonts w:hint="eastAsia" w:ascii="宋体" w:hAnsi="宋体"/>
          <w:bCs/>
          <w:color w:val="000000" w:themeColor="text1"/>
          <w:highlight w:val="none"/>
        </w:rPr>
        <w:t>货物主要技术指标和性能的详细说明。</w:t>
      </w:r>
    </w:p>
    <w:p w14:paraId="49DD72DC">
      <w:pPr>
        <w:numPr>
          <w:ilvl w:val="5"/>
          <w:numId w:val="23"/>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rPr>
      </w:pPr>
      <w:r>
        <w:rPr>
          <w:rFonts w:hint="eastAsia" w:ascii="宋体" w:hAnsi="宋体"/>
          <w:bCs/>
          <w:color w:val="000000" w:themeColor="text1"/>
          <w:highlight w:val="none"/>
        </w:rPr>
        <w:t>货物从采购人开始使用至招标要求中规定的周期内正常、连续地使用所必须的备件和专用工具清单，包括备件和专用工具的货源及现行价格。</w:t>
      </w:r>
    </w:p>
    <w:p w14:paraId="6D895C7E">
      <w:pPr>
        <w:numPr>
          <w:ilvl w:val="5"/>
          <w:numId w:val="23"/>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rPr>
      </w:pPr>
      <w:r>
        <w:rPr>
          <w:rFonts w:hint="eastAsia" w:ascii="宋体" w:hAnsi="宋体"/>
          <w:bCs/>
          <w:color w:val="000000" w:themeColor="text1"/>
          <w:highlight w:val="none"/>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14:paraId="694311B7">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12.3</w:t>
      </w:r>
      <w:r>
        <w:rPr>
          <w:rFonts w:hint="eastAsia" w:ascii="宋体" w:hAnsi="宋体"/>
          <w:bCs/>
          <w:color w:val="000000" w:themeColor="text1"/>
          <w:highlight w:val="none"/>
        </w:rPr>
        <w:tab/>
      </w:r>
      <w:r>
        <w:rPr>
          <w:rFonts w:hint="eastAsia" w:ascii="宋体" w:hAnsi="宋体"/>
          <w:bCs/>
          <w:color w:val="000000" w:themeColor="text1"/>
          <w:highlight w:val="none"/>
        </w:rPr>
        <w:t xml:space="preserve"> </w:t>
      </w:r>
      <w:r>
        <w:rPr>
          <w:rFonts w:hint="eastAsia"/>
          <w:color w:val="000000" w:themeColor="text1"/>
          <w:highlight w:val="none"/>
        </w:rPr>
        <w:t>投标人在阐述上述第</w:t>
      </w:r>
      <w:r>
        <w:rPr>
          <w:rFonts w:hint="eastAsia" w:ascii="宋体" w:hAnsi="宋体"/>
          <w:color w:val="000000" w:themeColor="text1"/>
          <w:highlight w:val="none"/>
        </w:rPr>
        <w:t>12.2（3）</w:t>
      </w:r>
      <w:r>
        <w:rPr>
          <w:rFonts w:hint="eastAsia"/>
          <w:color w:val="000000" w:themeColor="text1"/>
          <w:highlight w:val="none"/>
        </w:rPr>
        <w:t>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14:paraId="3EF08A8B">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color w:val="000000" w:themeColor="text1"/>
          <w:highlight w:val="none"/>
        </w:rPr>
        <w:t>12.4   评标委员会对投标人所提供的证明货物和服务的合格性的文件进行审查，审查不合格的投标将作为无效投标处理。</w:t>
      </w:r>
    </w:p>
    <w:p w14:paraId="1ECEAD3E">
      <w:pPr>
        <w:pStyle w:val="4"/>
        <w:numPr>
          <w:ilvl w:val="4"/>
          <w:numId w:val="23"/>
        </w:numPr>
        <w:tabs>
          <w:tab w:val="left" w:pos="720"/>
        </w:tabs>
        <w:spacing w:before="240" w:after="120"/>
        <w:ind w:left="2432" w:hanging="2432"/>
        <w:rPr>
          <w:color w:val="000000" w:themeColor="text1"/>
          <w:highlight w:val="none"/>
        </w:rPr>
      </w:pPr>
      <w:bookmarkStart w:id="673" w:name="_Toc350438733"/>
      <w:bookmarkStart w:id="674" w:name="_Toc339020217"/>
      <w:bookmarkStart w:id="675" w:name="_Toc345513851"/>
      <w:bookmarkStart w:id="676" w:name="_Toc333238617"/>
      <w:bookmarkStart w:id="677" w:name="_Toc341348322"/>
      <w:bookmarkStart w:id="678" w:name="_Toc339019873"/>
      <w:bookmarkStart w:id="679" w:name="_Toc336681564"/>
      <w:bookmarkStart w:id="680" w:name="_Toc365985163"/>
      <w:bookmarkStart w:id="681" w:name="_Toc349127610"/>
      <w:bookmarkStart w:id="682" w:name="_Toc333935330"/>
      <w:bookmarkStart w:id="683" w:name="_Toc331684022"/>
      <w:bookmarkStart w:id="684" w:name="_Toc503785411"/>
      <w:bookmarkStart w:id="685" w:name="_Toc330459969"/>
      <w:bookmarkStart w:id="686" w:name="_Toc350756434"/>
      <w:bookmarkStart w:id="687" w:name="_Toc331512882"/>
      <w:bookmarkStart w:id="688" w:name="_Toc365967057"/>
      <w:bookmarkStart w:id="689" w:name="_Toc342296744"/>
      <w:bookmarkStart w:id="690" w:name="_Toc333237661"/>
      <w:bookmarkStart w:id="691" w:name="_Toc366072512"/>
      <w:bookmarkStart w:id="692" w:name="_Toc336681919"/>
      <w:bookmarkStart w:id="693" w:name="_Toc333237772"/>
      <w:bookmarkStart w:id="694" w:name="_Toc333935671"/>
      <w:bookmarkStart w:id="695" w:name="_Toc497224209"/>
      <w:bookmarkStart w:id="696" w:name="_Toc374454584"/>
      <w:bookmarkStart w:id="697" w:name="_Toc342060358"/>
      <w:bookmarkStart w:id="698" w:name="_Toc339362284"/>
      <w:bookmarkStart w:id="699" w:name="_Toc339441071"/>
      <w:bookmarkStart w:id="700" w:name="_Toc332270330"/>
      <w:bookmarkStart w:id="701" w:name="_Toc349143573"/>
      <w:bookmarkStart w:id="702" w:name="_Toc337632342"/>
      <w:bookmarkStart w:id="703" w:name="_Toc340507426"/>
      <w:bookmarkStart w:id="704" w:name="_Toc339019999"/>
      <w:bookmarkStart w:id="705" w:name="_Toc332206692"/>
      <w:bookmarkStart w:id="706" w:name="_Toc340677054"/>
      <w:bookmarkStart w:id="707" w:name="_Toc339020079"/>
      <w:bookmarkStart w:id="708" w:name="_Toc340672853"/>
      <w:bookmarkStart w:id="709" w:name="_Toc19522"/>
      <w:r>
        <w:rPr>
          <w:rFonts w:hint="eastAsia"/>
          <w:color w:val="000000" w:themeColor="text1"/>
          <w:highlight w:val="none"/>
        </w:rPr>
        <w:t>投标报价与投标货币</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6F6A0AE7">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13.1</w:t>
      </w:r>
      <w:r>
        <w:rPr>
          <w:rFonts w:hint="eastAsia" w:ascii="宋体" w:hAnsi="宋体"/>
          <w:color w:val="000000" w:themeColor="text1"/>
          <w:highlight w:val="none"/>
        </w:rPr>
        <w:tab/>
      </w:r>
      <w:r>
        <w:rPr>
          <w:rFonts w:hint="eastAsia" w:ascii="宋体" w:hAnsi="宋体"/>
          <w:color w:val="000000" w:themeColor="text1"/>
          <w:highlight w:val="none"/>
        </w:rPr>
        <w:t xml:space="preserve"> 投标报价应为包括设备费、备品备件费、运输费、安装调试费、技术资料费、验收费、应缴税费、培训费和质量保证期内维修费等在内的</w:t>
      </w:r>
      <w:r>
        <w:rPr>
          <w:rFonts w:hint="eastAsia" w:ascii="宋体" w:hAnsi="宋体"/>
          <w:bCs/>
          <w:color w:val="000000" w:themeColor="text1"/>
          <w:highlight w:val="none"/>
        </w:rPr>
        <w:t>价格。</w:t>
      </w:r>
    </w:p>
    <w:p w14:paraId="411F5B2F">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13.2   投标报价为一次性报价，开标后不得更改。</w:t>
      </w:r>
    </w:p>
    <w:p w14:paraId="5960C673">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13.3</w:t>
      </w:r>
      <w:r>
        <w:rPr>
          <w:rFonts w:hint="eastAsia" w:ascii="宋体" w:hAnsi="宋体"/>
          <w:color w:val="000000" w:themeColor="text1"/>
          <w:highlight w:val="none"/>
        </w:rPr>
        <w:tab/>
      </w:r>
      <w:r>
        <w:rPr>
          <w:rFonts w:hint="eastAsia" w:ascii="宋体" w:hAnsi="宋体"/>
          <w:color w:val="000000" w:themeColor="text1"/>
          <w:highlight w:val="none"/>
        </w:rPr>
        <w:t>投标人对货物只允许有一个报价，任何有选择报价的投标将被拒绝。</w:t>
      </w:r>
    </w:p>
    <w:p w14:paraId="06E3D882">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13.4   投标人所报出的投标价在合同执行过程中是固定不变的，不得以任何理由予以变更。</w:t>
      </w:r>
    </w:p>
    <w:p w14:paraId="25C64BA4">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13.5   投标价格一律用人民币填报。</w:t>
      </w:r>
    </w:p>
    <w:p w14:paraId="1337B685">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13.6   投标人在投标文件中如有任何遗漏，影响到招标文件中规定的范围、质量、性能和项目的实施或限制了采购人的权利和投标人的义务，由此产生的费用由投标人负责。</w:t>
      </w:r>
    </w:p>
    <w:p w14:paraId="2378B02C">
      <w:pPr>
        <w:pStyle w:val="4"/>
        <w:numPr>
          <w:ilvl w:val="4"/>
          <w:numId w:val="23"/>
        </w:numPr>
        <w:tabs>
          <w:tab w:val="left" w:pos="720"/>
        </w:tabs>
        <w:spacing w:before="240" w:after="120"/>
        <w:ind w:left="2432" w:hanging="2432"/>
        <w:rPr>
          <w:color w:val="000000" w:themeColor="text1"/>
          <w:highlight w:val="none"/>
        </w:rPr>
      </w:pPr>
      <w:bookmarkStart w:id="710" w:name="_Toc349127611"/>
      <w:bookmarkStart w:id="711" w:name="_Toc332270331"/>
      <w:bookmarkStart w:id="712" w:name="_Toc341348323"/>
      <w:bookmarkStart w:id="713" w:name="_Toc340677055"/>
      <w:bookmarkStart w:id="714" w:name="_Toc331684023"/>
      <w:bookmarkStart w:id="715" w:name="_Toc340507427"/>
      <w:bookmarkStart w:id="716" w:name="_Toc340672854"/>
      <w:bookmarkStart w:id="717" w:name="_Toc365967058"/>
      <w:bookmarkStart w:id="718" w:name="_Toc342060359"/>
      <w:bookmarkStart w:id="719" w:name="_Toc333935672"/>
      <w:bookmarkStart w:id="720" w:name="_Toc339020000"/>
      <w:bookmarkStart w:id="721" w:name="_Toc339020080"/>
      <w:bookmarkStart w:id="722" w:name="_Toc333237773"/>
      <w:bookmarkStart w:id="723" w:name="_Toc350438734"/>
      <w:bookmarkStart w:id="724" w:name="_Toc333935331"/>
      <w:bookmarkStart w:id="725" w:name="_Toc345513852"/>
      <w:bookmarkStart w:id="726" w:name="_Toc333238618"/>
      <w:bookmarkStart w:id="727" w:name="_Toc374454585"/>
      <w:bookmarkStart w:id="728" w:name="_Toc339020218"/>
      <w:bookmarkStart w:id="729" w:name="_Toc339441072"/>
      <w:bookmarkStart w:id="730" w:name="_Toc331512883"/>
      <w:bookmarkStart w:id="731" w:name="_Toc497224212"/>
      <w:bookmarkStart w:id="732" w:name="_Toc350756435"/>
      <w:bookmarkStart w:id="733" w:name="_Toc10260"/>
      <w:bookmarkStart w:id="734" w:name="_Toc339362285"/>
      <w:bookmarkStart w:id="735" w:name="_Toc336681920"/>
      <w:bookmarkStart w:id="736" w:name="_Toc342296745"/>
      <w:bookmarkStart w:id="737" w:name="_Toc332206693"/>
      <w:bookmarkStart w:id="738" w:name="_Toc337632343"/>
      <w:bookmarkStart w:id="739" w:name="_Toc365985164"/>
      <w:bookmarkStart w:id="740" w:name="_Toc349143574"/>
      <w:bookmarkStart w:id="741" w:name="_Toc339019874"/>
      <w:bookmarkStart w:id="742" w:name="_Toc336681565"/>
      <w:bookmarkStart w:id="743" w:name="_Toc333237662"/>
      <w:bookmarkStart w:id="744" w:name="_Toc503785414"/>
      <w:bookmarkStart w:id="745" w:name="_Toc330459970"/>
      <w:bookmarkStart w:id="746" w:name="_Toc366072513"/>
      <w:r>
        <w:rPr>
          <w:rFonts w:hint="eastAsia"/>
          <w:color w:val="000000" w:themeColor="text1"/>
          <w:highlight w:val="none"/>
        </w:rPr>
        <w:t>投标保证金</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74CA8732">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.1</w:t>
      </w:r>
      <w:r>
        <w:rPr>
          <w:rFonts w:ascii="宋体"/>
          <w:bCs/>
          <w:color w:val="000000" w:themeColor="text1"/>
          <w:highlight w:val="none"/>
        </w:rPr>
        <w:tab/>
      </w:r>
      <w:r>
        <w:rPr>
          <w:rFonts w:hint="eastAsia" w:ascii="宋体"/>
          <w:bCs/>
          <w:color w:val="000000" w:themeColor="text1"/>
          <w:highlight w:val="none"/>
        </w:rPr>
        <w:t xml:space="preserve"> 投标保证金为投标文件的重要组成部分之一。</w:t>
      </w:r>
    </w:p>
    <w:p w14:paraId="528F340D">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color w:val="000000" w:themeColor="text1"/>
          <w:highlight w:val="none"/>
        </w:rPr>
        <w:t>14.2   投标人在投标时应按照招标文件商务要求中规定的形式和金额提交投标保证金。</w:t>
      </w:r>
    </w:p>
    <w:p w14:paraId="12AA6AD7">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bCs/>
          <w:color w:val="000000" w:themeColor="text1"/>
          <w:highlight w:val="none"/>
        </w:rPr>
        <w:t>14.3</w:t>
      </w:r>
      <w:r>
        <w:rPr>
          <w:rFonts w:hint="eastAsia" w:ascii="宋体"/>
          <w:bCs/>
          <w:color w:val="000000" w:themeColor="text1"/>
          <w:highlight w:val="none"/>
        </w:rPr>
        <w:tab/>
      </w:r>
      <w:r>
        <w:rPr>
          <w:rFonts w:hint="eastAsia" w:ascii="宋体"/>
          <w:bCs/>
          <w:color w:val="000000" w:themeColor="text1"/>
          <w:highlight w:val="none"/>
        </w:rPr>
        <w:t>投标保证金用于保护本次招标免遭因投标人的行为而蒙受的损失。</w:t>
      </w:r>
      <w:r>
        <w:rPr>
          <w:rFonts w:hint="eastAsia" w:ascii="宋体" w:hAnsi="宋体"/>
          <w:color w:val="000000" w:themeColor="text1"/>
          <w:highlight w:val="none"/>
        </w:rPr>
        <w:t>代理采购机构在因投标人的行为受到损害时，可根据第14.7条的规定，投标人的投标保证金不予退还。</w:t>
      </w:r>
    </w:p>
    <w:p w14:paraId="5F6D2F50">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4</w:t>
      </w:r>
      <w:r>
        <w:rPr>
          <w:rFonts w:hint="eastAsia" w:ascii="宋体"/>
          <w:bCs/>
          <w:color w:val="000000" w:themeColor="text1"/>
          <w:highlight w:val="none"/>
        </w:rPr>
        <w:tab/>
      </w:r>
      <w:r>
        <w:rPr>
          <w:rFonts w:hint="eastAsia" w:ascii="宋体" w:hAnsi="宋体"/>
          <w:bCs/>
          <w:color w:val="000000" w:themeColor="text1"/>
          <w:highlight w:val="none"/>
        </w:rPr>
        <w:t>凡未按本须知第14.2条规定随附有效投标保证金的投标</w:t>
      </w:r>
      <w:r>
        <w:rPr>
          <w:rFonts w:ascii="宋体" w:hAnsi="宋体"/>
          <w:bCs/>
          <w:color w:val="000000" w:themeColor="text1"/>
          <w:highlight w:val="none"/>
        </w:rPr>
        <w:t>,</w:t>
      </w:r>
      <w:r>
        <w:rPr>
          <w:rFonts w:hint="eastAsia" w:ascii="宋体" w:hAnsi="宋体"/>
          <w:bCs/>
          <w:color w:val="000000" w:themeColor="text1"/>
          <w:highlight w:val="none"/>
        </w:rPr>
        <w:t>将被视为非实质性响应投标作无效投标处理。</w:t>
      </w:r>
    </w:p>
    <w:p w14:paraId="3C9A6C3C">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5</w:t>
      </w:r>
      <w:r>
        <w:rPr>
          <w:rFonts w:ascii="宋体"/>
          <w:bCs/>
          <w:color w:val="000000" w:themeColor="text1"/>
          <w:highlight w:val="none"/>
        </w:rPr>
        <w:tab/>
      </w:r>
      <w:r>
        <w:rPr>
          <w:rFonts w:hint="eastAsia" w:ascii="宋体" w:hAnsi="宋体"/>
          <w:bCs/>
          <w:color w:val="000000" w:themeColor="text1"/>
          <w:highlight w:val="none"/>
        </w:rPr>
        <w:t>未中标的投标人的投标保证金，采购</w:t>
      </w:r>
      <w:r>
        <w:rPr>
          <w:rFonts w:hint="eastAsia" w:ascii="宋体" w:hAnsi="宋体"/>
          <w:bCs/>
          <w:color w:val="000000" w:themeColor="text1"/>
          <w:szCs w:val="21"/>
          <w:highlight w:val="none"/>
        </w:rPr>
        <w:t>代理</w:t>
      </w:r>
      <w:r>
        <w:rPr>
          <w:rFonts w:hint="eastAsia" w:ascii="宋体" w:hAnsi="宋体"/>
          <w:bCs/>
          <w:color w:val="000000" w:themeColor="text1"/>
          <w:highlight w:val="none"/>
        </w:rPr>
        <w:t>机构应当自中标通知书发出之日起5个工作日内无息退还。</w:t>
      </w:r>
    </w:p>
    <w:p w14:paraId="0BC2BFB0">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6</w:t>
      </w:r>
      <w:r>
        <w:rPr>
          <w:rFonts w:ascii="宋体"/>
          <w:bCs/>
          <w:color w:val="000000" w:themeColor="text1"/>
          <w:highlight w:val="none"/>
        </w:rPr>
        <w:tab/>
      </w:r>
      <w:r>
        <w:rPr>
          <w:rFonts w:hint="eastAsia" w:ascii="宋体" w:hAnsi="宋体"/>
          <w:bCs/>
          <w:color w:val="000000" w:themeColor="text1"/>
          <w:highlight w:val="none"/>
        </w:rPr>
        <w:t>中标投标人的投标保证金</w:t>
      </w:r>
      <w:r>
        <w:rPr>
          <w:rFonts w:ascii="宋体" w:hAnsi="宋体"/>
          <w:bCs/>
          <w:color w:val="000000" w:themeColor="text1"/>
          <w:highlight w:val="none"/>
        </w:rPr>
        <w:t>，</w:t>
      </w:r>
      <w:r>
        <w:rPr>
          <w:rFonts w:hint="eastAsia" w:ascii="宋体" w:hAnsi="宋体"/>
          <w:bCs/>
          <w:color w:val="000000" w:themeColor="text1"/>
          <w:highlight w:val="none"/>
        </w:rPr>
        <w:t>在中标投标人付清中标服务费、签订合同之日起5个工作日内无息退</w:t>
      </w:r>
      <w:r>
        <w:rPr>
          <w:rFonts w:hint="eastAsia" w:ascii="宋体"/>
          <w:bCs/>
          <w:color w:val="000000" w:themeColor="text1"/>
          <w:highlight w:val="none"/>
        </w:rPr>
        <w:t>还。</w:t>
      </w:r>
    </w:p>
    <w:p w14:paraId="41E73FA3">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7</w:t>
      </w:r>
      <w:r>
        <w:rPr>
          <w:rFonts w:ascii="宋体"/>
          <w:bCs/>
          <w:color w:val="000000" w:themeColor="text1"/>
          <w:highlight w:val="none"/>
        </w:rPr>
        <w:tab/>
      </w:r>
      <w:r>
        <w:rPr>
          <w:rFonts w:hint="eastAsia" w:ascii="宋体"/>
          <w:bCs/>
          <w:color w:val="000000" w:themeColor="text1"/>
          <w:highlight w:val="none"/>
        </w:rPr>
        <w:t>发生以下情况之一的，投标保证金将不予退还：</w:t>
      </w:r>
    </w:p>
    <w:p w14:paraId="6D607C6A">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（1）投标人在招标文件中规定的投标有效期内撤回其投标文件；</w:t>
      </w:r>
    </w:p>
    <w:p w14:paraId="1912D257">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（2）中标投标人未能按招标文件的规定签订合同；</w:t>
      </w:r>
    </w:p>
    <w:p w14:paraId="03374D40">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（3）中标投标人未能按招标文件的有关规定交纳中标服务费；</w:t>
      </w:r>
    </w:p>
    <w:p w14:paraId="55BE766F">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（4）投标人提供虚假投标文件或虚假补充文件的。</w:t>
      </w:r>
    </w:p>
    <w:p w14:paraId="3EF8B71B">
      <w:pPr>
        <w:pStyle w:val="4"/>
        <w:numPr>
          <w:ilvl w:val="4"/>
          <w:numId w:val="23"/>
        </w:numPr>
        <w:tabs>
          <w:tab w:val="left" w:pos="720"/>
        </w:tabs>
        <w:spacing w:before="240" w:after="120"/>
        <w:ind w:left="2432" w:hanging="2432"/>
        <w:rPr>
          <w:color w:val="000000" w:themeColor="text1"/>
          <w:highlight w:val="none"/>
        </w:rPr>
      </w:pPr>
      <w:bookmarkStart w:id="747" w:name="_Toc365985165"/>
      <w:bookmarkStart w:id="748" w:name="_Toc366072514"/>
      <w:bookmarkStart w:id="749" w:name="_Toc339441073"/>
      <w:bookmarkStart w:id="750" w:name="_Toc340507428"/>
      <w:bookmarkStart w:id="751" w:name="_Toc332270332"/>
      <w:bookmarkStart w:id="752" w:name="_Toc332206694"/>
      <w:bookmarkStart w:id="753" w:name="_Toc339020001"/>
      <w:bookmarkStart w:id="754" w:name="_Toc340677056"/>
      <w:bookmarkStart w:id="755" w:name="_Toc330459971"/>
      <w:bookmarkStart w:id="756" w:name="_Toc365967059"/>
      <w:bookmarkStart w:id="757" w:name="_Toc333237774"/>
      <w:bookmarkStart w:id="758" w:name="_Toc331512884"/>
      <w:bookmarkStart w:id="759" w:name="_Toc336681566"/>
      <w:bookmarkStart w:id="760" w:name="_Toc339019875"/>
      <w:bookmarkStart w:id="761" w:name="_Toc350756436"/>
      <w:bookmarkStart w:id="762" w:name="_Toc374454586"/>
      <w:bookmarkStart w:id="763" w:name="_Toc342296746"/>
      <w:bookmarkStart w:id="764" w:name="_Toc350438735"/>
      <w:bookmarkStart w:id="765" w:name="_Toc339020219"/>
      <w:bookmarkStart w:id="766" w:name="_Toc333238619"/>
      <w:bookmarkStart w:id="767" w:name="_Toc336681921"/>
      <w:bookmarkStart w:id="768" w:name="_Toc503785415"/>
      <w:bookmarkStart w:id="769" w:name="_Toc339362286"/>
      <w:bookmarkStart w:id="770" w:name="_Toc331684024"/>
      <w:bookmarkStart w:id="771" w:name="_Toc333237663"/>
      <w:bookmarkStart w:id="772" w:name="_Toc342060360"/>
      <w:bookmarkStart w:id="773" w:name="_Toc337632344"/>
      <w:bookmarkStart w:id="774" w:name="_Toc345513853"/>
      <w:bookmarkStart w:id="775" w:name="_Toc333935673"/>
      <w:bookmarkStart w:id="776" w:name="_Toc349143575"/>
      <w:bookmarkStart w:id="777" w:name="_Toc497224213"/>
      <w:bookmarkStart w:id="778" w:name="_Toc339020081"/>
      <w:bookmarkStart w:id="779" w:name="_Toc26590"/>
      <w:bookmarkStart w:id="780" w:name="_Toc333935332"/>
      <w:bookmarkStart w:id="781" w:name="_Toc349127612"/>
      <w:bookmarkStart w:id="782" w:name="_Toc341348324"/>
      <w:bookmarkStart w:id="783" w:name="_Toc340672855"/>
      <w:r>
        <w:rPr>
          <w:rFonts w:hint="eastAsia"/>
          <w:color w:val="000000" w:themeColor="text1"/>
          <w:highlight w:val="none"/>
        </w:rPr>
        <w:t>投标有效期</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1CAA3617">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5</w:t>
      </w:r>
      <w:r>
        <w:rPr>
          <w:rFonts w:ascii="宋体"/>
          <w:bCs/>
          <w:color w:val="000000" w:themeColor="text1"/>
          <w:highlight w:val="none"/>
        </w:rPr>
        <w:t>.1</w:t>
      </w:r>
      <w:r>
        <w:rPr>
          <w:rFonts w:hint="eastAsia" w:ascii="宋体"/>
          <w:bCs/>
          <w:color w:val="000000" w:themeColor="text1"/>
          <w:highlight w:val="none"/>
        </w:rPr>
        <w:t xml:space="preserve"> </w:t>
      </w:r>
      <w:r>
        <w:rPr>
          <w:rFonts w:hint="eastAsia" w:ascii="宋体"/>
          <w:bCs/>
          <w:color w:val="000000" w:themeColor="text1"/>
          <w:highlight w:val="none"/>
        </w:rPr>
        <w:tab/>
      </w:r>
      <w:r>
        <w:rPr>
          <w:rFonts w:hint="eastAsia" w:ascii="宋体"/>
          <w:bCs/>
          <w:color w:val="000000" w:themeColor="text1"/>
          <w:highlight w:val="none"/>
        </w:rPr>
        <w:t>从开标之日起，本项目的投标有效期为90天。</w:t>
      </w:r>
    </w:p>
    <w:p w14:paraId="0BB56EFB">
      <w:pPr>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5</w:t>
      </w:r>
      <w:r>
        <w:rPr>
          <w:rFonts w:ascii="宋体"/>
          <w:bCs/>
          <w:color w:val="000000" w:themeColor="text1"/>
          <w:highlight w:val="none"/>
        </w:rPr>
        <w:t>.2</w:t>
      </w:r>
      <w:r>
        <w:rPr>
          <w:rFonts w:hint="eastAsia" w:ascii="宋体"/>
          <w:bCs/>
          <w:color w:val="000000" w:themeColor="text1"/>
          <w:highlight w:val="none"/>
        </w:rPr>
        <w:tab/>
      </w:r>
      <w:r>
        <w:rPr>
          <w:rFonts w:hint="eastAsia" w:ascii="宋体"/>
          <w:bCs/>
          <w:color w:val="000000" w:themeColor="text1"/>
          <w:highlight w:val="none"/>
        </w:rPr>
        <w:t>在特殊情况下，代理采购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14:paraId="79801680">
      <w:pPr>
        <w:pStyle w:val="4"/>
        <w:numPr>
          <w:ilvl w:val="4"/>
          <w:numId w:val="23"/>
        </w:numPr>
        <w:tabs>
          <w:tab w:val="left" w:pos="720"/>
        </w:tabs>
        <w:spacing w:before="240" w:after="120"/>
        <w:ind w:left="2432" w:hanging="2432"/>
        <w:rPr>
          <w:color w:val="000000" w:themeColor="text1"/>
          <w:highlight w:val="none"/>
        </w:rPr>
      </w:pPr>
      <w:bookmarkStart w:id="784" w:name="_Toc332270333"/>
      <w:bookmarkStart w:id="785" w:name="_Toc331684025"/>
      <w:bookmarkStart w:id="786" w:name="_Toc350756437"/>
      <w:bookmarkStart w:id="787" w:name="_Toc332206695"/>
      <w:bookmarkStart w:id="788" w:name="_Toc365967060"/>
      <w:bookmarkStart w:id="789" w:name="_Toc374454587"/>
      <w:bookmarkStart w:id="790" w:name="_Toc497224214"/>
      <w:bookmarkStart w:id="791" w:name="_Toc365985166"/>
      <w:bookmarkStart w:id="792" w:name="_Toc345513854"/>
      <w:bookmarkStart w:id="793" w:name="_Toc350438736"/>
      <w:bookmarkStart w:id="794" w:name="_Toc336681922"/>
      <w:bookmarkStart w:id="795" w:name="_Toc339020002"/>
      <w:bookmarkStart w:id="796" w:name="_Toc331512885"/>
      <w:bookmarkStart w:id="797" w:name="_Toc339019876"/>
      <w:bookmarkStart w:id="798" w:name="_Toc342296747"/>
      <w:bookmarkStart w:id="799" w:name="_Toc336681567"/>
      <w:bookmarkStart w:id="800" w:name="_Toc339362287"/>
      <w:bookmarkStart w:id="801" w:name="_Toc333237775"/>
      <w:bookmarkStart w:id="802" w:name="_Toc366072515"/>
      <w:bookmarkStart w:id="803" w:name="_Toc340672856"/>
      <w:bookmarkStart w:id="804" w:name="_Toc339020220"/>
      <w:bookmarkStart w:id="805" w:name="_Toc333237664"/>
      <w:bookmarkStart w:id="806" w:name="_Toc349143576"/>
      <w:bookmarkStart w:id="807" w:name="_Toc342060361"/>
      <w:bookmarkStart w:id="808" w:name="_Toc111534389"/>
      <w:bookmarkStart w:id="809" w:name="_Toc340677057"/>
      <w:bookmarkStart w:id="810" w:name="_Toc339020082"/>
      <w:bookmarkStart w:id="811" w:name="_Toc341348325"/>
      <w:bookmarkStart w:id="812" w:name="_Toc333238620"/>
      <w:bookmarkStart w:id="813" w:name="_Toc333935674"/>
      <w:bookmarkStart w:id="814" w:name="_Toc333935333"/>
      <w:bookmarkStart w:id="815" w:name="_Toc349127613"/>
      <w:bookmarkStart w:id="816" w:name="_Toc339441074"/>
      <w:bookmarkStart w:id="817" w:name="_Toc337632345"/>
      <w:bookmarkStart w:id="818" w:name="_Toc503785416"/>
      <w:bookmarkStart w:id="819" w:name="_Toc330459972"/>
      <w:bookmarkStart w:id="820" w:name="_Toc340507429"/>
      <w:bookmarkStart w:id="821" w:name="_Toc31345"/>
      <w:r>
        <w:rPr>
          <w:rFonts w:hint="eastAsia"/>
          <w:color w:val="000000" w:themeColor="text1"/>
          <w:highlight w:val="none"/>
        </w:rPr>
        <w:t>投标文件的签署及规定</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0F89931D">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6</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投标人应按所投项目准备正本和副本，在每一份投标文件上要明确标明“正本”或“副本”。如正本的内容和副本不符，以正本为准（注：投标文件副本可为正本的复印件）。电子文件</w:t>
      </w:r>
      <w:r>
        <w:rPr>
          <w:rFonts w:hint="eastAsia"/>
          <w:color w:val="000000" w:themeColor="text1"/>
          <w:szCs w:val="21"/>
          <w:highlight w:val="none"/>
        </w:rPr>
        <w:t>只接受PDF格式的电子文件（电子文件须单独密封，在封皮上注明“（公司名称）投标电子版”并加盖公章）。</w:t>
      </w:r>
    </w:p>
    <w:p w14:paraId="475A28ED">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6</w:t>
      </w:r>
      <w:r>
        <w:rPr>
          <w:rFonts w:ascii="宋体"/>
          <w:bCs/>
          <w:color w:val="000000" w:themeColor="text1"/>
          <w:highlight w:val="none"/>
        </w:rPr>
        <w:t>.2</w:t>
      </w:r>
      <w:r>
        <w:rPr>
          <w:rFonts w:hint="eastAsia" w:ascii="宋体"/>
          <w:bCs/>
          <w:color w:val="000000" w:themeColor="text1"/>
          <w:highlight w:val="none"/>
        </w:rPr>
        <w:tab/>
      </w:r>
      <w:r>
        <w:rPr>
          <w:rFonts w:hint="eastAsia" w:ascii="宋体" w:hAnsi="宋体"/>
          <w:bCs/>
          <w:color w:val="000000" w:themeColor="text1"/>
          <w:highlight w:val="none"/>
        </w:rPr>
        <w:t>投标文件正本须用不褪色墨水书写或打印，并由投标人的法定代表人（负责人）或经法定代表人（负责人）正式授权的代表签字，并加盖公章、骑缝章。投标人须将以书面形式出具的“法定代表人（负责人）授权委托书”附在投标文件中。</w:t>
      </w:r>
    </w:p>
    <w:p w14:paraId="6C896C77">
      <w:pPr>
        <w:widowControl/>
        <w:tabs>
          <w:tab w:val="left" w:pos="753"/>
        </w:tabs>
        <w:adjustRightInd w:val="0"/>
        <w:snapToGrid w:val="0"/>
        <w:spacing w:line="360" w:lineRule="auto"/>
        <w:ind w:left="630" w:hanging="630" w:hangingChars="300"/>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6</w:t>
      </w:r>
      <w:r>
        <w:rPr>
          <w:rFonts w:ascii="宋体"/>
          <w:bCs/>
          <w:color w:val="000000" w:themeColor="text1"/>
          <w:highlight w:val="none"/>
        </w:rPr>
        <w:t>.3</w:t>
      </w:r>
      <w:r>
        <w:rPr>
          <w:rFonts w:hint="eastAsia" w:ascii="宋体"/>
          <w:bCs/>
          <w:color w:val="000000" w:themeColor="text1"/>
          <w:highlight w:val="none"/>
        </w:rPr>
        <w:tab/>
      </w:r>
      <w:r>
        <w:rPr>
          <w:rFonts w:hint="eastAsia" w:ascii="宋体"/>
          <w:bCs/>
          <w:color w:val="000000" w:themeColor="text1"/>
          <w:highlight w:val="none"/>
        </w:rPr>
        <w:t xml:space="preserve"> 除投标人对差错处做必要修改外，投标文件中不允许有行间插字、涂改或增删，如有修改错漏处，必须由投标文件的签署人签字并在修改错漏处加盖公章，以示确认。</w:t>
      </w:r>
    </w:p>
    <w:p w14:paraId="4C40981E">
      <w:pPr>
        <w:pStyle w:val="3"/>
        <w:numPr>
          <w:ilvl w:val="0"/>
          <w:numId w:val="0"/>
        </w:numPr>
        <w:rPr>
          <w:color w:val="000000" w:themeColor="text1"/>
          <w:sz w:val="24"/>
          <w:highlight w:val="none"/>
        </w:rPr>
      </w:pPr>
      <w:bookmarkStart w:id="822" w:name="_Toc332270334"/>
      <w:bookmarkStart w:id="823" w:name="_Toc339020083"/>
      <w:bookmarkStart w:id="824" w:name="_Toc336681923"/>
      <w:bookmarkStart w:id="825" w:name="_Toc111534390"/>
      <w:bookmarkStart w:id="826" w:name="_Toc339019877"/>
      <w:bookmarkStart w:id="827" w:name="_Toc333935675"/>
      <w:bookmarkStart w:id="828" w:name="_Toc339362288"/>
      <w:bookmarkStart w:id="829" w:name="_Toc331512886"/>
      <w:bookmarkStart w:id="830" w:name="_Toc339020003"/>
      <w:bookmarkStart w:id="831" w:name="_Toc365985167"/>
      <w:bookmarkStart w:id="832" w:name="_Toc340672857"/>
      <w:bookmarkStart w:id="833" w:name="_Toc366072516"/>
      <w:bookmarkStart w:id="834" w:name="_Toc374454588"/>
      <w:bookmarkStart w:id="835" w:name="_Toc350438737"/>
      <w:bookmarkStart w:id="836" w:name="_Toc332206696"/>
      <w:bookmarkStart w:id="837" w:name="_Toc336681568"/>
      <w:bookmarkStart w:id="838" w:name="_Toc10705"/>
      <w:bookmarkStart w:id="839" w:name="_Toc333237665"/>
      <w:bookmarkStart w:id="840" w:name="_Toc497224215"/>
      <w:bookmarkStart w:id="841" w:name="_Toc350756438"/>
      <w:bookmarkStart w:id="842" w:name="_Toc333935334"/>
      <w:bookmarkStart w:id="843" w:name="_Toc339441075"/>
      <w:bookmarkStart w:id="844" w:name="_Toc342060362"/>
      <w:bookmarkStart w:id="845" w:name="_Toc345513855"/>
      <w:bookmarkStart w:id="846" w:name="_Toc503785417"/>
      <w:bookmarkStart w:id="847" w:name="_Toc365967061"/>
      <w:bookmarkStart w:id="848" w:name="_Toc331684026"/>
      <w:bookmarkStart w:id="849" w:name="_Toc337632346"/>
      <w:bookmarkStart w:id="850" w:name="_Toc349143577"/>
      <w:bookmarkStart w:id="851" w:name="_Toc349127614"/>
      <w:bookmarkStart w:id="852" w:name="_Toc340677058"/>
      <w:bookmarkStart w:id="853" w:name="_Toc333237776"/>
      <w:bookmarkStart w:id="854" w:name="_Toc341348326"/>
      <w:bookmarkStart w:id="855" w:name="_Toc333238621"/>
      <w:bookmarkStart w:id="856" w:name="_Toc340507430"/>
      <w:bookmarkStart w:id="857" w:name="_Toc339020221"/>
      <w:bookmarkStart w:id="858" w:name="_Toc330459973"/>
      <w:bookmarkStart w:id="859" w:name="_Toc342296748"/>
      <w:r>
        <w:rPr>
          <w:rFonts w:hint="eastAsia"/>
          <w:color w:val="000000" w:themeColor="text1"/>
          <w:sz w:val="24"/>
          <w:highlight w:val="none"/>
        </w:rPr>
        <w:t>Ｄ投标文件的递交</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0B2DFBAE">
      <w:pPr>
        <w:pStyle w:val="4"/>
        <w:numPr>
          <w:ilvl w:val="4"/>
          <w:numId w:val="23"/>
        </w:numPr>
        <w:tabs>
          <w:tab w:val="left" w:pos="251"/>
          <w:tab w:val="left" w:pos="720"/>
        </w:tabs>
        <w:spacing w:before="240" w:after="120"/>
        <w:ind w:left="751" w:leftChars="1" w:hangingChars="357"/>
        <w:rPr>
          <w:rFonts w:ascii="宋体" w:hAnsi="宋体"/>
          <w:color w:val="000000" w:themeColor="text1"/>
          <w:highlight w:val="none"/>
        </w:rPr>
      </w:pPr>
      <w:bookmarkStart w:id="860" w:name="_Toc342060363"/>
      <w:bookmarkStart w:id="861" w:name="_Toc331684027"/>
      <w:bookmarkStart w:id="862" w:name="_Toc333935335"/>
      <w:bookmarkStart w:id="863" w:name="_Toc333238622"/>
      <w:bookmarkStart w:id="864" w:name="_Toc365967062"/>
      <w:bookmarkStart w:id="865" w:name="_Toc333237777"/>
      <w:bookmarkStart w:id="866" w:name="_Toc374454589"/>
      <w:bookmarkStart w:id="867" w:name="_Toc332270335"/>
      <w:bookmarkStart w:id="868" w:name="_Toc336681924"/>
      <w:bookmarkStart w:id="869" w:name="_Toc340677059"/>
      <w:bookmarkStart w:id="870" w:name="_Toc339441076"/>
      <w:bookmarkStart w:id="871" w:name="_Toc333935676"/>
      <w:bookmarkStart w:id="872" w:name="_Toc337632347"/>
      <w:bookmarkStart w:id="873" w:name="_Toc332206697"/>
      <w:bookmarkStart w:id="874" w:name="_Toc349127615"/>
      <w:bookmarkStart w:id="875" w:name="_Toc503785418"/>
      <w:bookmarkStart w:id="876" w:name="_Toc111534391"/>
      <w:bookmarkStart w:id="877" w:name="_Toc350438738"/>
      <w:bookmarkStart w:id="878" w:name="_Toc341348327"/>
      <w:bookmarkStart w:id="879" w:name="_Toc350756439"/>
      <w:bookmarkStart w:id="880" w:name="_Toc339362289"/>
      <w:bookmarkStart w:id="881" w:name="_Toc365985168"/>
      <w:bookmarkStart w:id="882" w:name="_Toc339019878"/>
      <w:bookmarkStart w:id="883" w:name="_Toc339020222"/>
      <w:bookmarkStart w:id="884" w:name="_Toc339020084"/>
      <w:bookmarkStart w:id="885" w:name="_Toc336681569"/>
      <w:bookmarkStart w:id="886" w:name="_Toc339020004"/>
      <w:bookmarkStart w:id="887" w:name="_Toc342296749"/>
      <w:bookmarkStart w:id="888" w:name="_Toc345513856"/>
      <w:bookmarkStart w:id="889" w:name="_Toc340672858"/>
      <w:bookmarkStart w:id="890" w:name="_Toc340507431"/>
      <w:bookmarkStart w:id="891" w:name="_Toc497224216"/>
      <w:bookmarkStart w:id="892" w:name="_Toc366072517"/>
      <w:bookmarkStart w:id="893" w:name="_Toc333237666"/>
      <w:bookmarkStart w:id="894" w:name="_Toc330459974"/>
      <w:bookmarkStart w:id="895" w:name="_Toc349143578"/>
      <w:bookmarkStart w:id="896" w:name="_Toc331512887"/>
      <w:r>
        <w:rPr>
          <w:rFonts w:hint="eastAsia"/>
          <w:color w:val="000000" w:themeColor="text1"/>
          <w:highlight w:val="none"/>
        </w:rPr>
        <w:t xml:space="preserve">     </w:t>
      </w:r>
      <w:bookmarkStart w:id="897" w:name="_Toc3992"/>
      <w:r>
        <w:rPr>
          <w:rFonts w:hint="eastAsia"/>
          <w:color w:val="000000" w:themeColor="text1"/>
          <w:highlight w:val="none"/>
        </w:rPr>
        <w:t>投标文件的密封和标记</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3B3EC707">
      <w:pPr>
        <w:pStyle w:val="5"/>
        <w:rPr>
          <w:color w:val="000000" w:themeColor="text1"/>
          <w:highlight w:val="none"/>
        </w:rPr>
      </w:pPr>
      <w:r>
        <w:rPr>
          <w:rFonts w:hint="eastAsia"/>
          <w:color w:val="000000" w:themeColor="text1"/>
          <w:highlight w:val="none"/>
        </w:rPr>
        <w:tab/>
      </w:r>
      <w:r>
        <w:rPr>
          <w:rFonts w:hint="eastAsia"/>
          <w:color w:val="000000" w:themeColor="text1"/>
          <w:highlight w:val="none"/>
        </w:rPr>
        <w:t xml:space="preserve">  </w:t>
      </w:r>
      <w:r>
        <w:rPr>
          <w:rFonts w:hint="eastAsia" w:ascii="黑体" w:eastAsia="黑体"/>
          <w:bCs/>
          <w:color w:val="000000" w:themeColor="text1"/>
          <w:kern w:val="2"/>
          <w:sz w:val="21"/>
          <w:szCs w:val="24"/>
          <w:highlight w:val="none"/>
        </w:rPr>
        <w:t>详见第三部份《投标人须知〈投标人须知前附表〉》。</w:t>
      </w:r>
    </w:p>
    <w:p w14:paraId="3A9DF16F">
      <w:pPr>
        <w:pStyle w:val="4"/>
        <w:numPr>
          <w:ilvl w:val="4"/>
          <w:numId w:val="23"/>
        </w:numPr>
        <w:tabs>
          <w:tab w:val="left" w:pos="720"/>
        </w:tabs>
        <w:spacing w:before="240" w:after="120"/>
        <w:ind w:left="2432" w:hanging="2432"/>
        <w:rPr>
          <w:color w:val="000000" w:themeColor="text1"/>
          <w:highlight w:val="none"/>
        </w:rPr>
      </w:pPr>
      <w:bookmarkStart w:id="898" w:name="_Toc333237778"/>
      <w:bookmarkStart w:id="899" w:name="_Toc497224217"/>
      <w:bookmarkStart w:id="900" w:name="_Toc339441077"/>
      <w:bookmarkStart w:id="901" w:name="_Toc339020085"/>
      <w:bookmarkStart w:id="902" w:name="_Toc366072518"/>
      <w:bookmarkStart w:id="903" w:name="_Toc333238623"/>
      <w:bookmarkStart w:id="904" w:name="_Toc18175"/>
      <w:bookmarkStart w:id="905" w:name="_Toc340507432"/>
      <w:bookmarkStart w:id="906" w:name="_Toc339020005"/>
      <w:bookmarkStart w:id="907" w:name="_Toc503785419"/>
      <w:bookmarkStart w:id="908" w:name="_Toc331512888"/>
      <w:bookmarkStart w:id="909" w:name="_Toc337632348"/>
      <w:bookmarkStart w:id="910" w:name="_Toc339019879"/>
      <w:bookmarkStart w:id="911" w:name="_Toc330459975"/>
      <w:bookmarkStart w:id="912" w:name="_Toc349127616"/>
      <w:bookmarkStart w:id="913" w:name="_Toc333935336"/>
      <w:bookmarkStart w:id="914" w:name="_Toc336681570"/>
      <w:bookmarkStart w:id="915" w:name="_Toc340677060"/>
      <w:bookmarkStart w:id="916" w:name="_Toc342060364"/>
      <w:bookmarkStart w:id="917" w:name="_Toc333935677"/>
      <w:bookmarkStart w:id="918" w:name="_Toc336681925"/>
      <w:bookmarkStart w:id="919" w:name="_Toc365985169"/>
      <w:bookmarkStart w:id="920" w:name="_Toc339362290"/>
      <w:bookmarkStart w:id="921" w:name="_Toc345513857"/>
      <w:bookmarkStart w:id="922" w:name="_Toc332270336"/>
      <w:bookmarkStart w:id="923" w:name="_Toc333237667"/>
      <w:bookmarkStart w:id="924" w:name="_Toc331684028"/>
      <w:bookmarkStart w:id="925" w:name="_Toc365967063"/>
      <w:bookmarkStart w:id="926" w:name="_Toc350438739"/>
      <w:bookmarkStart w:id="927" w:name="_Toc374454590"/>
      <w:bookmarkStart w:id="928" w:name="_Toc339020223"/>
      <w:bookmarkStart w:id="929" w:name="_Toc332206698"/>
      <w:bookmarkStart w:id="930" w:name="_Toc341348328"/>
      <w:bookmarkStart w:id="931" w:name="_Toc340672859"/>
      <w:bookmarkStart w:id="932" w:name="_Toc349143579"/>
      <w:bookmarkStart w:id="933" w:name="_Toc342296750"/>
      <w:bookmarkStart w:id="934" w:name="_Toc350756440"/>
      <w:bookmarkStart w:id="935" w:name="_Toc111534392"/>
      <w:r>
        <w:rPr>
          <w:rFonts w:hint="eastAsia"/>
          <w:color w:val="000000" w:themeColor="text1"/>
          <w:highlight w:val="none"/>
        </w:rPr>
        <w:t>递交投标文件的时间、地点及截止时间</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42147D58">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18.1</w:t>
      </w:r>
      <w:r>
        <w:rPr>
          <w:rFonts w:hint="eastAsia" w:ascii="宋体" w:hAnsi="宋体"/>
          <w:bCs/>
          <w:color w:val="000000" w:themeColor="text1"/>
          <w:highlight w:val="none"/>
        </w:rPr>
        <w:tab/>
      </w:r>
      <w:r>
        <w:rPr>
          <w:rFonts w:hint="eastAsia" w:ascii="宋体" w:hAnsi="宋体"/>
          <w:bCs/>
          <w:color w:val="000000" w:themeColor="text1"/>
          <w:highlight w:val="none"/>
        </w:rPr>
        <w:t xml:space="preserve"> 递交投标文件的地点与开标仪式的地点为同一地点；投标截止时间与开标时间为同一时间。</w:t>
      </w:r>
    </w:p>
    <w:p w14:paraId="7F197D09">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18.2</w:t>
      </w:r>
      <w:r>
        <w:rPr>
          <w:rFonts w:hint="eastAsia" w:ascii="宋体" w:hAnsi="宋体"/>
          <w:bCs/>
          <w:color w:val="000000" w:themeColor="text1"/>
          <w:highlight w:val="none"/>
        </w:rPr>
        <w:tab/>
      </w:r>
      <w:r>
        <w:rPr>
          <w:rFonts w:hint="eastAsia" w:ascii="宋体" w:hAnsi="宋体"/>
          <w:bCs/>
          <w:color w:val="000000" w:themeColor="text1"/>
          <w:highlight w:val="none"/>
        </w:rPr>
        <w:t>投标文件需由专人送交。投标人须将密封和标记后的投标文件，按照招标文件中注明的开标地址于投标截止时间之前送交代理采购机构。</w:t>
      </w:r>
    </w:p>
    <w:p w14:paraId="6FA1C1C9">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bookmarkStart w:id="936" w:name="_Toc349127617"/>
      <w:bookmarkStart w:id="937" w:name="_Toc333237779"/>
      <w:bookmarkStart w:id="938" w:name="_Toc339020086"/>
      <w:bookmarkStart w:id="939" w:name="_Toc340672860"/>
      <w:bookmarkStart w:id="940" w:name="_Toc339362291"/>
      <w:bookmarkStart w:id="941" w:name="_Toc349143580"/>
      <w:bookmarkStart w:id="942" w:name="_Toc339441078"/>
      <w:bookmarkStart w:id="943" w:name="_Toc365985170"/>
      <w:bookmarkStart w:id="944" w:name="_Toc339020224"/>
      <w:bookmarkStart w:id="945" w:name="_Toc331512889"/>
      <w:bookmarkStart w:id="946" w:name="_Toc350438740"/>
      <w:bookmarkStart w:id="947" w:name="_Toc332206699"/>
      <w:bookmarkStart w:id="948" w:name="_Toc332270337"/>
      <w:bookmarkStart w:id="949" w:name="_Toc374454591"/>
      <w:bookmarkStart w:id="950" w:name="_Toc336681571"/>
      <w:bookmarkStart w:id="951" w:name="_Toc339020006"/>
      <w:bookmarkStart w:id="952" w:name="_Toc342060365"/>
      <w:bookmarkStart w:id="953" w:name="_Toc337632349"/>
      <w:bookmarkStart w:id="954" w:name="_Toc330459976"/>
      <w:bookmarkStart w:id="955" w:name="_Toc339019880"/>
      <w:bookmarkStart w:id="956" w:name="_Toc333238624"/>
      <w:bookmarkStart w:id="957" w:name="_Toc331684029"/>
      <w:bookmarkStart w:id="958" w:name="_Toc342296751"/>
      <w:bookmarkStart w:id="959" w:name="_Toc333237668"/>
      <w:bookmarkStart w:id="960" w:name="_Toc365967064"/>
      <w:bookmarkStart w:id="961" w:name="_Toc333935337"/>
      <w:bookmarkStart w:id="962" w:name="_Toc333935678"/>
      <w:bookmarkStart w:id="963" w:name="_Toc336681926"/>
      <w:bookmarkStart w:id="964" w:name="_Toc503785420"/>
      <w:bookmarkStart w:id="965" w:name="_Toc350756441"/>
      <w:bookmarkStart w:id="966" w:name="_Toc341348329"/>
      <w:bookmarkStart w:id="967" w:name="_Toc340507433"/>
      <w:bookmarkStart w:id="968" w:name="_Toc340677061"/>
      <w:bookmarkStart w:id="969" w:name="_Toc366072519"/>
      <w:bookmarkStart w:id="970" w:name="_Toc345513858"/>
      <w:bookmarkStart w:id="971" w:name="_Toc497224218"/>
      <w:r>
        <w:rPr>
          <w:rFonts w:hint="eastAsia" w:ascii="宋体" w:hAnsi="宋体"/>
          <w:bCs/>
          <w:color w:val="000000" w:themeColor="text1"/>
          <w:highlight w:val="none"/>
        </w:rPr>
        <w:t>18.3</w:t>
      </w:r>
      <w:r>
        <w:rPr>
          <w:rFonts w:hint="eastAsia" w:ascii="宋体" w:hAnsi="宋体"/>
          <w:bCs/>
          <w:color w:val="000000" w:themeColor="text1"/>
          <w:highlight w:val="none"/>
        </w:rPr>
        <w:tab/>
      </w:r>
      <w:r>
        <w:rPr>
          <w:rFonts w:hint="eastAsia" w:ascii="宋体" w:hAnsi="宋体"/>
          <w:bCs/>
          <w:color w:val="000000" w:themeColor="text1"/>
          <w:highlight w:val="none"/>
        </w:rPr>
        <w:t xml:space="preserve"> 代理采购机构于投标截止时间前30分钟开始接收投标文件，并于招标文件“第一部分投标邀请函”规定的开标时间、开标地点公开开标。</w:t>
      </w:r>
    </w:p>
    <w:p w14:paraId="2DA53B5A">
      <w:pPr>
        <w:pStyle w:val="4"/>
        <w:numPr>
          <w:ilvl w:val="4"/>
          <w:numId w:val="23"/>
        </w:numPr>
        <w:tabs>
          <w:tab w:val="left" w:pos="720"/>
        </w:tabs>
        <w:spacing w:before="240" w:after="120"/>
        <w:ind w:left="2432" w:hanging="2432"/>
        <w:rPr>
          <w:color w:val="000000" w:themeColor="text1"/>
          <w:highlight w:val="none"/>
        </w:rPr>
      </w:pPr>
      <w:bookmarkStart w:id="972" w:name="_Toc22851"/>
      <w:r>
        <w:rPr>
          <w:rFonts w:hint="eastAsia"/>
          <w:color w:val="000000" w:themeColor="text1"/>
          <w:highlight w:val="none"/>
        </w:rPr>
        <w:t>迟交的投标文件</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3DF488F5">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hint="eastAsia" w:ascii="宋体"/>
          <w:bCs/>
          <w:color w:val="000000" w:themeColor="text1"/>
          <w:highlight w:val="none"/>
        </w:rPr>
        <w:t>19</w:t>
      </w:r>
      <w:r>
        <w:rPr>
          <w:rFonts w:ascii="宋体"/>
          <w:bCs/>
          <w:color w:val="000000" w:themeColor="text1"/>
          <w:highlight w:val="none"/>
        </w:rPr>
        <w:t>.1</w:t>
      </w:r>
      <w:r>
        <w:rPr>
          <w:rFonts w:hint="eastAsia" w:ascii="宋体"/>
          <w:bCs/>
          <w:color w:val="000000" w:themeColor="text1"/>
          <w:highlight w:val="none"/>
        </w:rPr>
        <w:t xml:space="preserve"> </w:t>
      </w:r>
      <w:r>
        <w:rPr>
          <w:rFonts w:hint="eastAsia" w:ascii="宋体"/>
          <w:bCs/>
          <w:color w:val="000000" w:themeColor="text1"/>
          <w:highlight w:val="none"/>
        </w:rPr>
        <w:tab/>
      </w:r>
      <w:r>
        <w:rPr>
          <w:rFonts w:hint="eastAsia" w:ascii="宋体"/>
          <w:bCs/>
          <w:color w:val="000000" w:themeColor="text1"/>
          <w:highlight w:val="none"/>
        </w:rPr>
        <w:t>代理采购机构将拒绝在投标截止时间后递交的任何投标文件。</w:t>
      </w:r>
    </w:p>
    <w:p w14:paraId="2E03923D">
      <w:pPr>
        <w:pStyle w:val="4"/>
        <w:numPr>
          <w:ilvl w:val="4"/>
          <w:numId w:val="23"/>
        </w:numPr>
        <w:tabs>
          <w:tab w:val="left" w:pos="720"/>
        </w:tabs>
        <w:spacing w:before="240" w:after="120"/>
        <w:ind w:left="2432" w:hanging="2432"/>
        <w:rPr>
          <w:color w:val="000000" w:themeColor="text1"/>
          <w:highlight w:val="none"/>
        </w:rPr>
      </w:pPr>
      <w:bookmarkStart w:id="973" w:name="_Toc503785421"/>
      <w:bookmarkStart w:id="974" w:name="_Toc497224219"/>
      <w:bookmarkStart w:id="975" w:name="_Toc365985171"/>
      <w:bookmarkStart w:id="976" w:name="_Toc340677062"/>
      <w:bookmarkStart w:id="977" w:name="_Toc340672861"/>
      <w:bookmarkStart w:id="978" w:name="_Toc331512890"/>
      <w:bookmarkStart w:id="979" w:name="_Toc331684030"/>
      <w:bookmarkStart w:id="980" w:name="_Toc342296752"/>
      <w:bookmarkStart w:id="981" w:name="_Toc350438741"/>
      <w:bookmarkStart w:id="982" w:name="_Toc339020007"/>
      <w:bookmarkStart w:id="983" w:name="_Toc339441079"/>
      <w:bookmarkStart w:id="984" w:name="_Toc366072520"/>
      <w:bookmarkStart w:id="985" w:name="_Toc350756442"/>
      <w:bookmarkStart w:id="986" w:name="_Toc24827"/>
      <w:bookmarkStart w:id="987" w:name="_Toc339362292"/>
      <w:bookmarkStart w:id="988" w:name="_Toc345513859"/>
      <w:bookmarkStart w:id="989" w:name="_Toc332206700"/>
      <w:bookmarkStart w:id="990" w:name="_Toc339020225"/>
      <w:bookmarkStart w:id="991" w:name="_Toc342060366"/>
      <w:bookmarkStart w:id="992" w:name="_Toc333935338"/>
      <w:bookmarkStart w:id="993" w:name="_Toc333237669"/>
      <w:bookmarkStart w:id="994" w:name="_Toc333237780"/>
      <w:bookmarkStart w:id="995" w:name="_Toc341348330"/>
      <w:bookmarkStart w:id="996" w:name="_Toc337632350"/>
      <w:bookmarkStart w:id="997" w:name="_Toc333935679"/>
      <w:bookmarkStart w:id="998" w:name="_Toc332270338"/>
      <w:bookmarkStart w:id="999" w:name="_Toc339020087"/>
      <w:bookmarkStart w:id="1000" w:name="_Toc336681927"/>
      <w:bookmarkStart w:id="1001" w:name="_Toc365967065"/>
      <w:bookmarkStart w:id="1002" w:name="_Toc339019881"/>
      <w:bookmarkStart w:id="1003" w:name="_Toc333238625"/>
      <w:bookmarkStart w:id="1004" w:name="_Toc330459977"/>
      <w:bookmarkStart w:id="1005" w:name="_Toc349127618"/>
      <w:bookmarkStart w:id="1006" w:name="_Toc349143581"/>
      <w:bookmarkStart w:id="1007" w:name="_Toc340507434"/>
      <w:bookmarkStart w:id="1008" w:name="_Toc374454592"/>
      <w:bookmarkStart w:id="1009" w:name="_Toc336681572"/>
      <w:r>
        <w:rPr>
          <w:rFonts w:hint="eastAsia"/>
          <w:color w:val="000000" w:themeColor="text1"/>
          <w:highlight w:val="none"/>
        </w:rPr>
        <w:t>投标文件的修改和撤</w:t>
      </w:r>
      <w:bookmarkEnd w:id="973"/>
      <w:bookmarkEnd w:id="974"/>
      <w:r>
        <w:rPr>
          <w:rFonts w:hint="eastAsia"/>
          <w:color w:val="000000" w:themeColor="text1"/>
          <w:highlight w:val="none"/>
        </w:rPr>
        <w:t>回</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65EB0EC1">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 xml:space="preserve"> 投标人在</w:t>
      </w:r>
      <w:r>
        <w:rPr>
          <w:rFonts w:hint="eastAsia" w:ascii="宋体"/>
          <w:bCs/>
          <w:color w:val="000000" w:themeColor="text1"/>
          <w:highlight w:val="none"/>
          <w:lang w:val="en-US" w:eastAsia="zh-CN"/>
        </w:rPr>
        <w:t>投标</w:t>
      </w:r>
      <w:r>
        <w:rPr>
          <w:rFonts w:hint="eastAsia" w:ascii="宋体"/>
          <w:bCs/>
          <w:color w:val="000000" w:themeColor="text1"/>
          <w:highlight w:val="none"/>
        </w:rPr>
        <w:t>截止时间前，可以修改或撤回其投标文件。但必须在规定的</w:t>
      </w:r>
      <w:r>
        <w:rPr>
          <w:rFonts w:hint="eastAsia" w:ascii="宋体"/>
          <w:bCs/>
          <w:color w:val="000000" w:themeColor="text1"/>
          <w:highlight w:val="none"/>
          <w:lang w:val="en-US" w:eastAsia="zh-CN"/>
        </w:rPr>
        <w:t>投标</w:t>
      </w:r>
      <w:r>
        <w:rPr>
          <w:rFonts w:hint="eastAsia" w:ascii="宋体"/>
          <w:bCs/>
          <w:color w:val="000000" w:themeColor="text1"/>
          <w:highlight w:val="none"/>
        </w:rPr>
        <w:t>截止时间之前以书面通知到代理采购机构，该通知须有投标人法定代表人（负责人）或其授权代表签字。</w:t>
      </w:r>
    </w:p>
    <w:p w14:paraId="29F696F8">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.2</w:t>
      </w:r>
      <w:r>
        <w:rPr>
          <w:rFonts w:hint="eastAsia" w:ascii="宋体"/>
          <w:bCs/>
          <w:color w:val="000000" w:themeColor="text1"/>
          <w:highlight w:val="none"/>
        </w:rPr>
        <w:tab/>
      </w:r>
      <w:r>
        <w:rPr>
          <w:rFonts w:hint="eastAsia" w:ascii="宋体"/>
          <w:bCs/>
          <w:color w:val="000000" w:themeColor="text1"/>
          <w:highlight w:val="none"/>
        </w:rPr>
        <w:t xml:space="preserve"> 投标人对投标文件修改的书面材料或撤销的通知应注明“修改投标文件”或“撤销投标”字样。</w:t>
      </w:r>
    </w:p>
    <w:p w14:paraId="74C5A789">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.3</w:t>
      </w:r>
      <w:r>
        <w:rPr>
          <w:rFonts w:hint="eastAsia" w:ascii="宋体"/>
          <w:bCs/>
          <w:color w:val="000000" w:themeColor="text1"/>
          <w:highlight w:val="none"/>
        </w:rPr>
        <w:tab/>
      </w:r>
      <w:r>
        <w:rPr>
          <w:rFonts w:hint="eastAsia" w:ascii="宋体"/>
          <w:bCs/>
          <w:color w:val="000000" w:themeColor="text1"/>
          <w:highlight w:val="none"/>
        </w:rPr>
        <w:t>在投标截止时间之后，投标人不得对其投标文件做任何修改。</w:t>
      </w:r>
    </w:p>
    <w:p w14:paraId="4C012F38">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.4</w:t>
      </w:r>
      <w:r>
        <w:rPr>
          <w:rFonts w:hint="eastAsia" w:ascii="宋体"/>
          <w:bCs/>
          <w:color w:val="000000" w:themeColor="text1"/>
          <w:highlight w:val="none"/>
        </w:rPr>
        <w:tab/>
      </w:r>
      <w:r>
        <w:rPr>
          <w:rFonts w:hint="eastAsia" w:ascii="宋体"/>
          <w:bCs/>
          <w:color w:val="000000" w:themeColor="text1"/>
          <w:highlight w:val="none"/>
        </w:rPr>
        <w:t>从投标截止时间至投标文件有效期期满之前，投标人不得撤回其投标文件，否则代理采购机构将按规定不予退还投标保证金。</w:t>
      </w:r>
    </w:p>
    <w:p w14:paraId="67AC6F9E">
      <w:pPr>
        <w:pStyle w:val="3"/>
        <w:numPr>
          <w:ilvl w:val="0"/>
          <w:numId w:val="0"/>
        </w:numPr>
        <w:rPr>
          <w:color w:val="000000" w:themeColor="text1"/>
          <w:sz w:val="24"/>
          <w:highlight w:val="none"/>
        </w:rPr>
      </w:pPr>
      <w:bookmarkStart w:id="1010" w:name="_Toc366072521"/>
      <w:bookmarkStart w:id="1011" w:name="_Toc331512891"/>
      <w:bookmarkStart w:id="1012" w:name="_Toc339019882"/>
      <w:bookmarkStart w:id="1013" w:name="_Toc339020008"/>
      <w:bookmarkStart w:id="1014" w:name="_Toc332270339"/>
      <w:bookmarkStart w:id="1015" w:name="_Toc340677063"/>
      <w:bookmarkStart w:id="1016" w:name="_Toc339362293"/>
      <w:bookmarkStart w:id="1017" w:name="_Toc339441080"/>
      <w:bookmarkStart w:id="1018" w:name="_Toc365967066"/>
      <w:bookmarkStart w:id="1019" w:name="_Toc342296753"/>
      <w:bookmarkStart w:id="1020" w:name="_Toc337632351"/>
      <w:bookmarkStart w:id="1021" w:name="_Toc333935680"/>
      <w:bookmarkStart w:id="1022" w:name="_Toc365985172"/>
      <w:bookmarkStart w:id="1023" w:name="_Toc350756443"/>
      <w:bookmarkStart w:id="1024" w:name="_Toc330459978"/>
      <w:bookmarkStart w:id="1025" w:name="_Toc349127619"/>
      <w:bookmarkStart w:id="1026" w:name="_Toc336681573"/>
      <w:bookmarkStart w:id="1027" w:name="_Toc333935339"/>
      <w:bookmarkStart w:id="1028" w:name="_Toc342060367"/>
      <w:bookmarkStart w:id="1029" w:name="_Toc333237670"/>
      <w:bookmarkStart w:id="1030" w:name="_Toc331684031"/>
      <w:bookmarkStart w:id="1031" w:name="_Toc332206701"/>
      <w:bookmarkStart w:id="1032" w:name="_Toc497224220"/>
      <w:bookmarkStart w:id="1033" w:name="_Toc333237781"/>
      <w:bookmarkStart w:id="1034" w:name="_Toc336681928"/>
      <w:bookmarkStart w:id="1035" w:name="_Toc341348331"/>
      <w:bookmarkStart w:id="1036" w:name="_Toc339020226"/>
      <w:bookmarkStart w:id="1037" w:name="_Toc345513860"/>
      <w:bookmarkStart w:id="1038" w:name="_Toc503785422"/>
      <w:bookmarkStart w:id="1039" w:name="_Toc374454593"/>
      <w:bookmarkStart w:id="1040" w:name="_Toc340507435"/>
      <w:bookmarkStart w:id="1041" w:name="_Toc333238626"/>
      <w:bookmarkStart w:id="1042" w:name="_Toc339020088"/>
      <w:bookmarkStart w:id="1043" w:name="_Toc340672862"/>
      <w:bookmarkStart w:id="1044" w:name="_Toc349143582"/>
      <w:bookmarkStart w:id="1045" w:name="_Toc350438742"/>
      <w:r>
        <w:rPr>
          <w:color w:val="000000" w:themeColor="text1"/>
          <w:sz w:val="24"/>
          <w:highlight w:val="none"/>
        </w:rPr>
        <w:br w:type="page"/>
      </w:r>
      <w:bookmarkStart w:id="1046" w:name="_Toc5752"/>
      <w:r>
        <w:rPr>
          <w:rFonts w:hint="eastAsia"/>
          <w:color w:val="000000" w:themeColor="text1"/>
          <w:sz w:val="24"/>
          <w:highlight w:val="none"/>
        </w:rPr>
        <w:t>Ｅ开标和评标</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1D446ECC">
      <w:pPr>
        <w:pStyle w:val="4"/>
        <w:numPr>
          <w:ilvl w:val="4"/>
          <w:numId w:val="23"/>
        </w:numPr>
        <w:tabs>
          <w:tab w:val="left" w:pos="720"/>
        </w:tabs>
        <w:spacing w:before="240" w:after="120"/>
        <w:ind w:left="2432" w:hanging="2432"/>
        <w:rPr>
          <w:color w:val="000000" w:themeColor="text1"/>
          <w:highlight w:val="none"/>
        </w:rPr>
      </w:pPr>
      <w:bookmarkStart w:id="1047" w:name="_Toc333237671"/>
      <w:bookmarkStart w:id="1048" w:name="_Toc340507436"/>
      <w:bookmarkStart w:id="1049" w:name="_Toc349127620"/>
      <w:bookmarkStart w:id="1050" w:name="_Toc350756444"/>
      <w:bookmarkStart w:id="1051" w:name="_Toc340672863"/>
      <w:bookmarkStart w:id="1052" w:name="_Toc333237782"/>
      <w:bookmarkStart w:id="1053" w:name="_Toc339020227"/>
      <w:bookmarkStart w:id="1054" w:name="_Toc503785423"/>
      <w:bookmarkStart w:id="1055" w:name="_Toc339020009"/>
      <w:bookmarkStart w:id="1056" w:name="_Toc331512892"/>
      <w:bookmarkStart w:id="1057" w:name="_Toc336681574"/>
      <w:bookmarkStart w:id="1058" w:name="_Toc345513861"/>
      <w:bookmarkStart w:id="1059" w:name="_Toc341348332"/>
      <w:bookmarkStart w:id="1060" w:name="_Toc330459979"/>
      <w:bookmarkStart w:id="1061" w:name="_Toc366072522"/>
      <w:bookmarkStart w:id="1062" w:name="_Toc497224221"/>
      <w:bookmarkStart w:id="1063" w:name="_Toc333935681"/>
      <w:bookmarkStart w:id="1064" w:name="_Toc374454594"/>
      <w:bookmarkStart w:id="1065" w:name="_Toc339362294"/>
      <w:bookmarkStart w:id="1066" w:name="_Toc342296754"/>
      <w:bookmarkStart w:id="1067" w:name="_Toc333935340"/>
      <w:bookmarkStart w:id="1068" w:name="_Toc339019883"/>
      <w:bookmarkStart w:id="1069" w:name="_Toc336681929"/>
      <w:bookmarkStart w:id="1070" w:name="_Toc332206702"/>
      <w:bookmarkStart w:id="1071" w:name="_Toc350438743"/>
      <w:bookmarkStart w:id="1072" w:name="_Toc339020089"/>
      <w:bookmarkStart w:id="1073" w:name="_Toc333238627"/>
      <w:bookmarkStart w:id="1074" w:name="_Toc365985173"/>
      <w:bookmarkStart w:id="1075" w:name="_Toc349143583"/>
      <w:bookmarkStart w:id="1076" w:name="_Toc365967067"/>
      <w:bookmarkStart w:id="1077" w:name="_Toc342060368"/>
      <w:bookmarkStart w:id="1078" w:name="_Toc337632352"/>
      <w:bookmarkStart w:id="1079" w:name="_Toc339441081"/>
      <w:bookmarkStart w:id="1080" w:name="_Toc14214"/>
      <w:bookmarkStart w:id="1081" w:name="_Toc340677064"/>
      <w:bookmarkStart w:id="1082" w:name="_Toc332270340"/>
      <w:bookmarkStart w:id="1083" w:name="_Toc331684032"/>
      <w:r>
        <w:rPr>
          <w:rFonts w:hint="eastAsia"/>
          <w:color w:val="000000" w:themeColor="text1"/>
          <w:highlight w:val="none"/>
        </w:rPr>
        <w:t>开标</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159245DF">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hAnsi="宋体"/>
          <w:bCs/>
          <w:color w:val="000000" w:themeColor="text1"/>
          <w:highlight w:val="none"/>
        </w:rPr>
        <w:t>2</w:t>
      </w:r>
      <w:r>
        <w:rPr>
          <w:rFonts w:hint="eastAsia" w:ascii="宋体" w:hAnsi="宋体"/>
          <w:bCs/>
          <w:color w:val="000000" w:themeColor="text1"/>
          <w:highlight w:val="none"/>
        </w:rPr>
        <w:t>1</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代理采购机构在招标文件中规定的时间和地点公开开标。开标会由代理采购机构主持。投标人代表均需按时参加开标会。参加开标的投标人代表应签名报到以证明其出席。</w:t>
      </w:r>
    </w:p>
    <w:p w14:paraId="2DC12040">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hAnsi="宋体"/>
          <w:bCs/>
          <w:color w:val="000000" w:themeColor="text1"/>
          <w:highlight w:val="none"/>
        </w:rPr>
        <w:t>2</w:t>
      </w:r>
      <w:r>
        <w:rPr>
          <w:rFonts w:hint="eastAsia" w:ascii="宋体" w:hAnsi="宋体"/>
          <w:bCs/>
          <w:color w:val="000000" w:themeColor="text1"/>
          <w:highlight w:val="none"/>
        </w:rPr>
        <w:t>1</w:t>
      </w:r>
      <w:r>
        <w:rPr>
          <w:rFonts w:ascii="宋体" w:hAnsi="宋体"/>
          <w:bCs/>
          <w:color w:val="000000" w:themeColor="text1"/>
          <w:highlight w:val="none"/>
        </w:rPr>
        <w:t>.2</w:t>
      </w:r>
      <w:r>
        <w:rPr>
          <w:rFonts w:hint="eastAsia" w:ascii="宋体" w:hAnsi="宋体"/>
          <w:bCs/>
          <w:color w:val="000000" w:themeColor="text1"/>
          <w:highlight w:val="none"/>
        </w:rPr>
        <w:t xml:space="preserve"> </w:t>
      </w:r>
      <w:r>
        <w:rPr>
          <w:rFonts w:hint="eastAsia" w:ascii="宋体" w:hAnsi="宋体"/>
          <w:bCs/>
          <w:color w:val="000000" w:themeColor="text1"/>
          <w:highlight w:val="none"/>
        </w:rPr>
        <w:tab/>
      </w:r>
      <w:r>
        <w:rPr>
          <w:rFonts w:hint="eastAsia" w:ascii="宋体" w:hAnsi="宋体"/>
          <w:bCs/>
          <w:color w:val="000000" w:themeColor="text1"/>
          <w:highlight w:val="none"/>
        </w:rPr>
        <w:t>开标时，由政府采购监督员或投标人代表检查投标文件的密封情况，并宣布检查结果，经确认无误后，由工作人员当众拆封唱标。唱标主要内容为投标文件正本中的“开标一览表”的内容以及代理采购机构认为合适的其他内容。</w:t>
      </w:r>
    </w:p>
    <w:p w14:paraId="71E43208">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21.3   在投标截止之前收到的所有投标文件，开标时都应当众拆封并宣读。在开标时没有当众拆封和宣读的投标文件在评标时将不予考虑。提交了可接受的“撤回”通知的投标文件将不予拆封。</w:t>
      </w:r>
    </w:p>
    <w:p w14:paraId="04A055A8">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21.4</w:t>
      </w:r>
      <w:r>
        <w:rPr>
          <w:rFonts w:hint="eastAsia" w:ascii="宋体" w:hAnsi="宋体"/>
          <w:bCs/>
          <w:color w:val="000000" w:themeColor="text1"/>
          <w:highlight w:val="none"/>
        </w:rPr>
        <w:tab/>
      </w:r>
      <w:r>
        <w:rPr>
          <w:rFonts w:hint="eastAsia" w:ascii="宋体" w:hAnsi="宋体"/>
          <w:bCs/>
          <w:color w:val="000000" w:themeColor="text1"/>
          <w:highlight w:val="none"/>
        </w:rPr>
        <w:t xml:space="preserve"> 唱标结束后，代理采购机构将做唱标记录，并按规定在唱标记录上签字。</w:t>
      </w:r>
    </w:p>
    <w:p w14:paraId="47E8DD66">
      <w:pPr>
        <w:pStyle w:val="4"/>
        <w:numPr>
          <w:ilvl w:val="4"/>
          <w:numId w:val="23"/>
        </w:numPr>
        <w:tabs>
          <w:tab w:val="left" w:pos="720"/>
        </w:tabs>
        <w:spacing w:before="240" w:after="120"/>
        <w:ind w:left="752" w:hanging="751" w:hangingChars="358"/>
        <w:rPr>
          <w:rFonts w:ascii="宋体" w:hAnsi="宋体"/>
          <w:color w:val="000000" w:themeColor="text1"/>
          <w:highlight w:val="none"/>
        </w:rPr>
      </w:pPr>
      <w:bookmarkStart w:id="1084" w:name="_Toc339020090"/>
      <w:bookmarkStart w:id="1085" w:name="_Toc340672864"/>
      <w:bookmarkStart w:id="1086" w:name="_Toc331512893"/>
      <w:bookmarkStart w:id="1087" w:name="_Toc366072523"/>
      <w:bookmarkStart w:id="1088" w:name="_Toc342296755"/>
      <w:bookmarkStart w:id="1089" w:name="_Toc22904"/>
      <w:bookmarkStart w:id="1090" w:name="_Toc337632353"/>
      <w:bookmarkStart w:id="1091" w:name="_Toc339019884"/>
      <w:bookmarkStart w:id="1092" w:name="_Toc340677065"/>
      <w:bookmarkStart w:id="1093" w:name="_Toc365985174"/>
      <w:bookmarkStart w:id="1094" w:name="_Toc330459980"/>
      <w:bookmarkStart w:id="1095" w:name="_Toc341348333"/>
      <w:bookmarkStart w:id="1096" w:name="_Toc350756445"/>
      <w:bookmarkStart w:id="1097" w:name="_Toc339020228"/>
      <w:bookmarkStart w:id="1098" w:name="_Toc503785424"/>
      <w:bookmarkStart w:id="1099" w:name="_Toc333935341"/>
      <w:bookmarkStart w:id="1100" w:name="_Toc333237783"/>
      <w:bookmarkStart w:id="1101" w:name="_Toc349143584"/>
      <w:bookmarkStart w:id="1102" w:name="_Toc336681930"/>
      <w:bookmarkStart w:id="1103" w:name="_Toc497224222"/>
      <w:bookmarkStart w:id="1104" w:name="_Toc339020010"/>
      <w:bookmarkStart w:id="1105" w:name="_Toc342060369"/>
      <w:bookmarkStart w:id="1106" w:name="_Toc365967068"/>
      <w:bookmarkStart w:id="1107" w:name="_Toc349127621"/>
      <w:bookmarkStart w:id="1108" w:name="_Toc350438744"/>
      <w:bookmarkStart w:id="1109" w:name="_Toc332206703"/>
      <w:bookmarkStart w:id="1110" w:name="_Toc333935682"/>
      <w:bookmarkStart w:id="1111" w:name="_Toc340507437"/>
      <w:bookmarkStart w:id="1112" w:name="_Toc345513862"/>
      <w:bookmarkStart w:id="1113" w:name="_Toc333238628"/>
      <w:bookmarkStart w:id="1114" w:name="_Toc333237672"/>
      <w:bookmarkStart w:id="1115" w:name="_Toc339441082"/>
      <w:bookmarkStart w:id="1116" w:name="_Toc374454595"/>
      <w:bookmarkStart w:id="1117" w:name="_Toc332270341"/>
      <w:bookmarkStart w:id="1118" w:name="_Toc336681575"/>
      <w:bookmarkStart w:id="1119" w:name="_Toc331684033"/>
      <w:bookmarkStart w:id="1120" w:name="_Toc339362295"/>
      <w:r>
        <w:rPr>
          <w:rFonts w:hint="eastAsia"/>
          <w:color w:val="000000" w:themeColor="text1"/>
          <w:highlight w:val="none"/>
        </w:rPr>
        <w:t>评标委员会</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14:paraId="1E9937C4">
      <w:pPr>
        <w:pStyle w:val="5"/>
        <w:rPr>
          <w:color w:val="000000" w:themeColor="text1"/>
          <w:highlight w:val="none"/>
        </w:rPr>
      </w:pPr>
      <w:r>
        <w:rPr>
          <w:rFonts w:hint="eastAsia" w:ascii="黑体" w:eastAsia="黑体"/>
          <w:bCs/>
          <w:color w:val="000000" w:themeColor="text1"/>
          <w:kern w:val="2"/>
          <w:sz w:val="21"/>
          <w:szCs w:val="24"/>
          <w:highlight w:val="none"/>
        </w:rPr>
        <w:t>详见第三部份《投标人须知〈投标人须知前附表〉》。</w:t>
      </w:r>
    </w:p>
    <w:p w14:paraId="5E628106">
      <w:pPr>
        <w:pStyle w:val="4"/>
        <w:numPr>
          <w:ilvl w:val="4"/>
          <w:numId w:val="23"/>
        </w:numPr>
        <w:tabs>
          <w:tab w:val="left" w:pos="720"/>
        </w:tabs>
        <w:spacing w:before="240" w:after="120"/>
        <w:ind w:left="2432" w:hanging="2432"/>
        <w:rPr>
          <w:color w:val="000000" w:themeColor="text1"/>
          <w:highlight w:val="none"/>
        </w:rPr>
      </w:pPr>
      <w:bookmarkStart w:id="1121" w:name="_Toc340507438"/>
      <w:bookmarkStart w:id="1122" w:name="_Toc365985175"/>
      <w:bookmarkStart w:id="1123" w:name="_Toc336681931"/>
      <w:bookmarkStart w:id="1124" w:name="_Toc339019885"/>
      <w:bookmarkStart w:id="1125" w:name="_Toc333935683"/>
      <w:bookmarkStart w:id="1126" w:name="_Toc340672865"/>
      <w:bookmarkStart w:id="1127" w:name="_Toc339020011"/>
      <w:bookmarkStart w:id="1128" w:name="_Toc342060370"/>
      <w:bookmarkStart w:id="1129" w:name="_Toc340677066"/>
      <w:bookmarkStart w:id="1130" w:name="_Toc503785425"/>
      <w:bookmarkStart w:id="1131" w:name="_Toc18240"/>
      <w:bookmarkStart w:id="1132" w:name="_Toc349143585"/>
      <w:bookmarkStart w:id="1133" w:name="_Toc350438745"/>
      <w:bookmarkStart w:id="1134" w:name="_Toc342296756"/>
      <w:bookmarkStart w:id="1135" w:name="_Toc366072524"/>
      <w:bookmarkStart w:id="1136" w:name="_Toc339020091"/>
      <w:bookmarkStart w:id="1137" w:name="_Toc330459981"/>
      <w:bookmarkStart w:id="1138" w:name="_Toc339362296"/>
      <w:bookmarkStart w:id="1139" w:name="_Toc341348334"/>
      <w:bookmarkStart w:id="1140" w:name="_Toc349127622"/>
      <w:bookmarkStart w:id="1141" w:name="_Toc331684034"/>
      <w:bookmarkStart w:id="1142" w:name="_Toc345513863"/>
      <w:bookmarkStart w:id="1143" w:name="_Toc333237784"/>
      <w:bookmarkStart w:id="1144" w:name="_Toc332270342"/>
      <w:bookmarkStart w:id="1145" w:name="_Toc336681576"/>
      <w:bookmarkStart w:id="1146" w:name="_Toc337632354"/>
      <w:bookmarkStart w:id="1147" w:name="_Toc339441083"/>
      <w:bookmarkStart w:id="1148" w:name="_Toc350756446"/>
      <w:bookmarkStart w:id="1149" w:name="_Toc331512894"/>
      <w:bookmarkStart w:id="1150" w:name="_Toc332206704"/>
      <w:bookmarkStart w:id="1151" w:name="_Toc374454596"/>
      <w:bookmarkStart w:id="1152" w:name="_Toc497224223"/>
      <w:bookmarkStart w:id="1153" w:name="_Toc339020229"/>
      <w:bookmarkStart w:id="1154" w:name="_Toc333238629"/>
      <w:bookmarkStart w:id="1155" w:name="_Toc365967069"/>
      <w:bookmarkStart w:id="1156" w:name="_Toc333237673"/>
      <w:bookmarkStart w:id="1157" w:name="_Toc333935342"/>
      <w:r>
        <w:rPr>
          <w:rFonts w:hint="eastAsia"/>
          <w:color w:val="000000" w:themeColor="text1"/>
          <w:highlight w:val="none"/>
        </w:rPr>
        <w:t>对投标文件的初审和响应性的确定</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5AD5606B">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开标后，评标委员会将组织审查投标文件是否完整，文件签署是否合格，证明文件是否齐全等。</w:t>
      </w:r>
    </w:p>
    <w:p w14:paraId="5E4615A3">
      <w:pPr>
        <w:widowControl/>
        <w:tabs>
          <w:tab w:val="left" w:pos="567"/>
        </w:tabs>
        <w:adjustRightInd w:val="0"/>
        <w:snapToGrid w:val="0"/>
        <w:spacing w:line="360" w:lineRule="auto"/>
        <w:ind w:left="752" w:hanging="751" w:hangingChars="358"/>
        <w:jc w:val="left"/>
        <w:rPr>
          <w:rFonts w:ascii="宋体"/>
          <w:bCs/>
          <w:color w:val="000000" w:themeColor="text1"/>
          <w:highlight w:val="none"/>
        </w:rPr>
      </w:pPr>
      <w:r>
        <w:rPr>
          <w:rFonts w:hint="eastAsia" w:ascii="宋体"/>
          <w:bCs/>
          <w:color w:val="000000" w:themeColor="text1"/>
          <w:highlight w:val="none"/>
        </w:rPr>
        <w:t xml:space="preserve">23.2   </w:t>
      </w:r>
      <w:r>
        <w:rPr>
          <w:rFonts w:hint="eastAsia" w:ascii="宋体" w:hAnsi="宋体"/>
          <w:color w:val="000000" w:themeColor="text1"/>
          <w:highlight w:val="none"/>
        </w:rPr>
        <w:t>同一品牌产品只能由一家供应商参加。如果有多家代理商参加同一品牌产品投标的，应当作为一个供应商计算。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5A5BEAF">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w:t>
      </w:r>
      <w:r>
        <w:rPr>
          <w:rFonts w:hint="eastAsia" w:ascii="宋体"/>
          <w:bCs/>
          <w:color w:val="000000" w:themeColor="text1"/>
          <w:highlight w:val="none"/>
        </w:rPr>
        <w:t>3</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评标委员会将确定每一投标是否对招标文件的要求做出了实质性的响应，而没有重大偏离。实质性响应的投标是指投标符合招标文件的所有条款、条件和规定且没有重大偏离或保留。重大偏离或保留</w:t>
      </w:r>
      <w:r>
        <w:rPr>
          <w:rFonts w:hint="eastAsia" w:ascii="宋体"/>
          <w:bCs/>
          <w:color w:val="000000" w:themeColor="text1"/>
          <w:highlight w:val="none"/>
          <w:lang w:val="en-US" w:eastAsia="zh-CN"/>
        </w:rPr>
        <w:t>是</w:t>
      </w:r>
      <w:r>
        <w:rPr>
          <w:rFonts w:hint="eastAsia" w:ascii="宋体"/>
          <w:bCs/>
          <w:color w:val="000000" w:themeColor="text1"/>
          <w:highlight w:val="none"/>
        </w:rPr>
        <w:t>指影响到招标文件规定的供货范围、质量和性能，或限制了买方的权力和投标人的义务的规定，而纠正这些偏离将影响到其它提交实质性响应投标的投标人的公平竞争地位。</w:t>
      </w:r>
    </w:p>
    <w:p w14:paraId="062C51BD">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w:t>
      </w:r>
      <w:r>
        <w:rPr>
          <w:rFonts w:hint="eastAsia" w:ascii="宋体"/>
          <w:bCs/>
          <w:color w:val="000000" w:themeColor="text1"/>
          <w:highlight w:val="none"/>
        </w:rPr>
        <w:t>4</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评标委员会将拒绝被确定为非实质性响应的投标，投标人不能通过修正或撤销不符之处而使其投标成为实质性响应的投标。</w:t>
      </w:r>
    </w:p>
    <w:p w14:paraId="1C6E47FF">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w:t>
      </w:r>
      <w:r>
        <w:rPr>
          <w:rFonts w:hint="eastAsia" w:ascii="宋体"/>
          <w:bCs/>
          <w:color w:val="000000" w:themeColor="text1"/>
          <w:highlight w:val="none"/>
        </w:rPr>
        <w:t xml:space="preserve">5 </w:t>
      </w:r>
      <w:r>
        <w:rPr>
          <w:rFonts w:hint="eastAsia" w:ascii="宋体"/>
          <w:bCs/>
          <w:color w:val="000000" w:themeColor="text1"/>
          <w:highlight w:val="none"/>
        </w:rPr>
        <w:tab/>
      </w:r>
      <w:r>
        <w:rPr>
          <w:rFonts w:hint="eastAsia" w:ascii="宋体" w:hAnsi="宋体"/>
          <w:bCs/>
          <w:color w:val="000000" w:themeColor="text1"/>
          <w:highlight w:val="none"/>
        </w:rPr>
        <w:t>如果发现下列情况之一的，其投标将被拒绝而作无效投标处理：</w:t>
      </w:r>
    </w:p>
    <w:p w14:paraId="6F137086">
      <w:pPr>
        <w:numPr>
          <w:ilvl w:val="0"/>
          <w:numId w:val="27"/>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资格审查结果为不合格的；</w:t>
      </w:r>
    </w:p>
    <w:p w14:paraId="7BB76F49">
      <w:pPr>
        <w:numPr>
          <w:ilvl w:val="0"/>
          <w:numId w:val="27"/>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投标人未提交投标保证金或投标保证金金额不足或无效的；</w:t>
      </w:r>
    </w:p>
    <w:p w14:paraId="65A5B702">
      <w:pPr>
        <w:numPr>
          <w:ilvl w:val="0"/>
          <w:numId w:val="27"/>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投标函</w:t>
      </w:r>
      <w:r>
        <w:rPr>
          <w:rFonts w:ascii="宋体" w:hAnsi="宋体"/>
          <w:bCs/>
          <w:color w:val="000000" w:themeColor="text1"/>
          <w:highlight w:val="none"/>
        </w:rPr>
        <w:t>未加盖</w:t>
      </w:r>
      <w:r>
        <w:rPr>
          <w:rFonts w:hint="eastAsia" w:ascii="宋体" w:hAnsi="宋体"/>
          <w:bCs/>
          <w:color w:val="000000" w:themeColor="text1"/>
          <w:highlight w:val="none"/>
        </w:rPr>
        <w:t>投标人</w:t>
      </w:r>
      <w:r>
        <w:rPr>
          <w:rFonts w:ascii="宋体" w:hAnsi="宋体"/>
          <w:bCs/>
          <w:color w:val="000000" w:themeColor="text1"/>
          <w:highlight w:val="none"/>
        </w:rPr>
        <w:t>公章</w:t>
      </w:r>
      <w:r>
        <w:rPr>
          <w:rFonts w:hint="eastAsia" w:ascii="宋体" w:hAnsi="宋体"/>
          <w:bCs/>
          <w:color w:val="000000" w:themeColor="text1"/>
          <w:highlight w:val="none"/>
        </w:rPr>
        <w:t>或</w:t>
      </w:r>
      <w:r>
        <w:rPr>
          <w:rFonts w:ascii="宋体" w:hAnsi="宋体"/>
          <w:bCs/>
          <w:color w:val="000000" w:themeColor="text1"/>
          <w:highlight w:val="none"/>
        </w:rPr>
        <w:t>未有</w:t>
      </w:r>
      <w:r>
        <w:rPr>
          <w:rFonts w:hint="eastAsia" w:ascii="宋体" w:hAnsi="宋体"/>
          <w:bCs/>
          <w:color w:val="000000" w:themeColor="text1"/>
          <w:highlight w:val="none"/>
        </w:rPr>
        <w:t>法定代表人（负责人）</w:t>
      </w:r>
      <w:r>
        <w:rPr>
          <w:rFonts w:ascii="宋体" w:hAnsi="宋体"/>
          <w:bCs/>
          <w:color w:val="000000" w:themeColor="text1"/>
          <w:highlight w:val="none"/>
        </w:rPr>
        <w:t>或者被授权人签名的；</w:t>
      </w:r>
    </w:p>
    <w:p w14:paraId="309F1E51">
      <w:pPr>
        <w:numPr>
          <w:ilvl w:val="0"/>
          <w:numId w:val="27"/>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未按招标文件规定格式填写或者字迹模糊不清的；</w:t>
      </w:r>
    </w:p>
    <w:p w14:paraId="0D048C3F">
      <w:pPr>
        <w:numPr>
          <w:ilvl w:val="0"/>
          <w:numId w:val="27"/>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投标报价超出最高投标报价（预算价）上限的；</w:t>
      </w:r>
    </w:p>
    <w:p w14:paraId="648D33B1">
      <w:pPr>
        <w:numPr>
          <w:ilvl w:val="0"/>
          <w:numId w:val="27"/>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 xml:space="preserve">投标文件载明的招标项目完工期（服务期）超过招标文件规定的期限，或服务期不满足招标文件规定要求的； </w:t>
      </w:r>
    </w:p>
    <w:p w14:paraId="6DC8D8BD">
      <w:pPr>
        <w:numPr>
          <w:ilvl w:val="0"/>
          <w:numId w:val="27"/>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投标有效期不足的；</w:t>
      </w:r>
    </w:p>
    <w:p w14:paraId="5B5BD9AF">
      <w:pPr>
        <w:numPr>
          <w:ilvl w:val="0"/>
          <w:numId w:val="27"/>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投标文件附有采购人或代理采购机构不能接受的条件的；</w:t>
      </w:r>
    </w:p>
    <w:p w14:paraId="6979E784">
      <w:pPr>
        <w:numPr>
          <w:ilvl w:val="0"/>
          <w:numId w:val="27"/>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招标文件规定的其他实质性要求的；</w:t>
      </w:r>
    </w:p>
    <w:p w14:paraId="3041DA87">
      <w:pPr>
        <w:numPr>
          <w:ilvl w:val="0"/>
          <w:numId w:val="27"/>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法律、法规规定的其他废标条款。</w:t>
      </w:r>
    </w:p>
    <w:p w14:paraId="7CDC2A51">
      <w:pPr>
        <w:pStyle w:val="4"/>
        <w:numPr>
          <w:ilvl w:val="4"/>
          <w:numId w:val="23"/>
        </w:numPr>
        <w:tabs>
          <w:tab w:val="left" w:pos="720"/>
        </w:tabs>
        <w:spacing w:before="240" w:after="120"/>
        <w:ind w:left="2432" w:hanging="2432"/>
        <w:rPr>
          <w:color w:val="000000" w:themeColor="text1"/>
          <w:highlight w:val="none"/>
        </w:rPr>
      </w:pPr>
      <w:bookmarkStart w:id="1158" w:name="_Toc350438746"/>
      <w:bookmarkStart w:id="1159" w:name="_Toc340507439"/>
      <w:bookmarkStart w:id="1160" w:name="_Toc342296757"/>
      <w:bookmarkStart w:id="1161" w:name="_Toc365967070"/>
      <w:bookmarkStart w:id="1162" w:name="_Toc339020012"/>
      <w:bookmarkStart w:id="1163" w:name="_Toc333237785"/>
      <w:bookmarkStart w:id="1164" w:name="_Toc333935343"/>
      <w:bookmarkStart w:id="1165" w:name="_Toc339362297"/>
      <w:bookmarkStart w:id="1166" w:name="_Toc342060371"/>
      <w:bookmarkStart w:id="1167" w:name="_Toc350756447"/>
      <w:bookmarkStart w:id="1168" w:name="_Toc337632355"/>
      <w:bookmarkStart w:id="1169" w:name="_Toc336681577"/>
      <w:bookmarkStart w:id="1170" w:name="_Toc366072525"/>
      <w:bookmarkStart w:id="1171" w:name="_Toc349127623"/>
      <w:bookmarkStart w:id="1172" w:name="_Toc330459982"/>
      <w:bookmarkStart w:id="1173" w:name="_Toc336681932"/>
      <w:bookmarkStart w:id="1174" w:name="_Toc339441084"/>
      <w:bookmarkStart w:id="1175" w:name="_Toc332270343"/>
      <w:bookmarkStart w:id="1176" w:name="_Toc345513864"/>
      <w:bookmarkStart w:id="1177" w:name="_Toc349143586"/>
      <w:bookmarkStart w:id="1178" w:name="_Toc339020230"/>
      <w:bookmarkStart w:id="1179" w:name="_Toc333238630"/>
      <w:bookmarkStart w:id="1180" w:name="_Toc365985176"/>
      <w:bookmarkStart w:id="1181" w:name="_Toc374454597"/>
      <w:bookmarkStart w:id="1182" w:name="_Toc341348335"/>
      <w:bookmarkStart w:id="1183" w:name="_Toc333935684"/>
      <w:bookmarkStart w:id="1184" w:name="_Toc332206705"/>
      <w:bookmarkStart w:id="1185" w:name="_Toc339019886"/>
      <w:bookmarkStart w:id="1186" w:name="_Toc331512895"/>
      <w:bookmarkStart w:id="1187" w:name="_Toc340677067"/>
      <w:bookmarkStart w:id="1188" w:name="_Toc331684035"/>
      <w:bookmarkStart w:id="1189" w:name="_Toc340672866"/>
      <w:bookmarkStart w:id="1190" w:name="_Toc6723"/>
      <w:bookmarkStart w:id="1191" w:name="_Toc333237674"/>
      <w:bookmarkStart w:id="1192" w:name="_Toc339020092"/>
      <w:r>
        <w:rPr>
          <w:rFonts w:hint="eastAsia"/>
          <w:color w:val="000000" w:themeColor="text1"/>
          <w:highlight w:val="none"/>
        </w:rPr>
        <w:t>投标报价的审核</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14:paraId="14A0372D">
      <w:pPr>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 xml:space="preserve">24.1 </w:t>
      </w:r>
      <w:r>
        <w:rPr>
          <w:rFonts w:hint="eastAsia" w:ascii="宋体" w:hAnsi="宋体"/>
          <w:bCs/>
          <w:color w:val="000000" w:themeColor="text1"/>
          <w:highlight w:val="none"/>
        </w:rPr>
        <w:tab/>
      </w:r>
      <w:r>
        <w:rPr>
          <w:rFonts w:hint="eastAsia" w:ascii="宋体" w:hAnsi="宋体"/>
          <w:bCs/>
          <w:color w:val="000000" w:themeColor="text1"/>
          <w:highlight w:val="none"/>
        </w:rPr>
        <w:t>投标人的报价应是真实、合理和全面的报价。投标人应该公平竞争，合理报价。评标委员会有权对投标人的任何报价进行单项分析与澄清。任何虚假不实的报价，一经确认，将导致投标人的投标保证金不予退及投标人作无效投标处理。</w:t>
      </w:r>
    </w:p>
    <w:p w14:paraId="4C9D515B">
      <w:pPr>
        <w:spacing w:line="360" w:lineRule="auto"/>
        <w:ind w:left="1233" w:hanging="1232" w:hangingChars="587"/>
        <w:jc w:val="left"/>
        <w:rPr>
          <w:rFonts w:ascii="宋体" w:hAnsi="宋体"/>
          <w:bCs/>
          <w:color w:val="000000" w:themeColor="text1"/>
          <w:highlight w:val="none"/>
        </w:rPr>
      </w:pPr>
      <w:r>
        <w:rPr>
          <w:rFonts w:hint="eastAsia" w:ascii="宋体" w:hAnsi="宋体"/>
          <w:bCs/>
          <w:color w:val="000000" w:themeColor="text1"/>
          <w:highlight w:val="none"/>
        </w:rPr>
        <w:t xml:space="preserve">24.2  </w:t>
      </w:r>
      <w:r>
        <w:rPr>
          <w:rFonts w:ascii="宋体" w:hAnsi="宋体"/>
          <w:bCs/>
          <w:color w:val="000000" w:themeColor="text1"/>
          <w:highlight w:val="none"/>
        </w:rPr>
        <w:t>（1）</w:t>
      </w:r>
      <w:r>
        <w:rPr>
          <w:rFonts w:hint="eastAsia" w:ascii="宋体" w:hAnsi="宋体"/>
          <w:bCs/>
          <w:color w:val="000000" w:themeColor="text1"/>
          <w:highlight w:val="none"/>
        </w:rPr>
        <w:t>投标文件中开标一览表(报价表)内容与投标文件中相应内容不一致的，以开标一览表(报价表)为准;</w:t>
      </w:r>
    </w:p>
    <w:p w14:paraId="0DB4F3F5">
      <w:pPr>
        <w:spacing w:line="360" w:lineRule="auto"/>
        <w:ind w:firstLine="707" w:firstLineChars="337"/>
        <w:jc w:val="left"/>
        <w:rPr>
          <w:rFonts w:ascii="宋体" w:hAnsi="宋体"/>
          <w:bCs/>
          <w:color w:val="000000" w:themeColor="text1"/>
          <w:highlight w:val="none"/>
        </w:rPr>
      </w:pPr>
      <w:r>
        <w:rPr>
          <w:rFonts w:ascii="宋体" w:hAnsi="宋体"/>
          <w:bCs/>
          <w:color w:val="000000" w:themeColor="text1"/>
          <w:highlight w:val="none"/>
        </w:rPr>
        <w:t>（2）</w:t>
      </w:r>
      <w:r>
        <w:rPr>
          <w:rFonts w:hint="eastAsia" w:ascii="宋体" w:hAnsi="宋体"/>
          <w:bCs/>
          <w:color w:val="000000" w:themeColor="text1"/>
          <w:highlight w:val="none"/>
        </w:rPr>
        <w:t>大写金额和小写金额不一致的，以大写金额为准;</w:t>
      </w:r>
    </w:p>
    <w:p w14:paraId="3EC6278F">
      <w:pPr>
        <w:spacing w:line="360" w:lineRule="auto"/>
        <w:ind w:firstLine="735" w:firstLineChars="350"/>
        <w:jc w:val="left"/>
        <w:rPr>
          <w:rFonts w:ascii="宋体" w:hAnsi="宋体"/>
          <w:bCs/>
          <w:color w:val="000000" w:themeColor="text1"/>
          <w:highlight w:val="none"/>
        </w:rPr>
      </w:pPr>
      <w:r>
        <w:rPr>
          <w:rFonts w:ascii="宋体" w:hAnsi="宋体"/>
          <w:bCs/>
          <w:color w:val="000000" w:themeColor="text1"/>
          <w:highlight w:val="none"/>
        </w:rPr>
        <w:t>（3）</w:t>
      </w:r>
      <w:r>
        <w:rPr>
          <w:rFonts w:hint="eastAsia" w:ascii="宋体" w:hAnsi="宋体"/>
          <w:bCs/>
          <w:color w:val="000000" w:themeColor="text1"/>
          <w:highlight w:val="none"/>
        </w:rPr>
        <w:t>单价金额小数点或者百分比有明显错位的，以开标一览表的总价为准，并修改单价;</w:t>
      </w:r>
    </w:p>
    <w:p w14:paraId="0B04AB43">
      <w:pPr>
        <w:spacing w:line="360" w:lineRule="auto"/>
        <w:ind w:firstLine="707" w:firstLineChars="337"/>
        <w:jc w:val="left"/>
        <w:rPr>
          <w:rFonts w:ascii="宋体" w:hAnsi="宋体"/>
          <w:bCs/>
          <w:color w:val="000000" w:themeColor="text1"/>
          <w:highlight w:val="none"/>
        </w:rPr>
      </w:pPr>
      <w:r>
        <w:rPr>
          <w:rFonts w:ascii="宋体" w:hAnsi="宋体"/>
          <w:bCs/>
          <w:color w:val="000000" w:themeColor="text1"/>
          <w:highlight w:val="none"/>
        </w:rPr>
        <w:t>（4）</w:t>
      </w:r>
      <w:r>
        <w:rPr>
          <w:rFonts w:hint="eastAsia" w:ascii="宋体" w:hAnsi="宋体"/>
          <w:bCs/>
          <w:color w:val="000000" w:themeColor="text1"/>
          <w:highlight w:val="none"/>
        </w:rPr>
        <w:t>总价金额与按单价汇总金额不一致的，以单价金额计算结果为准。</w:t>
      </w:r>
    </w:p>
    <w:p w14:paraId="3825395A">
      <w:pPr>
        <w:tabs>
          <w:tab w:val="left" w:pos="753"/>
        </w:tabs>
        <w:adjustRightInd w:val="0"/>
        <w:snapToGrid w:val="0"/>
        <w:spacing w:line="360" w:lineRule="auto"/>
        <w:ind w:left="1276" w:leftChars="351" w:hanging="539" w:hangingChars="257"/>
        <w:rPr>
          <w:rFonts w:ascii="宋体" w:hAnsi="宋体"/>
          <w:bCs/>
          <w:color w:val="000000" w:themeColor="text1"/>
          <w:highlight w:val="none"/>
        </w:rPr>
      </w:pPr>
      <w:r>
        <w:rPr>
          <w:rFonts w:ascii="宋体" w:hAnsi="宋体"/>
          <w:bCs/>
          <w:color w:val="000000" w:themeColor="text1"/>
          <w:highlight w:val="none"/>
        </w:rPr>
        <w:t>（5）</w:t>
      </w:r>
      <w:r>
        <w:rPr>
          <w:rFonts w:hint="eastAsia" w:ascii="宋体" w:hAnsi="宋体"/>
          <w:bCs/>
          <w:color w:val="000000" w:themeColor="text1"/>
          <w:highlight w:val="none"/>
        </w:rPr>
        <w:t>同时出现两种以上不一致的，按照前款规定的顺序修正。修正后的报价按照《政府采购货物和服务招标投标管理办法》第五十一条第二款的规定经投标人确认后产生约束力，投标人不确认的，其投标无效。</w:t>
      </w:r>
    </w:p>
    <w:p w14:paraId="308ED9AF">
      <w:pPr>
        <w:pStyle w:val="4"/>
        <w:numPr>
          <w:ilvl w:val="4"/>
          <w:numId w:val="23"/>
        </w:numPr>
        <w:tabs>
          <w:tab w:val="left" w:pos="720"/>
        </w:tabs>
        <w:spacing w:before="240" w:after="120"/>
        <w:ind w:left="2432" w:hanging="2432"/>
        <w:rPr>
          <w:color w:val="000000" w:themeColor="text1"/>
          <w:highlight w:val="none"/>
        </w:rPr>
      </w:pPr>
      <w:bookmarkStart w:id="1193" w:name="_Toc366072526"/>
      <w:bookmarkStart w:id="1194" w:name="_Toc339020093"/>
      <w:bookmarkStart w:id="1195" w:name="_Toc365967071"/>
      <w:bookmarkStart w:id="1196" w:name="_Toc333237675"/>
      <w:bookmarkStart w:id="1197" w:name="_Toc339020013"/>
      <w:bookmarkStart w:id="1198" w:name="_Toc339020231"/>
      <w:bookmarkStart w:id="1199" w:name="_Toc350756448"/>
      <w:bookmarkStart w:id="1200" w:name="_Toc332206706"/>
      <w:bookmarkStart w:id="1201" w:name="_Toc340677068"/>
      <w:bookmarkStart w:id="1202" w:name="_Toc331684036"/>
      <w:bookmarkStart w:id="1203" w:name="_Toc336681578"/>
      <w:bookmarkStart w:id="1204" w:name="_Toc18070"/>
      <w:bookmarkStart w:id="1205" w:name="_Toc333935344"/>
      <w:bookmarkStart w:id="1206" w:name="_Toc340507440"/>
      <w:bookmarkStart w:id="1207" w:name="_Toc350438747"/>
      <w:bookmarkStart w:id="1208" w:name="_Toc365985177"/>
      <w:bookmarkStart w:id="1209" w:name="_Toc333238631"/>
      <w:bookmarkStart w:id="1210" w:name="_Toc339441085"/>
      <w:bookmarkStart w:id="1211" w:name="_Toc345513865"/>
      <w:bookmarkStart w:id="1212" w:name="_Toc337632356"/>
      <w:bookmarkStart w:id="1213" w:name="_Toc339019887"/>
      <w:bookmarkStart w:id="1214" w:name="_Toc336681933"/>
      <w:bookmarkStart w:id="1215" w:name="_Toc333935685"/>
      <w:bookmarkStart w:id="1216" w:name="_Toc342296758"/>
      <w:bookmarkStart w:id="1217" w:name="_Toc497224224"/>
      <w:bookmarkStart w:id="1218" w:name="_Toc330459983"/>
      <w:bookmarkStart w:id="1219" w:name="_Toc342060372"/>
      <w:bookmarkStart w:id="1220" w:name="_Toc339362298"/>
      <w:bookmarkStart w:id="1221" w:name="_Toc333237786"/>
      <w:bookmarkStart w:id="1222" w:name="_Toc349143587"/>
      <w:bookmarkStart w:id="1223" w:name="_Toc331512896"/>
      <w:bookmarkStart w:id="1224" w:name="_Toc349127624"/>
      <w:bookmarkStart w:id="1225" w:name="_Toc374454598"/>
      <w:bookmarkStart w:id="1226" w:name="_Toc332270344"/>
      <w:bookmarkStart w:id="1227" w:name="_Toc341348336"/>
      <w:bookmarkStart w:id="1228" w:name="_Toc340672867"/>
      <w:bookmarkStart w:id="1229" w:name="_Toc503785426"/>
      <w:r>
        <w:rPr>
          <w:rFonts w:hint="eastAsia"/>
          <w:color w:val="000000" w:themeColor="text1"/>
          <w:highlight w:val="none"/>
        </w:rPr>
        <w:t>询标及投标文件的澄清</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14:paraId="2663B340">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5.</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为了有助于对投标文件进行审查、评估和比较，评标委员会有权向投标人质疑，请投标人澄清其投标内容。投标人有责任按照代理采购机构通知的时间、地点指派专人进行答疑和澄清。</w:t>
      </w:r>
    </w:p>
    <w:p w14:paraId="0022841B">
      <w:pPr>
        <w:widowControl/>
        <w:tabs>
          <w:tab w:val="left" w:pos="753"/>
        </w:tabs>
        <w:adjustRightInd w:val="0"/>
        <w:snapToGrid w:val="0"/>
        <w:spacing w:line="360" w:lineRule="auto"/>
        <w:ind w:left="752" w:hanging="751" w:hangingChars="358"/>
        <w:rPr>
          <w:rFonts w:ascii="宋体"/>
          <w:color w:val="000000" w:themeColor="text1"/>
          <w:highlight w:val="none"/>
        </w:rPr>
      </w:pPr>
      <w:r>
        <w:rPr>
          <w:rFonts w:ascii="宋体"/>
          <w:color w:val="000000" w:themeColor="text1"/>
          <w:highlight w:val="none"/>
        </w:rPr>
        <w:t>2</w:t>
      </w:r>
      <w:r>
        <w:rPr>
          <w:rFonts w:hint="eastAsia" w:ascii="宋体"/>
          <w:color w:val="000000" w:themeColor="text1"/>
          <w:highlight w:val="none"/>
        </w:rPr>
        <w:t>5</w:t>
      </w:r>
      <w:r>
        <w:rPr>
          <w:rFonts w:ascii="宋体"/>
          <w:color w:val="000000" w:themeColor="text1"/>
          <w:highlight w:val="none"/>
        </w:rPr>
        <w:t>.2</w:t>
      </w:r>
      <w:r>
        <w:rPr>
          <w:rFonts w:hint="eastAsia" w:ascii="宋体"/>
          <w:color w:val="000000" w:themeColor="text1"/>
          <w:highlight w:val="none"/>
        </w:rPr>
        <w:t xml:space="preserve"> </w:t>
      </w:r>
      <w:r>
        <w:rPr>
          <w:rFonts w:hint="eastAsia" w:ascii="宋体"/>
          <w:color w:val="000000" w:themeColor="text1"/>
          <w:highlight w:val="none"/>
        </w:rPr>
        <w:tab/>
      </w:r>
      <w:r>
        <w:rPr>
          <w:rFonts w:hint="eastAsia" w:ascii="宋体"/>
          <w:color w:val="000000" w:themeColor="text1"/>
          <w:highlight w:val="none"/>
        </w:rPr>
        <w:t>重要澄清的答复应是书面的，但不得对投标内容进行实质性修改。</w:t>
      </w:r>
    </w:p>
    <w:p w14:paraId="7249F6A7">
      <w:pPr>
        <w:widowControl/>
        <w:tabs>
          <w:tab w:val="left" w:pos="753"/>
        </w:tabs>
        <w:adjustRightInd w:val="0"/>
        <w:snapToGrid w:val="0"/>
        <w:spacing w:line="360" w:lineRule="auto"/>
        <w:ind w:left="752" w:hanging="751" w:hangingChars="358"/>
        <w:rPr>
          <w:color w:val="000000" w:themeColor="text1"/>
          <w:highlight w:val="none"/>
        </w:rPr>
      </w:pPr>
      <w:r>
        <w:rPr>
          <w:rFonts w:hint="eastAsia" w:ascii="宋体" w:hAnsi="宋体"/>
          <w:color w:val="000000" w:themeColor="text1"/>
          <w:highlight w:val="none"/>
        </w:rPr>
        <w:t>25.3</w:t>
      </w:r>
      <w:r>
        <w:rPr>
          <w:rFonts w:hint="eastAsia"/>
          <w:color w:val="000000" w:themeColor="text1"/>
          <w:highlight w:val="none"/>
        </w:rPr>
        <w:tab/>
      </w:r>
      <w:r>
        <w:rPr>
          <w:rFonts w:hint="eastAsia" w:cs="Arial Unicode MS"/>
          <w:color w:val="000000" w:themeColor="text1"/>
          <w:highlight w:val="none"/>
        </w:rPr>
        <w:t>除评标委员会主动要求询标外，从开标后至授予合同期间，任何投标人均不得就与其投标有关的任何问题与评标委员会联系。如果投标人希望递交其他资料给代理采购机构和评标委员会以提醒代理采购机构和评标委员会注意，则应以书面形式提交。</w:t>
      </w:r>
    </w:p>
    <w:p w14:paraId="053C51BF">
      <w:pPr>
        <w:pStyle w:val="4"/>
        <w:numPr>
          <w:ilvl w:val="4"/>
          <w:numId w:val="23"/>
        </w:numPr>
        <w:tabs>
          <w:tab w:val="left" w:pos="720"/>
        </w:tabs>
        <w:spacing w:before="240" w:after="120"/>
        <w:ind w:left="2432" w:hanging="2432"/>
        <w:rPr>
          <w:color w:val="000000" w:themeColor="text1"/>
          <w:highlight w:val="none"/>
        </w:rPr>
      </w:pPr>
      <w:bookmarkStart w:id="1230" w:name="_Toc339362299"/>
      <w:bookmarkStart w:id="1231" w:name="_Toc341348337"/>
      <w:bookmarkStart w:id="1232" w:name="_Toc339019888"/>
      <w:bookmarkStart w:id="1233" w:name="_Toc365967072"/>
      <w:bookmarkStart w:id="1234" w:name="_Toc331512897"/>
      <w:bookmarkStart w:id="1235" w:name="_Toc333237676"/>
      <w:bookmarkStart w:id="1236" w:name="_Toc331684037"/>
      <w:bookmarkStart w:id="1237" w:name="_Toc339020014"/>
      <w:bookmarkStart w:id="1238" w:name="_Toc339020094"/>
      <w:bookmarkStart w:id="1239" w:name="_Toc333935686"/>
      <w:bookmarkStart w:id="1240" w:name="_Toc339020232"/>
      <w:bookmarkStart w:id="1241" w:name="_Toc349127625"/>
      <w:bookmarkStart w:id="1242" w:name="_Toc333238632"/>
      <w:bookmarkStart w:id="1243" w:name="_Toc340672868"/>
      <w:bookmarkStart w:id="1244" w:name="_Toc342060373"/>
      <w:bookmarkStart w:id="1245" w:name="_Toc332206707"/>
      <w:bookmarkStart w:id="1246" w:name="_Toc345513866"/>
      <w:bookmarkStart w:id="1247" w:name="_Toc366072527"/>
      <w:bookmarkStart w:id="1248" w:name="_Toc340507441"/>
      <w:bookmarkStart w:id="1249" w:name="_Toc340677069"/>
      <w:bookmarkStart w:id="1250" w:name="_Toc337632357"/>
      <w:bookmarkStart w:id="1251" w:name="_Toc365985178"/>
      <w:bookmarkStart w:id="1252" w:name="_Toc332270345"/>
      <w:bookmarkStart w:id="1253" w:name="_Toc336681579"/>
      <w:bookmarkStart w:id="1254" w:name="_Toc336681934"/>
      <w:bookmarkStart w:id="1255" w:name="_Toc374454599"/>
      <w:bookmarkStart w:id="1256" w:name="_Toc350756449"/>
      <w:bookmarkStart w:id="1257" w:name="_Toc349143588"/>
      <w:bookmarkStart w:id="1258" w:name="_Toc333935345"/>
      <w:bookmarkStart w:id="1259" w:name="_Toc342296759"/>
      <w:bookmarkStart w:id="1260" w:name="_Toc8759"/>
      <w:bookmarkStart w:id="1261" w:name="_Toc333237787"/>
      <w:bookmarkStart w:id="1262" w:name="_Toc339441086"/>
      <w:bookmarkStart w:id="1263" w:name="_Toc330459984"/>
      <w:bookmarkStart w:id="1264" w:name="_Toc350438748"/>
      <w:r>
        <w:rPr>
          <w:rFonts w:hint="eastAsia"/>
          <w:color w:val="000000" w:themeColor="text1"/>
          <w:highlight w:val="none"/>
        </w:rPr>
        <w:t>评标原则</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72BF2F0C">
      <w:pPr>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6</w:t>
      </w:r>
      <w:r>
        <w:rPr>
          <w:rFonts w:ascii="宋体"/>
          <w:bCs/>
          <w:color w:val="000000" w:themeColor="text1"/>
          <w:highlight w:val="none"/>
        </w:rPr>
        <w:t>.1</w:t>
      </w:r>
      <w:r>
        <w:rPr>
          <w:rFonts w:hint="eastAsia" w:ascii="宋体"/>
          <w:bCs/>
          <w:color w:val="000000" w:themeColor="text1"/>
          <w:highlight w:val="none"/>
        </w:rPr>
        <w:t xml:space="preserve"> </w:t>
      </w:r>
      <w:r>
        <w:rPr>
          <w:rFonts w:hint="eastAsia" w:ascii="宋体"/>
          <w:bCs/>
          <w:color w:val="000000" w:themeColor="text1"/>
          <w:highlight w:val="none"/>
        </w:rPr>
        <w:tab/>
      </w:r>
      <w:r>
        <w:rPr>
          <w:rFonts w:hint="eastAsia" w:ascii="宋体"/>
          <w:bCs/>
          <w:color w:val="000000" w:themeColor="text1"/>
          <w:highlight w:val="none"/>
        </w:rPr>
        <w:t>依据有关法律法规，确定评标标准和方法，维护招标采购当事人的合法权益。</w:t>
      </w:r>
    </w:p>
    <w:p w14:paraId="79DB8960">
      <w:pPr>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26.2</w:t>
      </w:r>
      <w:r>
        <w:rPr>
          <w:rFonts w:hint="eastAsia" w:ascii="宋体"/>
          <w:bCs/>
          <w:color w:val="000000" w:themeColor="text1"/>
          <w:highlight w:val="none"/>
        </w:rPr>
        <w:tab/>
      </w:r>
      <w:r>
        <w:rPr>
          <w:rFonts w:hint="eastAsia" w:ascii="宋体"/>
          <w:bCs/>
          <w:color w:val="000000" w:themeColor="text1"/>
          <w:highlight w:val="none"/>
        </w:rPr>
        <w:t>坚持公平、公正、科学和择优原则。</w:t>
      </w:r>
    </w:p>
    <w:p w14:paraId="59C40BFA">
      <w:pPr>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26.3</w:t>
      </w:r>
      <w:r>
        <w:rPr>
          <w:rFonts w:hint="eastAsia" w:ascii="宋体"/>
          <w:bCs/>
          <w:color w:val="000000" w:themeColor="text1"/>
          <w:highlight w:val="none"/>
        </w:rPr>
        <w:tab/>
      </w:r>
      <w:r>
        <w:rPr>
          <w:rFonts w:hint="eastAsia" w:ascii="宋体"/>
          <w:bCs/>
          <w:color w:val="000000" w:themeColor="text1"/>
          <w:highlight w:val="none"/>
        </w:rPr>
        <w:t>实行科学评估、集体决策。</w:t>
      </w:r>
    </w:p>
    <w:p w14:paraId="41C68FEA">
      <w:pPr>
        <w:pStyle w:val="4"/>
        <w:numPr>
          <w:ilvl w:val="4"/>
          <w:numId w:val="23"/>
        </w:numPr>
        <w:tabs>
          <w:tab w:val="left" w:pos="720"/>
        </w:tabs>
        <w:spacing w:before="240" w:after="120"/>
        <w:ind w:left="2432" w:hanging="2432"/>
        <w:rPr>
          <w:color w:val="000000" w:themeColor="text1"/>
          <w:highlight w:val="none"/>
        </w:rPr>
      </w:pPr>
      <w:bookmarkStart w:id="1265" w:name="_Toc365967073"/>
      <w:bookmarkStart w:id="1266" w:name="_Toc15222"/>
      <w:bookmarkStart w:id="1267" w:name="_Toc337632358"/>
      <w:bookmarkStart w:id="1268" w:name="_Toc339020015"/>
      <w:bookmarkStart w:id="1269" w:name="_Toc340672869"/>
      <w:bookmarkStart w:id="1270" w:name="_Toc374454600"/>
      <w:bookmarkStart w:id="1271" w:name="_Toc333237677"/>
      <w:bookmarkStart w:id="1272" w:name="_Toc349127626"/>
      <w:bookmarkStart w:id="1273" w:name="_Toc336681580"/>
      <w:bookmarkStart w:id="1274" w:name="_Toc332206708"/>
      <w:bookmarkStart w:id="1275" w:name="_Toc342060374"/>
      <w:bookmarkStart w:id="1276" w:name="_Toc336681935"/>
      <w:bookmarkStart w:id="1277" w:name="_Toc339020095"/>
      <w:bookmarkStart w:id="1278" w:name="_Toc345513867"/>
      <w:bookmarkStart w:id="1279" w:name="_Toc339362300"/>
      <w:bookmarkStart w:id="1280" w:name="_Toc333237788"/>
      <w:bookmarkStart w:id="1281" w:name="_Toc350438749"/>
      <w:bookmarkStart w:id="1282" w:name="_Toc339019889"/>
      <w:bookmarkStart w:id="1283" w:name="_Toc365985179"/>
      <w:bookmarkStart w:id="1284" w:name="_Toc339020233"/>
      <w:bookmarkStart w:id="1285" w:name="_Toc340507442"/>
      <w:bookmarkStart w:id="1286" w:name="_Toc331684038"/>
      <w:bookmarkStart w:id="1287" w:name="_Toc340677070"/>
      <w:bookmarkStart w:id="1288" w:name="_Toc331512898"/>
      <w:bookmarkStart w:id="1289" w:name="_Toc350756450"/>
      <w:bookmarkStart w:id="1290" w:name="_Toc330459985"/>
      <w:bookmarkStart w:id="1291" w:name="_Toc333935346"/>
      <w:bookmarkStart w:id="1292" w:name="_Toc342296760"/>
      <w:bookmarkStart w:id="1293" w:name="_Toc332270346"/>
      <w:bookmarkStart w:id="1294" w:name="_Toc349143589"/>
      <w:bookmarkStart w:id="1295" w:name="_Toc341348338"/>
      <w:bookmarkStart w:id="1296" w:name="_Toc333238633"/>
      <w:bookmarkStart w:id="1297" w:name="_Toc333935687"/>
      <w:bookmarkStart w:id="1298" w:name="_Toc366072528"/>
      <w:bookmarkStart w:id="1299" w:name="_Toc339441087"/>
      <w:r>
        <w:rPr>
          <w:rFonts w:hint="eastAsia"/>
          <w:color w:val="000000" w:themeColor="text1"/>
          <w:highlight w:val="none"/>
        </w:rPr>
        <w:t>评标标准和办法</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14:paraId="72998FA9">
      <w:pPr>
        <w:pStyle w:val="23"/>
        <w:tabs>
          <w:tab w:val="left" w:pos="753"/>
        </w:tabs>
        <w:adjustRightInd w:val="0"/>
        <w:snapToGrid w:val="0"/>
        <w:spacing w:line="360" w:lineRule="auto"/>
        <w:ind w:left="751" w:leftChars="1" w:hanging="749" w:hangingChars="357"/>
        <w:rPr>
          <w:rFonts w:hAnsi="宋体"/>
          <w:bCs/>
          <w:color w:val="000000" w:themeColor="text1"/>
          <w:highlight w:val="none"/>
        </w:rPr>
      </w:pPr>
      <w:r>
        <w:rPr>
          <w:rFonts w:hint="eastAsia" w:hAnsi="宋体"/>
          <w:bCs/>
          <w:color w:val="000000" w:themeColor="text1"/>
          <w:highlight w:val="none"/>
        </w:rPr>
        <w:t>27.1</w:t>
      </w:r>
      <w:r>
        <w:rPr>
          <w:rFonts w:hint="eastAsia" w:hAnsi="宋体"/>
          <w:bCs/>
          <w:color w:val="000000" w:themeColor="text1"/>
          <w:highlight w:val="none"/>
        </w:rPr>
        <w:tab/>
      </w:r>
      <w:r>
        <w:rPr>
          <w:rFonts w:hint="eastAsia" w:hAnsi="宋体"/>
          <w:bCs/>
          <w:color w:val="000000" w:themeColor="text1"/>
          <w:highlight w:val="none"/>
        </w:rPr>
        <w:t xml:space="preserve">评标委员会将综合分析投标人的各项指标，而不以单项指标的优劣评选出中标单位。对所有投标人的投标评估，都采用相同的程序和标准，评标严格按照招标文件的要求和条件进行。 </w:t>
      </w:r>
    </w:p>
    <w:p w14:paraId="6695497E">
      <w:pPr>
        <w:pStyle w:val="23"/>
        <w:widowControl/>
        <w:tabs>
          <w:tab w:val="left" w:pos="753"/>
        </w:tabs>
        <w:adjustRightInd w:val="0"/>
        <w:snapToGrid w:val="0"/>
        <w:spacing w:line="360" w:lineRule="auto"/>
        <w:ind w:left="752" w:hanging="751" w:hangingChars="358"/>
        <w:rPr>
          <w:rFonts w:hAnsi="宋体"/>
          <w:color w:val="000000" w:themeColor="text1"/>
          <w:highlight w:val="none"/>
        </w:rPr>
      </w:pPr>
      <w:r>
        <w:rPr>
          <w:rFonts w:hint="eastAsia" w:hAnsi="宋体"/>
          <w:bCs/>
          <w:color w:val="000000" w:themeColor="text1"/>
          <w:highlight w:val="none"/>
        </w:rPr>
        <w:t>27</w:t>
      </w:r>
      <w:r>
        <w:rPr>
          <w:rFonts w:hAnsi="宋体"/>
          <w:bCs/>
          <w:color w:val="000000" w:themeColor="text1"/>
          <w:highlight w:val="none"/>
        </w:rPr>
        <w:t>.2</w:t>
      </w:r>
      <w:r>
        <w:rPr>
          <w:rFonts w:hint="eastAsia" w:hAnsi="宋体"/>
          <w:bCs/>
          <w:color w:val="000000" w:themeColor="text1"/>
          <w:highlight w:val="none"/>
        </w:rPr>
        <w:tab/>
      </w:r>
      <w:bookmarkStart w:id="1300" w:name="_Toc500861023"/>
      <w:bookmarkStart w:id="1301" w:name="_Toc497707712"/>
      <w:bookmarkStart w:id="1302" w:name="_Toc500953375"/>
      <w:r>
        <w:rPr>
          <w:rFonts w:hint="eastAsia" w:hAnsi="宋体"/>
          <w:bCs/>
          <w:color w:val="000000" w:themeColor="text1"/>
          <w:highlight w:val="none"/>
        </w:rPr>
        <w:t>采用计分法（综合评价法）来确定各投标人的排名。其操作程序为：</w:t>
      </w:r>
      <w:r>
        <w:rPr>
          <w:rFonts w:hint="eastAsia" w:hAnsi="宋体"/>
          <w:b/>
          <w:color w:val="000000" w:themeColor="text1"/>
          <w:highlight w:val="none"/>
        </w:rPr>
        <w:t>详见H评标细则。</w:t>
      </w:r>
    </w:p>
    <w:p w14:paraId="29C1A2F3">
      <w:pPr>
        <w:pStyle w:val="4"/>
        <w:numPr>
          <w:ilvl w:val="4"/>
          <w:numId w:val="23"/>
        </w:numPr>
        <w:tabs>
          <w:tab w:val="left" w:pos="720"/>
        </w:tabs>
        <w:spacing w:before="240" w:after="120"/>
        <w:ind w:left="2432" w:hanging="2432"/>
        <w:rPr>
          <w:color w:val="000000" w:themeColor="text1"/>
          <w:highlight w:val="none"/>
        </w:rPr>
      </w:pPr>
      <w:bookmarkStart w:id="1303" w:name="_Toc327367761"/>
      <w:bookmarkStart w:id="1304" w:name="_Toc327368025"/>
      <w:bookmarkStart w:id="1305" w:name="_Toc366072529"/>
      <w:bookmarkStart w:id="1306" w:name="_Toc16776"/>
      <w:bookmarkStart w:id="1307" w:name="_Toc340507443"/>
      <w:bookmarkStart w:id="1308" w:name="_Toc333237789"/>
      <w:bookmarkStart w:id="1309" w:name="_Toc333238634"/>
      <w:bookmarkStart w:id="1310" w:name="_Toc333237678"/>
      <w:bookmarkStart w:id="1311" w:name="_Toc339020234"/>
      <w:bookmarkStart w:id="1312" w:name="_Toc341348339"/>
      <w:bookmarkStart w:id="1313" w:name="_Toc339020016"/>
      <w:bookmarkStart w:id="1314" w:name="_Toc336681936"/>
      <w:bookmarkStart w:id="1315" w:name="_Toc342296761"/>
      <w:bookmarkStart w:id="1316" w:name="_Toc345513902"/>
      <w:bookmarkStart w:id="1317" w:name="_Toc333935688"/>
      <w:bookmarkStart w:id="1318" w:name="_Toc336681581"/>
      <w:bookmarkStart w:id="1319" w:name="_Toc339441088"/>
      <w:bookmarkStart w:id="1320" w:name="_Toc337632359"/>
      <w:bookmarkStart w:id="1321" w:name="_Toc339362301"/>
      <w:bookmarkStart w:id="1322" w:name="_Toc331512899"/>
      <w:bookmarkStart w:id="1323" w:name="_Toc332206709"/>
      <w:bookmarkStart w:id="1324" w:name="_Toc340677071"/>
      <w:bookmarkStart w:id="1325" w:name="_Toc330459986"/>
      <w:bookmarkStart w:id="1326" w:name="_Toc339020096"/>
      <w:bookmarkStart w:id="1327" w:name="_Toc340672870"/>
      <w:bookmarkStart w:id="1328" w:name="_Toc331684039"/>
      <w:bookmarkStart w:id="1329" w:name="_Toc332270347"/>
      <w:bookmarkStart w:id="1330" w:name="_Toc342060375"/>
      <w:bookmarkStart w:id="1331" w:name="_Toc339019890"/>
      <w:bookmarkStart w:id="1332" w:name="_Toc333935347"/>
      <w:r>
        <w:rPr>
          <w:rFonts w:hint="eastAsia"/>
          <w:color w:val="000000" w:themeColor="text1"/>
          <w:highlight w:val="none"/>
        </w:rPr>
        <w:t>评标注意事项</w:t>
      </w:r>
      <w:bookmarkEnd w:id="1303"/>
      <w:bookmarkEnd w:id="1304"/>
      <w:bookmarkEnd w:id="1305"/>
      <w:bookmarkEnd w:id="1306"/>
    </w:p>
    <w:bookmarkEnd w:id="35"/>
    <w:bookmarkEnd w:id="1300"/>
    <w:bookmarkEnd w:id="1301"/>
    <w:bookmarkEnd w:id="1302"/>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14:paraId="3010CD66">
      <w:pPr>
        <w:widowControl/>
        <w:tabs>
          <w:tab w:val="left" w:pos="753"/>
        </w:tabs>
        <w:adjustRightInd w:val="0"/>
        <w:snapToGrid w:val="0"/>
        <w:spacing w:line="360" w:lineRule="auto"/>
        <w:ind w:left="752" w:hanging="751" w:hangingChars="358"/>
        <w:rPr>
          <w:rFonts w:ascii="宋体" w:hAnsi="宋体"/>
          <w:bCs/>
          <w:color w:val="000000" w:themeColor="text1"/>
          <w:highlight w:val="none"/>
        </w:rPr>
      </w:pPr>
      <w:bookmarkStart w:id="1333" w:name="_Toc26066260"/>
      <w:bookmarkStart w:id="1334" w:name="_Toc491658680"/>
      <w:bookmarkStart w:id="1335" w:name="_Toc6397151"/>
      <w:bookmarkStart w:id="1336" w:name="_Toc500861027"/>
      <w:bookmarkStart w:id="1337" w:name="_Toc6727972"/>
      <w:r>
        <w:rPr>
          <w:rFonts w:hint="eastAsia" w:ascii="宋体" w:hAnsi="宋体"/>
          <w:bCs/>
          <w:color w:val="000000" w:themeColor="text1"/>
          <w:highlight w:val="none"/>
        </w:rPr>
        <w:t>28.1</w:t>
      </w:r>
      <w:r>
        <w:rPr>
          <w:rFonts w:hint="eastAsia" w:ascii="宋体" w:hAnsi="宋体"/>
          <w:bCs/>
          <w:color w:val="000000" w:themeColor="text1"/>
          <w:highlight w:val="none"/>
        </w:rPr>
        <w:tab/>
      </w:r>
      <w:r>
        <w:rPr>
          <w:rFonts w:hint="eastAsia" w:ascii="宋体" w:hAnsi="宋体"/>
          <w:bCs/>
          <w:color w:val="000000" w:themeColor="text1"/>
          <w:highlight w:val="none"/>
        </w:rPr>
        <w:t>评标是招标工作的重要环节，评标工作在评标委员会内独立进行。评标委员会将公正、平等地对待所有投标人。</w:t>
      </w:r>
    </w:p>
    <w:p w14:paraId="79B7E6D8">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 xml:space="preserve">28.2 </w:t>
      </w:r>
      <w:r>
        <w:rPr>
          <w:rFonts w:hint="eastAsia" w:ascii="宋体" w:hAnsi="宋体"/>
          <w:bCs/>
          <w:color w:val="000000" w:themeColor="text1"/>
          <w:highlight w:val="none"/>
        </w:rPr>
        <w:tab/>
      </w:r>
      <w:r>
        <w:rPr>
          <w:rFonts w:hint="eastAsia" w:ascii="宋体" w:hAnsi="宋体"/>
          <w:bCs/>
          <w:color w:val="000000" w:themeColor="text1"/>
          <w:highlight w:val="none"/>
        </w:rPr>
        <w:t>在开标、评标期间，投标人不得向评委询问评标情况，不得进行旨在影响评标结果的活动。</w:t>
      </w:r>
    </w:p>
    <w:p w14:paraId="77854380">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28.3</w:t>
      </w:r>
      <w:r>
        <w:rPr>
          <w:rFonts w:hint="eastAsia" w:ascii="宋体" w:hAnsi="宋体"/>
          <w:bCs/>
          <w:color w:val="000000" w:themeColor="text1"/>
          <w:highlight w:val="none"/>
        </w:rPr>
        <w:tab/>
      </w:r>
      <w:r>
        <w:rPr>
          <w:rFonts w:hint="eastAsia" w:ascii="宋体" w:hAnsi="宋体"/>
          <w:bCs/>
          <w:color w:val="000000" w:themeColor="text1"/>
          <w:highlight w:val="none"/>
        </w:rPr>
        <w:t>在招标工作结束后，评标委员会成员和参与评标的有关工作人员不得透露与评标有关的情况。</w:t>
      </w:r>
    </w:p>
    <w:p w14:paraId="3DA3BCC6">
      <w:pPr>
        <w:pStyle w:val="4"/>
        <w:numPr>
          <w:ilvl w:val="4"/>
          <w:numId w:val="23"/>
        </w:numPr>
        <w:tabs>
          <w:tab w:val="left" w:pos="720"/>
        </w:tabs>
        <w:spacing w:before="240" w:after="120"/>
        <w:ind w:left="2432" w:hanging="2432"/>
        <w:rPr>
          <w:color w:val="000000" w:themeColor="text1"/>
          <w:highlight w:val="none"/>
        </w:rPr>
      </w:pPr>
      <w:bookmarkStart w:id="1338" w:name="_Toc341348340"/>
      <w:bookmarkStart w:id="1339" w:name="_Toc342296762"/>
      <w:bookmarkStart w:id="1340" w:name="_Toc340677072"/>
      <w:bookmarkStart w:id="1341" w:name="_Toc340672871"/>
      <w:bookmarkStart w:id="1342" w:name="_Toc333237790"/>
      <w:bookmarkStart w:id="1343" w:name="_Toc374454602"/>
      <w:bookmarkStart w:id="1344" w:name="_Toc340507444"/>
      <w:bookmarkStart w:id="1345" w:name="_Toc339020017"/>
      <w:bookmarkStart w:id="1346" w:name="_Toc339019891"/>
      <w:bookmarkStart w:id="1347" w:name="_Toc339362302"/>
      <w:bookmarkStart w:id="1348" w:name="_Toc330459987"/>
      <w:bookmarkStart w:id="1349" w:name="_Toc349127628"/>
      <w:bookmarkStart w:id="1350" w:name="_Toc349143591"/>
      <w:bookmarkStart w:id="1351" w:name="_Toc350756452"/>
      <w:bookmarkStart w:id="1352" w:name="_Toc366072530"/>
      <w:bookmarkStart w:id="1353" w:name="_Toc365967074"/>
      <w:bookmarkStart w:id="1354" w:name="_Toc331512900"/>
      <w:bookmarkStart w:id="1355" w:name="_Toc332206710"/>
      <w:bookmarkStart w:id="1356" w:name="_Toc336681937"/>
      <w:bookmarkStart w:id="1357" w:name="_Toc336681582"/>
      <w:bookmarkStart w:id="1358" w:name="_Toc333935348"/>
      <w:bookmarkStart w:id="1359" w:name="_Toc339441089"/>
      <w:bookmarkStart w:id="1360" w:name="_Toc350438751"/>
      <w:bookmarkStart w:id="1361" w:name="_Toc333237679"/>
      <w:bookmarkStart w:id="1362" w:name="_Toc337632360"/>
      <w:bookmarkStart w:id="1363" w:name="_Toc365985180"/>
      <w:bookmarkStart w:id="1364" w:name="_Toc339020097"/>
      <w:bookmarkStart w:id="1365" w:name="_Toc342060376"/>
      <w:bookmarkStart w:id="1366" w:name="_Toc339020235"/>
      <w:bookmarkStart w:id="1367" w:name="_Toc345513903"/>
      <w:bookmarkStart w:id="1368" w:name="_Toc332270348"/>
      <w:bookmarkStart w:id="1369" w:name="_Toc30545"/>
      <w:bookmarkStart w:id="1370" w:name="_Toc333238635"/>
      <w:bookmarkStart w:id="1371" w:name="_Toc333935689"/>
      <w:bookmarkStart w:id="1372" w:name="_Toc331684040"/>
      <w:r>
        <w:rPr>
          <w:rFonts w:hint="eastAsia"/>
          <w:color w:val="000000" w:themeColor="text1"/>
          <w:highlight w:val="none"/>
        </w:rPr>
        <w:t>接受和拒绝投标的权利</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36E2C842">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29</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评标委员会经评审认为所有投标都不符合招标文件要求的，或所有投标报价均超过预算价且采购人无法支付的，有权否决所有投标。</w:t>
      </w:r>
    </w:p>
    <w:p w14:paraId="666AAC0B">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29.2</w:t>
      </w:r>
      <w:r>
        <w:rPr>
          <w:rFonts w:hint="eastAsia" w:ascii="宋体" w:hAnsi="宋体"/>
          <w:bCs/>
          <w:color w:val="000000" w:themeColor="text1"/>
          <w:highlight w:val="none"/>
        </w:rPr>
        <w:tab/>
      </w:r>
      <w:r>
        <w:rPr>
          <w:rFonts w:hint="eastAsia" w:ascii="宋体" w:hAnsi="宋体"/>
          <w:bCs/>
          <w:color w:val="000000" w:themeColor="text1"/>
          <w:highlight w:val="none"/>
        </w:rPr>
        <w:t>如果招标时出现投标人不足三家或者没有合格投标人的情况，依照《中华人民共和国政府采购法》、《中华人民共和国招标投标法》、《政府采购货物和服务招标投标管理办法》及《广东省实施〈中华人民共和国招标投标法〉办法》等有关规定，代理采购机构将重新组织招标或采用政府采购管理部门依法批准的其他政府采购方式进行采购。</w:t>
      </w:r>
    </w:p>
    <w:p w14:paraId="5FD780C7">
      <w:pPr>
        <w:pStyle w:val="4"/>
        <w:numPr>
          <w:ilvl w:val="4"/>
          <w:numId w:val="23"/>
        </w:numPr>
        <w:tabs>
          <w:tab w:val="left" w:pos="720"/>
        </w:tabs>
        <w:spacing w:before="240" w:after="120"/>
        <w:ind w:left="2432" w:hanging="2432"/>
        <w:rPr>
          <w:color w:val="000000" w:themeColor="text1"/>
          <w:highlight w:val="none"/>
        </w:rPr>
      </w:pPr>
      <w:bookmarkStart w:id="1373" w:name="_Toc366072531"/>
      <w:bookmarkStart w:id="1374" w:name="_Toc374454603"/>
      <w:bookmarkStart w:id="1375" w:name="_Toc1451"/>
      <w:r>
        <w:rPr>
          <w:rFonts w:hint="eastAsia"/>
          <w:color w:val="000000" w:themeColor="text1"/>
          <w:highlight w:val="none"/>
        </w:rPr>
        <w:t>发布中标结果公告和发放中标通知书</w:t>
      </w:r>
      <w:bookmarkEnd w:id="1373"/>
      <w:bookmarkEnd w:id="1374"/>
      <w:bookmarkEnd w:id="1375"/>
    </w:p>
    <w:p w14:paraId="6C764E90">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bookmarkStart w:id="1376" w:name="_Toc366072532"/>
      <w:r>
        <w:rPr>
          <w:rFonts w:hint="eastAsia" w:ascii="宋体" w:hAnsi="宋体"/>
          <w:color w:val="000000" w:themeColor="text1"/>
          <w:szCs w:val="21"/>
          <w:highlight w:val="none"/>
        </w:rPr>
        <w:t>30.1   采购人或其授权的评标委员会应按照评标报告中推荐的中标候选投标人排名顺序确定中标投标人。</w:t>
      </w:r>
    </w:p>
    <w:p w14:paraId="57C6692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30.2   中标投标人确认后，中标结果将于指定媒体上公告(</w:t>
      </w:r>
      <w:r>
        <w:rPr>
          <w:rFonts w:hint="eastAsia" w:ascii="黑体" w:eastAsia="黑体"/>
          <w:bCs/>
          <w:color w:val="000000" w:themeColor="text1"/>
          <w:highlight w:val="none"/>
        </w:rPr>
        <w:t>详见第三部份《投标人须知〈投标人须知前附表〉》</w:t>
      </w:r>
      <w:r>
        <w:rPr>
          <w:rFonts w:hint="eastAsia" w:ascii="宋体" w:hAnsi="宋体"/>
          <w:color w:val="000000" w:themeColor="text1"/>
          <w:highlight w:val="none"/>
        </w:rPr>
        <w:t>)</w:t>
      </w:r>
      <w:r>
        <w:rPr>
          <w:rFonts w:hint="eastAsia" w:ascii="宋体" w:hAnsi="宋体"/>
          <w:color w:val="000000" w:themeColor="text1"/>
          <w:szCs w:val="21"/>
          <w:highlight w:val="none"/>
        </w:rPr>
        <w:t>。发布中标结果公告的同时，代理采购机构向中标投标人发出中标通知书。</w:t>
      </w:r>
    </w:p>
    <w:p w14:paraId="5A0BC828">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30.3   未中标投标人，代理采购机构不再以其它方式另行通知。</w:t>
      </w:r>
    </w:p>
    <w:p w14:paraId="7536696E">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30.4   中标通知书发出后，采购人改变中标结果，或者中标投标人放弃中标，应当承担相应的法律责任。</w:t>
      </w:r>
    </w:p>
    <w:p w14:paraId="5CB04860">
      <w:pPr>
        <w:pStyle w:val="4"/>
        <w:numPr>
          <w:ilvl w:val="4"/>
          <w:numId w:val="23"/>
        </w:numPr>
        <w:tabs>
          <w:tab w:val="left" w:pos="720"/>
        </w:tabs>
        <w:spacing w:before="240" w:after="120"/>
        <w:ind w:left="2432" w:hanging="2432"/>
        <w:rPr>
          <w:color w:val="000000" w:themeColor="text1"/>
          <w:highlight w:val="none"/>
        </w:rPr>
      </w:pPr>
      <w:bookmarkStart w:id="1377" w:name="_Toc374454604"/>
      <w:bookmarkStart w:id="1378" w:name="_Toc29804"/>
      <w:r>
        <w:rPr>
          <w:rFonts w:hint="eastAsia"/>
          <w:color w:val="000000" w:themeColor="text1"/>
          <w:highlight w:val="none"/>
        </w:rPr>
        <w:t>投标人对中标结果的质疑、投诉</w:t>
      </w:r>
      <w:bookmarkEnd w:id="1376"/>
      <w:bookmarkEnd w:id="1377"/>
      <w:bookmarkEnd w:id="1378"/>
    </w:p>
    <w:p w14:paraId="365DE6AE">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bookmarkStart w:id="1379" w:name="_Toc350438754"/>
      <w:bookmarkStart w:id="1380" w:name="_Toc333237682"/>
      <w:bookmarkStart w:id="1381" w:name="_Toc339020100"/>
      <w:bookmarkStart w:id="1382" w:name="_Toc332206713"/>
      <w:bookmarkStart w:id="1383" w:name="_Toc333238638"/>
      <w:bookmarkStart w:id="1384" w:name="_Toc332270351"/>
      <w:bookmarkStart w:id="1385" w:name="_Toc339441092"/>
      <w:bookmarkStart w:id="1386" w:name="_Toc333935692"/>
      <w:bookmarkStart w:id="1387" w:name="_Toc336681585"/>
      <w:bookmarkStart w:id="1388" w:name="_Toc365967077"/>
      <w:bookmarkStart w:id="1389" w:name="_Toc340672874"/>
      <w:bookmarkStart w:id="1390" w:name="_Toc339362305"/>
      <w:bookmarkStart w:id="1391" w:name="_Toc342060379"/>
      <w:bookmarkStart w:id="1392" w:name="_Toc340677075"/>
      <w:bookmarkStart w:id="1393" w:name="_Toc340507447"/>
      <w:bookmarkStart w:id="1394" w:name="_Toc365985183"/>
      <w:bookmarkStart w:id="1395" w:name="_Toc336681940"/>
      <w:bookmarkStart w:id="1396" w:name="_Toc337632363"/>
      <w:bookmarkStart w:id="1397" w:name="_Toc341348343"/>
      <w:bookmarkStart w:id="1398" w:name="_Toc331684043"/>
      <w:bookmarkStart w:id="1399" w:name="_Toc330459990"/>
      <w:bookmarkStart w:id="1400" w:name="_Toc345513906"/>
      <w:bookmarkStart w:id="1401" w:name="_Toc339020020"/>
      <w:bookmarkStart w:id="1402" w:name="_Toc350756455"/>
      <w:bookmarkStart w:id="1403" w:name="_Toc333237793"/>
      <w:bookmarkStart w:id="1404" w:name="_Toc331512903"/>
      <w:bookmarkStart w:id="1405" w:name="_Toc349143594"/>
      <w:bookmarkStart w:id="1406" w:name="_Toc339019894"/>
      <w:bookmarkStart w:id="1407" w:name="_Toc349127631"/>
      <w:bookmarkStart w:id="1408" w:name="_Toc333935351"/>
      <w:bookmarkStart w:id="1409" w:name="_Toc339020238"/>
      <w:bookmarkStart w:id="1410" w:name="_Toc342296765"/>
      <w:r>
        <w:rPr>
          <w:rFonts w:hint="eastAsia" w:ascii="宋体" w:hAnsi="宋体"/>
          <w:color w:val="000000" w:themeColor="text1"/>
          <w:szCs w:val="21"/>
          <w:highlight w:val="none"/>
        </w:rPr>
        <w:t>31.1</w:t>
      </w:r>
      <w:r>
        <w:rPr>
          <w:rFonts w:hint="eastAsia" w:ascii="宋体" w:hAnsi="宋体"/>
          <w:color w:val="000000" w:themeColor="text1"/>
          <w:szCs w:val="21"/>
          <w:highlight w:val="none"/>
        </w:rPr>
        <w:tab/>
      </w:r>
      <w:r>
        <w:rPr>
          <w:rFonts w:hint="eastAsia" w:ascii="宋体" w:hAnsi="宋体"/>
          <w:color w:val="000000" w:themeColor="text1"/>
          <w:szCs w:val="21"/>
          <w:highlight w:val="none"/>
        </w:rPr>
        <w:t>投标人对中标公告有异议的，应当在中标结果公告发布之日起七个工作日内，以书面形式向采购人或代理采购机构提出质疑。</w:t>
      </w:r>
    </w:p>
    <w:p w14:paraId="53B380A8">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31.2   采购人或代理采购机构应当在收到投标投标人书面质疑后七个工作日内，对质疑内容作出答复。</w:t>
      </w:r>
    </w:p>
    <w:p w14:paraId="7D04E106">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31.3   投标人对采购人或代理采购机构的答复不满意或者采购人、代理采购机构未在规定时间内答复的，可以在答复期满后十五个工作日内按有关规定，向同级人民政府财政部门投诉。</w:t>
      </w:r>
    </w:p>
    <w:p w14:paraId="098D68CA">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31.4   财政部门应当在收到投诉后三十个工作日内，对投诉事项作出处理决定。</w:t>
      </w:r>
    </w:p>
    <w:p w14:paraId="4BD3C78E">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31.5   投标人须对质疑或投诉内容的真实性承担责任。</w:t>
      </w:r>
    </w:p>
    <w:p w14:paraId="57433563">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31.6   质疑函应当署名。质疑投标人为自然人的，应当由本人签字；质疑投标人为法人或其他组织的，应由法定代表人（负责人）或者主要负责人签字并盖公章。</w:t>
      </w:r>
    </w:p>
    <w:p w14:paraId="38800CF6">
      <w:pPr>
        <w:pStyle w:val="3"/>
        <w:numPr>
          <w:ilvl w:val="0"/>
          <w:numId w:val="0"/>
        </w:numPr>
        <w:rPr>
          <w:color w:val="000000" w:themeColor="text1"/>
          <w:sz w:val="24"/>
          <w:highlight w:val="none"/>
        </w:rPr>
      </w:pPr>
      <w:bookmarkStart w:id="1411" w:name="_Toc374454605"/>
      <w:bookmarkStart w:id="1412" w:name="_Toc366072533"/>
      <w:r>
        <w:rPr>
          <w:color w:val="000000" w:themeColor="text1"/>
          <w:sz w:val="24"/>
          <w:highlight w:val="none"/>
        </w:rPr>
        <w:br w:type="page"/>
      </w:r>
      <w:bookmarkStart w:id="1413" w:name="_Toc8171"/>
      <w:r>
        <w:rPr>
          <w:rFonts w:hint="eastAsia"/>
          <w:color w:val="000000" w:themeColor="text1"/>
          <w:sz w:val="24"/>
          <w:highlight w:val="none"/>
        </w:rPr>
        <w:t>Ｆ  授予合同</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14:paraId="46BDF1C7">
      <w:pPr>
        <w:pStyle w:val="4"/>
        <w:numPr>
          <w:ilvl w:val="4"/>
          <w:numId w:val="23"/>
        </w:numPr>
        <w:tabs>
          <w:tab w:val="left" w:pos="720"/>
        </w:tabs>
        <w:spacing w:before="240" w:after="120"/>
        <w:ind w:left="2432" w:hanging="2432"/>
        <w:rPr>
          <w:color w:val="000000" w:themeColor="text1"/>
          <w:highlight w:val="none"/>
        </w:rPr>
      </w:pPr>
      <w:bookmarkStart w:id="1414" w:name="_Toc339019895"/>
      <w:bookmarkStart w:id="1415" w:name="_Toc339441093"/>
      <w:bookmarkStart w:id="1416" w:name="_Toc480020276"/>
      <w:bookmarkStart w:id="1417" w:name="_Toc336681586"/>
      <w:bookmarkStart w:id="1418" w:name="_Toc349127632"/>
      <w:bookmarkStart w:id="1419" w:name="_Toc336681941"/>
      <w:bookmarkStart w:id="1420" w:name="_Toc340507448"/>
      <w:bookmarkStart w:id="1421" w:name="_Toc339020021"/>
      <w:bookmarkStart w:id="1422" w:name="_Toc467236759"/>
      <w:bookmarkStart w:id="1423" w:name="_Toc350756456"/>
      <w:bookmarkStart w:id="1424" w:name="_Toc331512904"/>
      <w:bookmarkStart w:id="1425" w:name="_Toc349143595"/>
      <w:bookmarkStart w:id="1426" w:name="_Toc500861016"/>
      <w:bookmarkStart w:id="1427" w:name="_Toc479991601"/>
      <w:bookmarkStart w:id="1428" w:name="_Toc365985184"/>
      <w:bookmarkStart w:id="1429" w:name="_Toc350438755"/>
      <w:bookmarkStart w:id="1430" w:name="_Toc480021072"/>
      <w:bookmarkStart w:id="1431" w:name="_Toc332206714"/>
      <w:bookmarkStart w:id="1432" w:name="_Toc333237794"/>
      <w:bookmarkStart w:id="1433" w:name="_Toc333935352"/>
      <w:bookmarkStart w:id="1434" w:name="_Toc339362306"/>
      <w:bookmarkStart w:id="1435" w:name="_Toc339020101"/>
      <w:bookmarkStart w:id="1436" w:name="_Toc467987842"/>
      <w:bookmarkStart w:id="1437" w:name="_Toc374454606"/>
      <w:bookmarkStart w:id="1438" w:name="_Toc366072534"/>
      <w:bookmarkStart w:id="1439" w:name="_Toc468157555"/>
      <w:bookmarkStart w:id="1440" w:name="_Toc333238639"/>
      <w:bookmarkStart w:id="1441" w:name="_Toc341348344"/>
      <w:bookmarkStart w:id="1442" w:name="_Toc491658670"/>
      <w:bookmarkStart w:id="1443" w:name="_Toc332270352"/>
      <w:bookmarkStart w:id="1444" w:name="_Toc342296766"/>
      <w:bookmarkStart w:id="1445" w:name="_Toc331684044"/>
      <w:bookmarkStart w:id="1446" w:name="_Toc9883"/>
      <w:bookmarkStart w:id="1447" w:name="_Toc330459991"/>
      <w:bookmarkStart w:id="1448" w:name="_Toc342060380"/>
      <w:bookmarkStart w:id="1449" w:name="_Toc345513907"/>
      <w:bookmarkStart w:id="1450" w:name="_Toc468606048"/>
      <w:bookmarkStart w:id="1451" w:name="_Toc339020239"/>
      <w:bookmarkStart w:id="1452" w:name="_Toc333237683"/>
      <w:bookmarkStart w:id="1453" w:name="_Toc340677076"/>
      <w:bookmarkStart w:id="1454" w:name="_Toc340672875"/>
      <w:bookmarkStart w:id="1455" w:name="_Toc365967078"/>
      <w:bookmarkStart w:id="1456" w:name="_Toc480010727"/>
      <w:bookmarkStart w:id="1457" w:name="_Toc333935693"/>
      <w:bookmarkStart w:id="1458" w:name="_Toc337632364"/>
      <w:bookmarkStart w:id="1459" w:name="_Toc454701400"/>
      <w:bookmarkStart w:id="1460" w:name="_Toc458262633"/>
      <w:r>
        <w:rPr>
          <w:rFonts w:hint="eastAsia"/>
          <w:color w:val="000000" w:themeColor="text1"/>
          <w:highlight w:val="none"/>
        </w:rPr>
        <w:t>合同授予标准</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14:paraId="13F45CBF">
      <w:pPr>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hAnsi="宋体"/>
          <w:bCs/>
          <w:color w:val="000000" w:themeColor="text1"/>
          <w:highlight w:val="none"/>
        </w:rPr>
        <w:t>3</w:t>
      </w:r>
      <w:r>
        <w:rPr>
          <w:rFonts w:hint="eastAsia" w:ascii="宋体" w:hAnsi="宋体"/>
          <w:bCs/>
          <w:color w:val="000000" w:themeColor="text1"/>
          <w:highlight w:val="none"/>
        </w:rPr>
        <w:t>2</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 xml:space="preserve"> 按第30条规定，采购人将把合同授予此次招标的中标投标人。</w:t>
      </w:r>
    </w:p>
    <w:bookmarkEnd w:id="1459"/>
    <w:bookmarkEnd w:id="1460"/>
    <w:p w14:paraId="5916AE29">
      <w:pPr>
        <w:pStyle w:val="4"/>
        <w:numPr>
          <w:ilvl w:val="4"/>
          <w:numId w:val="23"/>
        </w:numPr>
        <w:tabs>
          <w:tab w:val="left" w:pos="720"/>
        </w:tabs>
        <w:spacing w:before="240" w:after="120"/>
        <w:ind w:left="2432" w:hanging="2432"/>
        <w:rPr>
          <w:color w:val="000000" w:themeColor="text1"/>
          <w:highlight w:val="none"/>
        </w:rPr>
      </w:pPr>
      <w:bookmarkStart w:id="1461" w:name="_Toc468157559"/>
      <w:bookmarkStart w:id="1462" w:name="_Toc342060381"/>
      <w:bookmarkStart w:id="1463" w:name="_Toc366072535"/>
      <w:bookmarkStart w:id="1464" w:name="_Toc480021076"/>
      <w:bookmarkStart w:id="1465" w:name="_Toc331512905"/>
      <w:bookmarkStart w:id="1466" w:name="_Toc342296767"/>
      <w:bookmarkStart w:id="1467" w:name="_Toc332206715"/>
      <w:bookmarkStart w:id="1468" w:name="_Toc480020280"/>
      <w:bookmarkStart w:id="1469" w:name="_Toc333238640"/>
      <w:bookmarkStart w:id="1470" w:name="_Toc336681587"/>
      <w:bookmarkStart w:id="1471" w:name="_Toc339020022"/>
      <w:bookmarkStart w:id="1472" w:name="_Toc479991605"/>
      <w:bookmarkStart w:id="1473" w:name="_Toc332270353"/>
      <w:bookmarkStart w:id="1474" w:name="_Toc500861020"/>
      <w:bookmarkStart w:id="1475" w:name="_Toc339020240"/>
      <w:bookmarkStart w:id="1476" w:name="_Toc333237684"/>
      <w:bookmarkStart w:id="1477" w:name="_Toc333935694"/>
      <w:bookmarkStart w:id="1478" w:name="_Toc467236763"/>
      <w:bookmarkStart w:id="1479" w:name="_Toc333935353"/>
      <w:bookmarkStart w:id="1480" w:name="_Toc339020102"/>
      <w:bookmarkStart w:id="1481" w:name="_Toc454701402"/>
      <w:bookmarkStart w:id="1482" w:name="_Toc480010731"/>
      <w:bookmarkStart w:id="1483" w:name="_Toc345513908"/>
      <w:bookmarkStart w:id="1484" w:name="_Toc365985185"/>
      <w:bookmarkStart w:id="1485" w:name="_Toc350438756"/>
      <w:bookmarkStart w:id="1486" w:name="_Toc330459992"/>
      <w:bookmarkStart w:id="1487" w:name="_Toc458262635"/>
      <w:bookmarkStart w:id="1488" w:name="_Toc491658674"/>
      <w:bookmarkStart w:id="1489" w:name="_Toc331684045"/>
      <w:bookmarkStart w:id="1490" w:name="_Toc341348345"/>
      <w:bookmarkStart w:id="1491" w:name="_Toc336681942"/>
      <w:bookmarkStart w:id="1492" w:name="_Toc349143596"/>
      <w:bookmarkStart w:id="1493" w:name="_Toc340507449"/>
      <w:bookmarkStart w:id="1494" w:name="_Toc339441094"/>
      <w:bookmarkStart w:id="1495" w:name="_Toc349127633"/>
      <w:bookmarkStart w:id="1496" w:name="_Toc468606052"/>
      <w:bookmarkStart w:id="1497" w:name="_Toc374454607"/>
      <w:bookmarkStart w:id="1498" w:name="_Toc337632365"/>
      <w:bookmarkStart w:id="1499" w:name="_Toc340672876"/>
      <w:bookmarkStart w:id="1500" w:name="_Toc467987846"/>
      <w:bookmarkStart w:id="1501" w:name="_Toc350756457"/>
      <w:bookmarkStart w:id="1502" w:name="_Toc339019896"/>
      <w:bookmarkStart w:id="1503" w:name="_Toc340677077"/>
      <w:bookmarkStart w:id="1504" w:name="_Toc26039"/>
      <w:bookmarkStart w:id="1505" w:name="_Toc339362307"/>
      <w:bookmarkStart w:id="1506" w:name="_Toc365967079"/>
      <w:bookmarkStart w:id="1507" w:name="_Toc333237795"/>
      <w:r>
        <w:rPr>
          <w:rFonts w:hint="eastAsia"/>
          <w:color w:val="000000" w:themeColor="text1"/>
          <w:highlight w:val="none"/>
        </w:rPr>
        <w:t>签订合同</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71219262">
      <w:pPr>
        <w:widowControl/>
        <w:tabs>
          <w:tab w:val="left" w:pos="753"/>
        </w:tabs>
        <w:adjustRightInd w:val="0"/>
        <w:snapToGrid w:val="0"/>
        <w:spacing w:line="360" w:lineRule="auto"/>
        <w:ind w:left="753" w:hanging="753"/>
        <w:rPr>
          <w:rFonts w:ascii="宋体" w:hAnsi="宋体"/>
          <w:bCs/>
          <w:color w:val="000000" w:themeColor="text1"/>
          <w:highlight w:val="none"/>
        </w:rPr>
      </w:pPr>
      <w:bookmarkStart w:id="1508" w:name="_Toc377129068"/>
      <w:bookmarkStart w:id="1509" w:name="_Toc369700990"/>
      <w:bookmarkStart w:id="1510" w:name="_Toc366681897"/>
      <w:bookmarkStart w:id="1511" w:name="_Toc378261823"/>
      <w:bookmarkStart w:id="1512" w:name="_Toc372209289"/>
      <w:bookmarkStart w:id="1513" w:name="_Toc383069738"/>
      <w:bookmarkStart w:id="1514" w:name="_Toc370309169"/>
      <w:bookmarkStart w:id="1515" w:name="_Toc366072536"/>
      <w:bookmarkStart w:id="1516" w:name="_Toc370983962"/>
      <w:bookmarkStart w:id="1517" w:name="_Toc379896705"/>
      <w:bookmarkStart w:id="1518" w:name="_Toc373401413"/>
      <w:bookmarkStart w:id="1519" w:name="_Toc367095382"/>
      <w:bookmarkStart w:id="1520" w:name="_Toc374454608"/>
      <w:bookmarkStart w:id="1521" w:name="_Toc374093632"/>
      <w:bookmarkStart w:id="1522" w:name="_Toc341348346"/>
      <w:bookmarkStart w:id="1523" w:name="_Toc336681943"/>
      <w:bookmarkStart w:id="1524" w:name="_Toc339019897"/>
      <w:bookmarkStart w:id="1525" w:name="_Toc339020023"/>
      <w:bookmarkStart w:id="1526" w:name="_Toc333935695"/>
      <w:bookmarkStart w:id="1527" w:name="_Toc332206716"/>
      <w:bookmarkStart w:id="1528" w:name="_Toc333237796"/>
      <w:bookmarkStart w:id="1529" w:name="_Toc365985186"/>
      <w:bookmarkStart w:id="1530" w:name="_Toc331684046"/>
      <w:bookmarkStart w:id="1531" w:name="_Toc349143597"/>
      <w:bookmarkStart w:id="1532" w:name="_Toc336681588"/>
      <w:bookmarkStart w:id="1533" w:name="_Toc340672877"/>
      <w:bookmarkStart w:id="1534" w:name="_Toc333935354"/>
      <w:bookmarkStart w:id="1535" w:name="_Toc333238641"/>
      <w:bookmarkStart w:id="1536" w:name="_Toc339362308"/>
      <w:bookmarkStart w:id="1537" w:name="_Toc339441095"/>
      <w:bookmarkStart w:id="1538" w:name="_Toc342296768"/>
      <w:bookmarkStart w:id="1539" w:name="_Toc333237685"/>
      <w:bookmarkStart w:id="1540" w:name="_Toc332270354"/>
      <w:bookmarkStart w:id="1541" w:name="_Toc331512906"/>
      <w:bookmarkStart w:id="1542" w:name="_Toc345513909"/>
      <w:bookmarkStart w:id="1543" w:name="_Toc339020241"/>
      <w:bookmarkStart w:id="1544" w:name="_Toc342060382"/>
      <w:bookmarkStart w:id="1545" w:name="_Toc349127634"/>
      <w:bookmarkStart w:id="1546" w:name="_Toc339020103"/>
      <w:bookmarkStart w:id="1547" w:name="_Toc340677078"/>
      <w:bookmarkStart w:id="1548" w:name="_Toc365967080"/>
      <w:bookmarkStart w:id="1549" w:name="_Toc340507450"/>
      <w:bookmarkStart w:id="1550" w:name="_Toc350756458"/>
      <w:bookmarkStart w:id="1551" w:name="_Toc337632366"/>
      <w:bookmarkStart w:id="1552" w:name="_Toc350438757"/>
      <w:bookmarkStart w:id="1553" w:name="_Toc330459993"/>
      <w:r>
        <w:rPr>
          <w:rFonts w:ascii="宋体" w:hAnsi="宋体"/>
          <w:bCs/>
          <w:color w:val="000000" w:themeColor="text1"/>
          <w:highlight w:val="none"/>
        </w:rPr>
        <w:t>3</w:t>
      </w:r>
      <w:r>
        <w:rPr>
          <w:rFonts w:hint="eastAsia" w:ascii="宋体" w:hAnsi="宋体"/>
          <w:bCs/>
          <w:color w:val="000000" w:themeColor="text1"/>
          <w:highlight w:val="none"/>
        </w:rPr>
        <w:t>3</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采购人应当按照招标文件和中标投标人投标文件的约定，与中标投标人签订书面合同。所签订的合同不得对招标文件和中标投标人投标文件作实质性修改。采购人不得向中标投标人提出任何不合理的要求，作为签订合同的条件，不得与中标投标人私下订立背离合同实质性内容的协议。</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 w14:paraId="2C4D1D17">
      <w:pPr>
        <w:widowControl/>
        <w:tabs>
          <w:tab w:val="left" w:pos="753"/>
        </w:tabs>
        <w:adjustRightInd w:val="0"/>
        <w:snapToGrid w:val="0"/>
        <w:spacing w:line="360" w:lineRule="auto"/>
        <w:ind w:left="753" w:hanging="753"/>
        <w:rPr>
          <w:rFonts w:ascii="宋体" w:hAnsi="宋体"/>
          <w:bCs/>
          <w:color w:val="000000" w:themeColor="text1"/>
          <w:highlight w:val="none"/>
        </w:rPr>
      </w:pPr>
      <w:r>
        <w:rPr>
          <w:rFonts w:ascii="宋体" w:hAnsi="宋体"/>
          <w:bCs/>
          <w:color w:val="000000" w:themeColor="text1"/>
          <w:highlight w:val="none"/>
        </w:rPr>
        <w:t>3</w:t>
      </w:r>
      <w:r>
        <w:rPr>
          <w:rFonts w:hint="eastAsia" w:ascii="宋体" w:hAnsi="宋体"/>
          <w:bCs/>
          <w:color w:val="000000" w:themeColor="text1"/>
          <w:highlight w:val="none"/>
        </w:rPr>
        <w:t>3</w:t>
      </w:r>
      <w:r>
        <w:rPr>
          <w:rFonts w:ascii="宋体" w:hAnsi="宋体"/>
          <w:bCs/>
          <w:color w:val="000000" w:themeColor="text1"/>
          <w:highlight w:val="none"/>
        </w:rPr>
        <w:t>.2</w:t>
      </w:r>
      <w:r>
        <w:rPr>
          <w:rFonts w:hint="eastAsia" w:ascii="宋体" w:hAnsi="宋体"/>
          <w:bCs/>
          <w:color w:val="000000" w:themeColor="text1"/>
          <w:highlight w:val="none"/>
        </w:rPr>
        <w:t xml:space="preserve"> </w:t>
      </w:r>
      <w:r>
        <w:rPr>
          <w:rFonts w:hint="eastAsia" w:ascii="宋体" w:hAnsi="宋体"/>
          <w:bCs/>
          <w:color w:val="000000" w:themeColor="text1"/>
          <w:highlight w:val="none"/>
        </w:rPr>
        <w:tab/>
      </w:r>
      <w:r>
        <w:rPr>
          <w:rFonts w:hint="eastAsia" w:ascii="宋体" w:hAnsi="宋体"/>
          <w:bCs/>
          <w:color w:val="000000" w:themeColor="text1"/>
          <w:highlight w:val="none"/>
        </w:rPr>
        <w:t>采购人应当自采购合同签订之日起七个工作日内，按照有关规定将采购合同副本报同级人民政府财政部门和代理采购机构备案。</w:t>
      </w:r>
    </w:p>
    <w:p w14:paraId="5E662A4C">
      <w:pPr>
        <w:widowControl/>
        <w:tabs>
          <w:tab w:val="left" w:pos="753"/>
        </w:tabs>
        <w:adjustRightInd w:val="0"/>
        <w:snapToGrid w:val="0"/>
        <w:spacing w:line="360" w:lineRule="auto"/>
        <w:ind w:left="753" w:hanging="753"/>
        <w:rPr>
          <w:rFonts w:ascii="宋体" w:hAnsi="宋体"/>
          <w:bCs/>
          <w:color w:val="000000" w:themeColor="text1"/>
          <w:highlight w:val="none"/>
        </w:rPr>
      </w:pPr>
      <w:r>
        <w:rPr>
          <w:rFonts w:hint="eastAsia" w:ascii="宋体" w:hAnsi="宋体" w:cs="Arial"/>
          <w:color w:val="000000" w:themeColor="text1"/>
          <w:szCs w:val="21"/>
          <w:highlight w:val="none"/>
        </w:rPr>
        <w:t xml:space="preserve">33.3   </w:t>
      </w:r>
      <w:r>
        <w:rPr>
          <w:rFonts w:ascii="宋体" w:hAnsi="宋体"/>
          <w:bCs/>
          <w:color w:val="000000" w:themeColor="text1"/>
          <w:highlight w:val="none"/>
        </w:rPr>
        <w:t>中标供应商拒绝与采购人签订合同的，采购人可以按照评审报告推荐的中标供应商候选人名单排序，确定下一候选人为中标供应商，也可以重新开展政府采购活动</w:t>
      </w:r>
      <w:r>
        <w:rPr>
          <w:rFonts w:hint="eastAsia" w:ascii="宋体" w:hAnsi="宋体"/>
          <w:bCs/>
          <w:color w:val="000000" w:themeColor="text1"/>
          <w:highlight w:val="none"/>
        </w:rPr>
        <w:t>。</w:t>
      </w:r>
    </w:p>
    <w:p w14:paraId="5C43803A">
      <w:pPr>
        <w:widowControl/>
        <w:tabs>
          <w:tab w:val="left" w:pos="753"/>
        </w:tabs>
        <w:adjustRightInd w:val="0"/>
        <w:snapToGrid w:val="0"/>
        <w:spacing w:line="360" w:lineRule="auto"/>
        <w:ind w:left="753" w:hanging="753"/>
        <w:rPr>
          <w:rFonts w:ascii="宋体" w:hAnsi="宋体"/>
          <w:bCs/>
          <w:color w:val="000000" w:themeColor="text1"/>
          <w:highlight w:val="none"/>
        </w:rPr>
      </w:pPr>
    </w:p>
    <w:p w14:paraId="5D565022">
      <w:pPr>
        <w:widowControl/>
        <w:tabs>
          <w:tab w:val="left" w:pos="753"/>
        </w:tabs>
        <w:adjustRightInd w:val="0"/>
        <w:snapToGrid w:val="0"/>
        <w:spacing w:line="360" w:lineRule="auto"/>
        <w:ind w:left="753" w:hanging="753"/>
        <w:rPr>
          <w:rFonts w:ascii="宋体" w:hAnsi="宋体"/>
          <w:bCs/>
          <w:color w:val="000000" w:themeColor="text1"/>
          <w:highlight w:val="none"/>
        </w:rPr>
      </w:pPr>
    </w:p>
    <w:p w14:paraId="579940E4">
      <w:pPr>
        <w:widowControl/>
        <w:tabs>
          <w:tab w:val="left" w:pos="753"/>
        </w:tabs>
        <w:adjustRightInd w:val="0"/>
        <w:snapToGrid w:val="0"/>
        <w:spacing w:line="360" w:lineRule="auto"/>
        <w:ind w:left="753" w:hanging="753"/>
        <w:rPr>
          <w:rFonts w:ascii="宋体" w:hAnsi="宋体"/>
          <w:bCs/>
          <w:color w:val="000000" w:themeColor="text1"/>
          <w:highlight w:val="none"/>
        </w:rPr>
      </w:pPr>
    </w:p>
    <w:p w14:paraId="0F4DF8D1">
      <w:pPr>
        <w:widowControl/>
        <w:tabs>
          <w:tab w:val="left" w:pos="753"/>
        </w:tabs>
        <w:adjustRightInd w:val="0"/>
        <w:snapToGrid w:val="0"/>
        <w:spacing w:line="360" w:lineRule="auto"/>
        <w:ind w:left="753" w:hanging="753"/>
        <w:rPr>
          <w:rFonts w:ascii="宋体" w:hAnsi="宋体"/>
          <w:bCs/>
          <w:color w:val="000000" w:themeColor="text1"/>
          <w:highlight w:val="none"/>
        </w:rPr>
      </w:pPr>
    </w:p>
    <w:p w14:paraId="5E6DFE4C">
      <w:pPr>
        <w:widowControl/>
        <w:tabs>
          <w:tab w:val="left" w:pos="753"/>
        </w:tabs>
        <w:adjustRightInd w:val="0"/>
        <w:snapToGrid w:val="0"/>
        <w:spacing w:line="360" w:lineRule="auto"/>
        <w:ind w:left="753" w:hanging="753"/>
        <w:rPr>
          <w:rFonts w:ascii="宋体" w:hAnsi="宋体"/>
          <w:bCs/>
          <w:color w:val="000000" w:themeColor="text1"/>
          <w:highlight w:val="none"/>
        </w:rPr>
      </w:pPr>
    </w:p>
    <w:p w14:paraId="254094B6">
      <w:pPr>
        <w:widowControl/>
        <w:tabs>
          <w:tab w:val="left" w:pos="753"/>
        </w:tabs>
        <w:adjustRightInd w:val="0"/>
        <w:snapToGrid w:val="0"/>
        <w:spacing w:line="360" w:lineRule="auto"/>
        <w:ind w:left="753" w:hanging="753"/>
        <w:rPr>
          <w:rFonts w:ascii="宋体" w:hAnsi="宋体"/>
          <w:bCs/>
          <w:color w:val="000000" w:themeColor="text1"/>
          <w:highlight w:val="none"/>
        </w:rPr>
      </w:pPr>
    </w:p>
    <w:p w14:paraId="2B1BAB12">
      <w:pPr>
        <w:widowControl/>
        <w:tabs>
          <w:tab w:val="left" w:pos="753"/>
        </w:tabs>
        <w:adjustRightInd w:val="0"/>
        <w:snapToGrid w:val="0"/>
        <w:spacing w:line="360" w:lineRule="auto"/>
        <w:ind w:left="753" w:hanging="753"/>
        <w:rPr>
          <w:rFonts w:ascii="宋体" w:hAnsi="宋体"/>
          <w:bCs/>
          <w:color w:val="000000" w:themeColor="text1"/>
          <w:highlight w:val="none"/>
        </w:rPr>
      </w:pPr>
    </w:p>
    <w:p w14:paraId="341CF717">
      <w:pPr>
        <w:widowControl/>
        <w:tabs>
          <w:tab w:val="left" w:pos="753"/>
        </w:tabs>
        <w:adjustRightInd w:val="0"/>
        <w:snapToGrid w:val="0"/>
        <w:spacing w:line="360" w:lineRule="auto"/>
        <w:ind w:left="753" w:hanging="753"/>
        <w:rPr>
          <w:rFonts w:ascii="宋体" w:hAnsi="宋体"/>
          <w:bCs/>
          <w:color w:val="000000" w:themeColor="text1"/>
          <w:highlight w:val="none"/>
        </w:rPr>
      </w:pPr>
    </w:p>
    <w:p w14:paraId="4DF391CA">
      <w:pPr>
        <w:widowControl/>
        <w:tabs>
          <w:tab w:val="left" w:pos="753"/>
        </w:tabs>
        <w:adjustRightInd w:val="0"/>
        <w:snapToGrid w:val="0"/>
        <w:spacing w:line="360" w:lineRule="auto"/>
        <w:ind w:left="753" w:hanging="753"/>
        <w:rPr>
          <w:rFonts w:ascii="宋体" w:hAnsi="宋体"/>
          <w:bCs/>
          <w:color w:val="000000" w:themeColor="text1"/>
          <w:highlight w:val="none"/>
        </w:rPr>
      </w:pPr>
    </w:p>
    <w:p w14:paraId="5ABF8D40">
      <w:pPr>
        <w:widowControl/>
        <w:tabs>
          <w:tab w:val="left" w:pos="753"/>
        </w:tabs>
        <w:adjustRightInd w:val="0"/>
        <w:snapToGrid w:val="0"/>
        <w:spacing w:line="360" w:lineRule="auto"/>
        <w:ind w:left="753" w:hanging="753"/>
        <w:rPr>
          <w:rFonts w:ascii="宋体" w:hAnsi="宋体"/>
          <w:bCs/>
          <w:color w:val="000000" w:themeColor="text1"/>
          <w:highlight w:val="none"/>
        </w:rPr>
      </w:pPr>
    </w:p>
    <w:p w14:paraId="6391BE99">
      <w:pPr>
        <w:widowControl/>
        <w:tabs>
          <w:tab w:val="left" w:pos="753"/>
        </w:tabs>
        <w:adjustRightInd w:val="0"/>
        <w:snapToGrid w:val="0"/>
        <w:spacing w:line="360" w:lineRule="auto"/>
        <w:ind w:left="753" w:hanging="753"/>
        <w:rPr>
          <w:rFonts w:ascii="宋体" w:hAnsi="宋体"/>
          <w:bCs/>
          <w:color w:val="000000" w:themeColor="text1"/>
          <w:highlight w:val="none"/>
        </w:rPr>
      </w:pPr>
    </w:p>
    <w:p w14:paraId="6B99EC7F">
      <w:pPr>
        <w:widowControl/>
        <w:tabs>
          <w:tab w:val="left" w:pos="753"/>
        </w:tabs>
        <w:adjustRightInd w:val="0"/>
        <w:snapToGrid w:val="0"/>
        <w:spacing w:line="360" w:lineRule="auto"/>
        <w:ind w:left="753" w:hanging="753"/>
        <w:rPr>
          <w:rFonts w:ascii="宋体" w:hAnsi="宋体"/>
          <w:bCs/>
          <w:color w:val="000000" w:themeColor="text1"/>
          <w:highlight w:val="none"/>
        </w:rPr>
      </w:pPr>
    </w:p>
    <w:p w14:paraId="1DB53226">
      <w:pPr>
        <w:widowControl/>
        <w:tabs>
          <w:tab w:val="left" w:pos="753"/>
        </w:tabs>
        <w:adjustRightInd w:val="0"/>
        <w:snapToGrid w:val="0"/>
        <w:spacing w:line="360" w:lineRule="auto"/>
        <w:ind w:left="753" w:hanging="753"/>
        <w:rPr>
          <w:rFonts w:ascii="宋体" w:hAnsi="宋体"/>
          <w:bCs/>
          <w:color w:val="000000" w:themeColor="text1"/>
          <w:highlight w:val="none"/>
        </w:rPr>
      </w:pPr>
    </w:p>
    <w:p w14:paraId="6194636F">
      <w:pPr>
        <w:widowControl/>
        <w:tabs>
          <w:tab w:val="left" w:pos="753"/>
        </w:tabs>
        <w:adjustRightInd w:val="0"/>
        <w:snapToGrid w:val="0"/>
        <w:spacing w:line="360" w:lineRule="auto"/>
        <w:ind w:left="753" w:hanging="753"/>
        <w:rPr>
          <w:rFonts w:ascii="宋体" w:hAnsi="宋体"/>
          <w:bCs/>
          <w:color w:val="000000" w:themeColor="text1"/>
          <w:highlight w:val="none"/>
        </w:rPr>
      </w:pPr>
    </w:p>
    <w:p w14:paraId="3E4B77EE">
      <w:pPr>
        <w:widowControl/>
        <w:tabs>
          <w:tab w:val="left" w:pos="753"/>
        </w:tabs>
        <w:adjustRightInd w:val="0"/>
        <w:snapToGrid w:val="0"/>
        <w:spacing w:line="360" w:lineRule="auto"/>
        <w:ind w:left="753" w:hanging="753"/>
        <w:rPr>
          <w:rFonts w:ascii="宋体" w:hAnsi="宋体"/>
          <w:bCs/>
          <w:color w:val="000000" w:themeColor="text1"/>
          <w:highlight w:val="none"/>
        </w:rPr>
      </w:pPr>
    </w:p>
    <w:p w14:paraId="31931B4F">
      <w:pPr>
        <w:widowControl/>
        <w:tabs>
          <w:tab w:val="left" w:pos="753"/>
        </w:tabs>
        <w:adjustRightInd w:val="0"/>
        <w:snapToGrid w:val="0"/>
        <w:spacing w:line="360" w:lineRule="auto"/>
        <w:ind w:left="753" w:hanging="753"/>
        <w:rPr>
          <w:rFonts w:ascii="宋体" w:hAnsi="宋体"/>
          <w:bCs/>
          <w:color w:val="000000" w:themeColor="text1"/>
          <w:highlight w:val="none"/>
        </w:rPr>
      </w:pPr>
    </w:p>
    <w:p w14:paraId="5ABBE92F">
      <w:pPr>
        <w:widowControl/>
        <w:tabs>
          <w:tab w:val="left" w:pos="753"/>
        </w:tabs>
        <w:adjustRightInd w:val="0"/>
        <w:snapToGrid w:val="0"/>
        <w:spacing w:line="360" w:lineRule="auto"/>
        <w:ind w:left="753" w:hanging="753"/>
        <w:rPr>
          <w:rFonts w:ascii="宋体" w:hAnsi="宋体"/>
          <w:bCs/>
          <w:color w:val="000000" w:themeColor="text1"/>
          <w:highlight w:val="none"/>
        </w:rPr>
      </w:pPr>
    </w:p>
    <w:p w14:paraId="33D3106D">
      <w:pPr>
        <w:widowControl/>
        <w:tabs>
          <w:tab w:val="left" w:pos="753"/>
        </w:tabs>
        <w:adjustRightInd w:val="0"/>
        <w:snapToGrid w:val="0"/>
        <w:spacing w:line="360" w:lineRule="auto"/>
        <w:ind w:left="753" w:hanging="753"/>
        <w:rPr>
          <w:rFonts w:ascii="宋体" w:hAnsi="宋体"/>
          <w:bCs/>
          <w:color w:val="000000" w:themeColor="text1"/>
          <w:highlight w:val="none"/>
        </w:rPr>
      </w:pPr>
    </w:p>
    <w:p w14:paraId="0B099C1E">
      <w:pPr>
        <w:widowControl/>
        <w:tabs>
          <w:tab w:val="left" w:pos="753"/>
        </w:tabs>
        <w:adjustRightInd w:val="0"/>
        <w:snapToGrid w:val="0"/>
        <w:spacing w:line="360" w:lineRule="auto"/>
        <w:ind w:left="753" w:hanging="753"/>
        <w:rPr>
          <w:rFonts w:ascii="宋体" w:hAnsi="宋体"/>
          <w:bCs/>
          <w:color w:val="000000" w:themeColor="text1"/>
          <w:highlight w:val="none"/>
        </w:rPr>
      </w:pPr>
    </w:p>
    <w:p w14:paraId="3A27F9A3">
      <w:pPr>
        <w:widowControl/>
        <w:tabs>
          <w:tab w:val="left" w:pos="753"/>
        </w:tabs>
        <w:adjustRightInd w:val="0"/>
        <w:snapToGrid w:val="0"/>
        <w:spacing w:line="360" w:lineRule="auto"/>
        <w:ind w:left="753" w:hanging="753"/>
        <w:rPr>
          <w:rFonts w:ascii="宋体" w:hAnsi="宋体"/>
          <w:bCs/>
          <w:color w:val="000000" w:themeColor="text1"/>
          <w:highlight w:val="none"/>
        </w:rPr>
      </w:pPr>
    </w:p>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14:paraId="1EA55075">
      <w:pPr>
        <w:pStyle w:val="3"/>
        <w:numPr>
          <w:ilvl w:val="0"/>
          <w:numId w:val="0"/>
        </w:numPr>
        <w:rPr>
          <w:color w:val="000000" w:themeColor="text1"/>
          <w:sz w:val="24"/>
          <w:highlight w:val="none"/>
        </w:rPr>
      </w:pPr>
      <w:bookmarkStart w:id="1554" w:name="_Toc430771059"/>
      <w:bookmarkStart w:id="1555" w:name="_Toc432682726"/>
      <w:bookmarkStart w:id="1556" w:name="_Toc8910"/>
      <w:bookmarkStart w:id="1557" w:name="_Toc467987849"/>
      <w:bookmarkStart w:id="1558" w:name="_Toc500861024"/>
      <w:bookmarkStart w:id="1559" w:name="_Toc480021079"/>
      <w:bookmarkStart w:id="1560" w:name="_Toc467236766"/>
      <w:bookmarkStart w:id="1561" w:name="_Toc468157562"/>
      <w:bookmarkStart w:id="1562" w:name="_Toc479991608"/>
      <w:bookmarkStart w:id="1563" w:name="_Toc480020283"/>
      <w:bookmarkStart w:id="1564" w:name="_Toc480010734"/>
      <w:bookmarkStart w:id="1565" w:name="_Toc468606055"/>
      <w:bookmarkStart w:id="1566" w:name="_Toc491658677"/>
      <w:r>
        <w:rPr>
          <w:color w:val="000000" w:themeColor="text1"/>
          <w:sz w:val="24"/>
          <w:highlight w:val="none"/>
        </w:rPr>
        <w:t>G</w:t>
      </w:r>
      <w:r>
        <w:rPr>
          <w:rFonts w:hint="eastAsia"/>
          <w:color w:val="000000" w:themeColor="text1"/>
          <w:sz w:val="24"/>
          <w:highlight w:val="none"/>
        </w:rPr>
        <w:t>、政府采购政策</w:t>
      </w:r>
      <w:bookmarkEnd w:id="1554"/>
      <w:bookmarkEnd w:id="1555"/>
      <w:bookmarkEnd w:id="1556"/>
    </w:p>
    <w:p w14:paraId="1E7D9CB3">
      <w:pPr>
        <w:spacing w:line="360" w:lineRule="auto"/>
        <w:ind w:left="735" w:hanging="735" w:hangingChars="350"/>
        <w:rPr>
          <w:rFonts w:hint="eastAsia" w:ascii="宋体" w:hAnsi="宋体" w:eastAsia="宋体" w:cs="宋体"/>
          <w:color w:val="000000" w:themeColor="text1"/>
          <w:highlight w:val="none"/>
        </w:rPr>
      </w:pPr>
      <w:bookmarkStart w:id="1567" w:name="_Toc430185803"/>
      <w:bookmarkStart w:id="1568" w:name="_Toc430771060"/>
      <w:r>
        <w:rPr>
          <w:rFonts w:hint="eastAsia" w:ascii="宋体" w:hAnsi="宋体" w:eastAsia="宋体" w:cs="宋体"/>
          <w:color w:val="000000" w:themeColor="text1"/>
          <w:highlight w:val="none"/>
        </w:rPr>
        <w:t>3</w:t>
      </w:r>
      <w:r>
        <w:rPr>
          <w:rFonts w:hint="eastAsia" w:ascii="宋体" w:hAnsi="宋体" w:cs="宋体"/>
          <w:color w:val="000000" w:themeColor="text1"/>
          <w:highlight w:val="none"/>
          <w:lang w:val="en-US" w:eastAsia="zh-CN"/>
        </w:rPr>
        <w:t>4</w:t>
      </w:r>
      <w:r>
        <w:rPr>
          <w:rFonts w:hint="eastAsia" w:ascii="宋体" w:hAnsi="宋体" w:eastAsia="宋体" w:cs="宋体"/>
          <w:color w:val="000000" w:themeColor="text1"/>
          <w:highlight w:val="none"/>
        </w:rPr>
        <w:t xml:space="preserve">     </w:t>
      </w:r>
      <w:bookmarkStart w:id="1569" w:name="_Hlk499217741"/>
      <w:r>
        <w:rPr>
          <w:rFonts w:hint="eastAsia" w:ascii="宋体" w:hAnsi="宋体" w:eastAsia="宋体" w:cs="宋体"/>
          <w:color w:val="000000" w:themeColor="text1"/>
          <w:highlight w:val="none"/>
        </w:rPr>
        <w:t>若没有明示采购进口产品的，则视为采购产品为非进口产品（进口产品指中国海关验放进入中国境内且产自关境外的产品）。</w:t>
      </w:r>
      <w:bookmarkEnd w:id="1567"/>
      <w:bookmarkEnd w:id="1568"/>
      <w:bookmarkEnd w:id="1569"/>
    </w:p>
    <w:p w14:paraId="61BD0489">
      <w:pPr>
        <w:spacing w:line="360" w:lineRule="auto"/>
        <w:ind w:left="735" w:hanging="735" w:hangingChars="350"/>
        <w:rPr>
          <w:rFonts w:hint="eastAsia" w:ascii="宋体" w:hAnsi="宋体" w:eastAsia="宋体" w:cs="宋体"/>
          <w:color w:val="000000" w:themeColor="text1"/>
          <w:highlight w:val="none"/>
        </w:rPr>
      </w:pPr>
      <w:bookmarkStart w:id="1570" w:name="_Toc430771061"/>
      <w:bookmarkStart w:id="1571" w:name="_Toc430185804"/>
      <w:r>
        <w:rPr>
          <w:rFonts w:hint="eastAsia" w:ascii="宋体" w:hAnsi="宋体" w:eastAsia="宋体" w:cs="宋体"/>
          <w:color w:val="000000" w:themeColor="text1"/>
          <w:highlight w:val="none"/>
        </w:rPr>
        <w:t>3</w:t>
      </w:r>
      <w:r>
        <w:rPr>
          <w:rFonts w:hint="eastAsia" w:ascii="宋体" w:hAnsi="宋体" w:cs="宋体"/>
          <w:color w:val="000000" w:themeColor="text1"/>
          <w:highlight w:val="none"/>
          <w:lang w:val="en-US" w:eastAsia="zh-CN"/>
        </w:rPr>
        <w:t>5</w:t>
      </w:r>
      <w:r>
        <w:rPr>
          <w:rFonts w:hint="eastAsia" w:ascii="宋体" w:hAnsi="宋体" w:eastAsia="宋体" w:cs="宋体"/>
          <w:color w:val="000000" w:themeColor="text1"/>
          <w:highlight w:val="none"/>
        </w:rPr>
        <w:t xml:space="preserve">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570"/>
      <w:bookmarkEnd w:id="1571"/>
    </w:p>
    <w:p w14:paraId="035D9EA4">
      <w:pPr>
        <w:spacing w:line="360" w:lineRule="auto"/>
        <w:ind w:left="735" w:hanging="735" w:hangingChars="350"/>
        <w:rPr>
          <w:rFonts w:hint="eastAsia" w:ascii="宋体" w:hAnsi="宋体" w:eastAsia="宋体" w:cs="宋体"/>
          <w:color w:val="000000" w:themeColor="text1"/>
          <w:highlight w:val="none"/>
        </w:rPr>
      </w:pPr>
      <w:bookmarkStart w:id="1572" w:name="_Toc430771062"/>
      <w:bookmarkStart w:id="1573" w:name="_Toc430185805"/>
      <w:r>
        <w:rPr>
          <w:rFonts w:hint="eastAsia" w:ascii="宋体" w:hAnsi="宋体" w:eastAsia="宋体" w:cs="宋体"/>
          <w:color w:val="000000" w:themeColor="text1"/>
          <w:highlight w:val="none"/>
        </w:rPr>
        <w:t>3</w:t>
      </w:r>
      <w:r>
        <w:rPr>
          <w:rFonts w:hint="eastAsia" w:ascii="宋体" w:hAnsi="宋体" w:cs="宋体"/>
          <w:color w:val="000000" w:themeColor="text1"/>
          <w:highlight w:val="none"/>
          <w:lang w:val="en-US" w:eastAsia="zh-CN"/>
        </w:rPr>
        <w:t>6</w:t>
      </w:r>
      <w:r>
        <w:rPr>
          <w:rFonts w:hint="eastAsia" w:ascii="宋体" w:hAnsi="宋体" w:eastAsia="宋体" w:cs="宋体"/>
          <w:color w:val="000000" w:themeColor="text1"/>
          <w:highlight w:val="none"/>
        </w:rPr>
        <w:t xml:space="preserve">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"http://www.ccgp.gov.cn"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http://www.ccgp.gov.cn</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/）、国家环境保护总局网（</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"http://www.ccgp.gov.cn"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http://www.sepa.gov.cn</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/）、中国绿色采购网（</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"http://www.cgpn.cn"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http://www.cgpn.cn</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/）上发布。</w:t>
      </w:r>
      <w:bookmarkEnd w:id="1572"/>
      <w:bookmarkEnd w:id="1573"/>
    </w:p>
    <w:p w14:paraId="58E141EE">
      <w:pPr>
        <w:spacing w:line="360" w:lineRule="auto"/>
        <w:ind w:left="735" w:hanging="735" w:hangingChars="350"/>
        <w:rPr>
          <w:rFonts w:hint="eastAsia" w:ascii="宋体" w:hAnsi="宋体" w:eastAsia="宋体" w:cs="宋体"/>
          <w:color w:val="000000" w:themeColor="text1"/>
          <w:highlight w:val="none"/>
        </w:rPr>
      </w:pPr>
      <w:bookmarkStart w:id="1574" w:name="_Toc430185806"/>
      <w:bookmarkStart w:id="1575" w:name="_Toc430771063"/>
      <w:r>
        <w:rPr>
          <w:rFonts w:hint="eastAsia" w:ascii="宋体" w:hAnsi="宋体" w:eastAsia="宋体" w:cs="宋体"/>
          <w:color w:val="000000" w:themeColor="text1"/>
          <w:highlight w:val="none"/>
        </w:rPr>
        <w:t>3</w:t>
      </w:r>
      <w:r>
        <w:rPr>
          <w:rFonts w:hint="eastAsia" w:ascii="宋体" w:hAnsi="宋体" w:cs="宋体"/>
          <w:color w:val="000000" w:themeColor="text1"/>
          <w:highlight w:val="none"/>
          <w:lang w:val="en-US" w:eastAsia="zh-CN"/>
        </w:rPr>
        <w:t>7</w:t>
      </w:r>
      <w:r>
        <w:rPr>
          <w:rFonts w:hint="eastAsia" w:ascii="宋体" w:hAnsi="宋体" w:eastAsia="宋体" w:cs="宋体"/>
          <w:color w:val="000000" w:themeColor="text1"/>
          <w:highlight w:val="none"/>
        </w:rPr>
        <w:t xml:space="preserve">     根据《关于印发《政府采购促进中小企业发展管理方法》的通知》（财库[2020]46号）的规定，投标人投标时需注意：</w:t>
      </w:r>
      <w:bookmarkEnd w:id="1574"/>
      <w:bookmarkEnd w:id="1575"/>
    </w:p>
    <w:p w14:paraId="459E117C">
      <w:pPr>
        <w:spacing w:line="360" w:lineRule="auto"/>
        <w:ind w:left="735" w:hanging="735" w:hangingChars="350"/>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3</w:t>
      </w:r>
      <w:r>
        <w:rPr>
          <w:rFonts w:hint="eastAsia" w:ascii="宋体" w:hAnsi="宋体" w:cs="宋体"/>
          <w:bCs/>
          <w:color w:val="000000" w:themeColor="text1"/>
          <w:highlight w:val="none"/>
          <w:lang w:val="en-US" w:eastAsia="zh-CN"/>
        </w:rPr>
        <w:t>7</w:t>
      </w:r>
      <w:r>
        <w:rPr>
          <w:rFonts w:hint="eastAsia" w:ascii="宋体" w:hAnsi="宋体" w:eastAsia="宋体" w:cs="宋体"/>
          <w:bCs/>
          <w:color w:val="000000" w:themeColor="text1"/>
          <w:highlight w:val="none"/>
        </w:rPr>
        <w:t>.1   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6C349950">
      <w:pPr>
        <w:spacing w:line="360" w:lineRule="auto"/>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3</w:t>
      </w:r>
      <w:r>
        <w:rPr>
          <w:rFonts w:hint="eastAsia" w:ascii="宋体" w:hAnsi="宋体" w:cs="宋体"/>
          <w:bCs/>
          <w:color w:val="000000" w:themeColor="text1"/>
          <w:highlight w:val="none"/>
          <w:lang w:val="en-US" w:eastAsia="zh-CN"/>
        </w:rPr>
        <w:t>7</w:t>
      </w:r>
      <w:r>
        <w:rPr>
          <w:rFonts w:hint="eastAsia" w:ascii="宋体" w:hAnsi="宋体" w:eastAsia="宋体" w:cs="宋体"/>
          <w:bCs/>
          <w:color w:val="000000" w:themeColor="text1"/>
          <w:highlight w:val="none"/>
        </w:rPr>
        <w:t>.2   参加政府采购活动的中小企业投标时需提供《中小企业声明函》。否则不予认可。</w:t>
      </w:r>
    </w:p>
    <w:p w14:paraId="40FA7665">
      <w:pPr>
        <w:spacing w:line="360" w:lineRule="auto"/>
        <w:ind w:left="735" w:hanging="735" w:hangingChars="350"/>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3</w:t>
      </w:r>
      <w:r>
        <w:rPr>
          <w:rFonts w:hint="eastAsia" w:ascii="宋体" w:hAnsi="宋体" w:cs="宋体"/>
          <w:bCs/>
          <w:color w:val="000000" w:themeColor="text1"/>
          <w:highlight w:val="none"/>
          <w:lang w:val="en-US" w:eastAsia="zh-CN"/>
        </w:rPr>
        <w:t>7</w:t>
      </w:r>
      <w:r>
        <w:rPr>
          <w:rFonts w:hint="eastAsia" w:ascii="宋体" w:hAnsi="宋体" w:eastAsia="宋体" w:cs="宋体"/>
          <w:bCs/>
          <w:color w:val="000000" w:themeColor="text1"/>
          <w:highlight w:val="none"/>
        </w:rPr>
        <w:t>.3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提供由省级以上监狱管理局、戒毒管理局(含新疆生产建设兵团)出具的属于监狱企业的证明文件，不再提供《中小微企业声明函》。</w:t>
      </w:r>
    </w:p>
    <w:p w14:paraId="6298986C">
      <w:pPr>
        <w:spacing w:line="360" w:lineRule="auto"/>
        <w:ind w:left="735" w:hanging="735" w:hangingChars="350"/>
        <w:rPr>
          <w:rFonts w:hint="default"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3</w:t>
      </w:r>
      <w:r>
        <w:rPr>
          <w:rFonts w:hint="eastAsia" w:ascii="宋体" w:hAnsi="宋体" w:cs="宋体"/>
          <w:bCs/>
          <w:color w:val="000000" w:themeColor="text1"/>
          <w:highlight w:val="none"/>
          <w:lang w:val="en-US" w:eastAsia="zh-CN"/>
        </w:rPr>
        <w:t>7</w:t>
      </w:r>
      <w:r>
        <w:rPr>
          <w:rFonts w:hint="eastAsia" w:ascii="宋体" w:hAnsi="宋体" w:eastAsia="宋体" w:cs="宋体"/>
          <w:bCs/>
          <w:color w:val="000000" w:themeColor="text1"/>
          <w:highlight w:val="none"/>
          <w:lang w:val="en-US" w:eastAsia="zh-CN"/>
        </w:rPr>
        <w:t>.4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39633D5B">
      <w:pPr>
        <w:spacing w:line="360" w:lineRule="auto"/>
        <w:ind w:left="735" w:hanging="735" w:hangingChars="350"/>
        <w:rPr>
          <w:rFonts w:hint="eastAsia" w:ascii="宋体" w:hAnsi="宋体" w:eastAsia="宋体" w:cs="宋体"/>
          <w:bCs/>
          <w:color w:val="000000" w:themeColor="text1"/>
          <w:highlight w:val="none"/>
        </w:rPr>
      </w:pPr>
      <w:r>
        <w:rPr>
          <w:rFonts w:hint="eastAsia" w:ascii="宋体" w:hAnsi="宋体" w:eastAsia="宋体" w:cs="宋体"/>
          <w:bCs/>
          <w:color w:val="000000" w:themeColor="text1"/>
          <w:kern w:val="2"/>
          <w:sz w:val="21"/>
          <w:szCs w:val="24"/>
          <w:highlight w:val="none"/>
          <w:lang w:val="en-US" w:eastAsia="zh-CN" w:bidi="ar-SA"/>
        </w:rPr>
        <w:t>3</w:t>
      </w:r>
      <w:r>
        <w:rPr>
          <w:rFonts w:hint="eastAsia" w:ascii="宋体" w:hAnsi="宋体" w:cs="宋体"/>
          <w:bCs/>
          <w:color w:val="000000" w:themeColor="text1"/>
          <w:kern w:val="2"/>
          <w:sz w:val="21"/>
          <w:szCs w:val="24"/>
          <w:highlight w:val="none"/>
          <w:lang w:val="en-US" w:eastAsia="zh-CN" w:bidi="ar-SA"/>
        </w:rPr>
        <w:t>7</w:t>
      </w:r>
      <w:r>
        <w:rPr>
          <w:rFonts w:hint="eastAsia" w:ascii="宋体" w:hAnsi="宋体" w:eastAsia="宋体" w:cs="宋体"/>
          <w:bCs/>
          <w:color w:val="000000" w:themeColor="text1"/>
          <w:kern w:val="2"/>
          <w:sz w:val="21"/>
          <w:szCs w:val="24"/>
          <w:highlight w:val="none"/>
          <w:lang w:val="en-US" w:eastAsia="zh-CN" w:bidi="ar-SA"/>
        </w:rPr>
        <w:t>.</w:t>
      </w:r>
      <w:r>
        <w:rPr>
          <w:rFonts w:hint="eastAsia" w:ascii="宋体" w:hAnsi="宋体" w:cs="宋体"/>
          <w:bCs/>
          <w:color w:val="000000" w:themeColor="text1"/>
          <w:kern w:val="2"/>
          <w:sz w:val="21"/>
          <w:szCs w:val="24"/>
          <w:highlight w:val="none"/>
          <w:lang w:val="en-US" w:eastAsia="zh-CN" w:bidi="ar-SA"/>
        </w:rPr>
        <w:t>5</w:t>
      </w:r>
      <w:r>
        <w:rPr>
          <w:rFonts w:hint="eastAsia" w:ascii="宋体" w:hAnsi="宋体" w:eastAsia="宋体" w:cs="宋体"/>
          <w:bCs/>
          <w:color w:val="000000" w:themeColor="text1"/>
          <w:kern w:val="2"/>
          <w:sz w:val="21"/>
          <w:szCs w:val="24"/>
          <w:highlight w:val="none"/>
          <w:lang w:val="en-US" w:eastAsia="zh-CN" w:bidi="ar-SA"/>
        </w:rPr>
        <w:t xml:space="preserve">   对于非专门面向中小微型企业采购的项目，依照《政府采购促进中小企业发展暂行办法》的</w:t>
      </w:r>
      <w:r>
        <w:rPr>
          <w:rFonts w:hint="eastAsia" w:ascii="宋体" w:hAnsi="宋体" w:eastAsia="宋体" w:cs="宋体"/>
          <w:bCs/>
          <w:color w:val="000000" w:themeColor="text1"/>
          <w:highlight w:val="none"/>
        </w:rPr>
        <w:t>规定，凡符合要求的有效投标人，按照以下比例给予相应的价格扣除：</w:t>
      </w:r>
    </w:p>
    <w:p w14:paraId="5C87E137">
      <w:pPr>
        <w:spacing w:line="360" w:lineRule="auto"/>
        <w:ind w:left="735" w:hanging="735" w:hangingChars="350"/>
        <w:rPr>
          <w:rFonts w:hint="eastAsia" w:ascii="宋体" w:hAnsi="宋体" w:eastAsia="宋体" w:cs="宋体"/>
          <w:bCs/>
          <w:color w:val="000000" w:themeColor="text1"/>
          <w:highlight w:val="none"/>
        </w:rPr>
      </w:pPr>
    </w:p>
    <w:tbl>
      <w:tblPr>
        <w:tblStyle w:val="46"/>
        <w:tblW w:w="852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3A4A5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4E3EF833">
            <w:pPr>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6A5B01C4">
            <w:pPr>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4DAAF8B6">
            <w:pPr>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1A3C4957">
            <w:pPr>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计算公式</w:t>
            </w:r>
          </w:p>
        </w:tc>
      </w:tr>
      <w:tr w14:paraId="5F217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18FDD439">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1CCF9B8F">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3A0C439E">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对小型和微型企业产品的价格扣除</w:t>
            </w:r>
            <w:r>
              <w:rPr>
                <w:rFonts w:hint="eastAsia" w:ascii="宋体" w:hAnsi="宋体" w:cs="宋体"/>
                <w:color w:val="000000" w:themeColor="text1"/>
                <w:szCs w:val="21"/>
                <w:highlight w:val="none"/>
                <w:u w:val="single"/>
                <w:lang w:val="en-US" w:eastAsia="zh-CN"/>
              </w:rPr>
              <w:t>10</w:t>
            </w:r>
            <w:r>
              <w:rPr>
                <w:rFonts w:hint="eastAsia" w:ascii="宋体" w:hAnsi="宋体" w:eastAsia="宋体" w:cs="宋体"/>
                <w:color w:val="000000" w:themeColor="text1"/>
                <w:szCs w:val="21"/>
                <w:highlight w:val="none"/>
                <w:u w:val="single"/>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158E3415">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评标价=总投标报价-小型和微型企业产品的价格×</w:t>
            </w:r>
            <w:r>
              <w:rPr>
                <w:rFonts w:hint="eastAsia" w:ascii="宋体" w:hAnsi="宋体" w:cs="宋体"/>
                <w:color w:val="000000" w:themeColor="text1"/>
                <w:szCs w:val="21"/>
                <w:highlight w:val="none"/>
                <w:u w:val="single"/>
                <w:lang w:val="en-US" w:eastAsia="zh-CN"/>
              </w:rPr>
              <w:t>10</w:t>
            </w:r>
            <w:r>
              <w:rPr>
                <w:rFonts w:hint="eastAsia" w:ascii="宋体" w:hAnsi="宋体" w:eastAsia="宋体" w:cs="宋体"/>
                <w:color w:val="000000" w:themeColor="text1"/>
                <w:szCs w:val="21"/>
                <w:highlight w:val="none"/>
                <w:u w:val="single"/>
              </w:rPr>
              <w:t>%</w:t>
            </w:r>
          </w:p>
        </w:tc>
      </w:tr>
      <w:tr w14:paraId="0105D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724E8BE7">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5E8E3DF4">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00659B38">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对小型和微型企业产品的价格扣除</w:t>
            </w:r>
            <w:r>
              <w:rPr>
                <w:rFonts w:hint="eastAsia" w:ascii="宋体" w:hAnsi="宋体" w:cs="宋体"/>
                <w:color w:val="000000" w:themeColor="text1"/>
                <w:szCs w:val="21"/>
                <w:highlight w:val="none"/>
                <w:u w:val="single"/>
                <w:lang w:val="en-US" w:eastAsia="zh-CN"/>
              </w:rPr>
              <w:t>10</w:t>
            </w:r>
            <w:r>
              <w:rPr>
                <w:rFonts w:hint="eastAsia" w:ascii="宋体" w:hAnsi="宋体" w:eastAsia="宋体" w:cs="宋体"/>
                <w:color w:val="000000" w:themeColor="text1"/>
                <w:szCs w:val="21"/>
                <w:highlight w:val="none"/>
                <w:u w:val="single"/>
              </w:rPr>
              <w:t>%</w:t>
            </w:r>
            <w:r>
              <w:rPr>
                <w:rFonts w:hint="eastAsia" w:ascii="宋体" w:hAnsi="宋体" w:eastAsia="宋体" w:cs="宋体"/>
                <w:color w:val="000000" w:themeColor="text1"/>
                <w:szCs w:val="21"/>
                <w:highlight w:val="none"/>
              </w:rPr>
              <w:t>(不再享受序号3的价格折扣)</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0F7FB96D">
            <w:pPr>
              <w:rPr>
                <w:rFonts w:hint="eastAsia" w:ascii="宋体" w:hAnsi="宋体" w:eastAsia="宋体" w:cs="宋体"/>
                <w:color w:val="000000" w:themeColor="text1"/>
                <w:szCs w:val="21"/>
                <w:highlight w:val="none"/>
              </w:rPr>
            </w:pPr>
          </w:p>
        </w:tc>
      </w:tr>
      <w:tr w14:paraId="4E89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28435DDE">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628324EE">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联合体一方为小型、微型企业且小型、微型企业协议合同金额占联合体协议合同总金额30%以上的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6B536A48">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对联合体总金额扣除</w:t>
            </w:r>
            <w:r>
              <w:rPr>
                <w:rFonts w:hint="eastAsia" w:ascii="宋体" w:hAnsi="宋体" w:cs="宋体"/>
                <w:color w:val="000000" w:themeColor="text1"/>
                <w:szCs w:val="21"/>
                <w:highlight w:val="none"/>
                <w:u w:val="single"/>
                <w:lang w:val="en-US" w:eastAsia="zh-CN"/>
              </w:rPr>
              <w:t>4</w:t>
            </w:r>
            <w:r>
              <w:rPr>
                <w:rFonts w:hint="eastAsia" w:ascii="宋体" w:hAnsi="宋体" w:eastAsia="宋体" w:cs="宋体"/>
                <w:color w:val="000000" w:themeColor="text1"/>
                <w:szCs w:val="21"/>
                <w:highlight w:val="none"/>
                <w:u w:val="single"/>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1C7065FD">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评标价=总投标报价×（</w:t>
            </w:r>
            <w:r>
              <w:rPr>
                <w:rFonts w:hint="eastAsia" w:ascii="宋体" w:hAnsi="宋体" w:eastAsia="宋体" w:cs="宋体"/>
                <w:color w:val="000000" w:themeColor="text1"/>
                <w:szCs w:val="21"/>
                <w:highlight w:val="none"/>
                <w:u w:val="single"/>
              </w:rPr>
              <w:t>1-</w:t>
            </w:r>
            <w:r>
              <w:rPr>
                <w:rFonts w:hint="eastAsia" w:ascii="宋体" w:hAnsi="宋体" w:cs="宋体"/>
                <w:color w:val="000000" w:themeColor="text1"/>
                <w:szCs w:val="21"/>
                <w:highlight w:val="none"/>
                <w:u w:val="single"/>
                <w:lang w:val="en-US" w:eastAsia="zh-CN"/>
              </w:rPr>
              <w:t>4</w:t>
            </w:r>
            <w:r>
              <w:rPr>
                <w:rFonts w:hint="eastAsia" w:ascii="宋体" w:hAnsi="宋体" w:eastAsia="宋体" w:cs="宋体"/>
                <w:color w:val="000000" w:themeColor="text1"/>
                <w:szCs w:val="21"/>
                <w:highlight w:val="none"/>
                <w:u w:val="single"/>
              </w:rPr>
              <w:t>%</w:t>
            </w:r>
            <w:r>
              <w:rPr>
                <w:rFonts w:hint="eastAsia" w:ascii="宋体" w:hAnsi="宋体" w:eastAsia="宋体" w:cs="宋体"/>
                <w:color w:val="000000" w:themeColor="text1"/>
                <w:szCs w:val="21"/>
                <w:highlight w:val="none"/>
              </w:rPr>
              <w:t>）</w:t>
            </w:r>
          </w:p>
        </w:tc>
      </w:tr>
    </w:tbl>
    <w:p w14:paraId="0902A8EB">
      <w:pPr>
        <w:rPr>
          <w:rFonts w:ascii="宋体"/>
          <w:color w:val="000000" w:themeColor="text1"/>
          <w:szCs w:val="21"/>
          <w:highlight w:val="none"/>
        </w:rPr>
      </w:pPr>
    </w:p>
    <w:p w14:paraId="1F98CFDF">
      <w:pPr>
        <w:rPr>
          <w:rFonts w:ascii="宋体"/>
          <w:color w:val="000000" w:themeColor="text1"/>
          <w:szCs w:val="21"/>
          <w:highlight w:val="none"/>
        </w:rPr>
      </w:pPr>
    </w:p>
    <w:p w14:paraId="1B72E7E8">
      <w:pPr>
        <w:rPr>
          <w:rFonts w:ascii="宋体"/>
          <w:color w:val="000000" w:themeColor="text1"/>
          <w:szCs w:val="21"/>
          <w:highlight w:val="none"/>
        </w:rPr>
      </w:pPr>
    </w:p>
    <w:p w14:paraId="35D49789">
      <w:pPr>
        <w:rPr>
          <w:rFonts w:ascii="宋体"/>
          <w:color w:val="000000" w:themeColor="text1"/>
          <w:szCs w:val="21"/>
          <w:highlight w:val="none"/>
        </w:rPr>
      </w:pPr>
    </w:p>
    <w:p w14:paraId="24656DFB">
      <w:pPr>
        <w:rPr>
          <w:rFonts w:ascii="宋体"/>
          <w:color w:val="000000" w:themeColor="text1"/>
          <w:szCs w:val="21"/>
          <w:highlight w:val="none"/>
        </w:rPr>
      </w:pPr>
    </w:p>
    <w:p w14:paraId="414CB01E">
      <w:pPr>
        <w:rPr>
          <w:rFonts w:ascii="宋体"/>
          <w:color w:val="000000" w:themeColor="text1"/>
          <w:szCs w:val="21"/>
          <w:highlight w:val="none"/>
        </w:rPr>
      </w:pPr>
    </w:p>
    <w:p w14:paraId="0187C40F">
      <w:pPr>
        <w:rPr>
          <w:rFonts w:ascii="宋体"/>
          <w:color w:val="000000" w:themeColor="text1"/>
          <w:szCs w:val="21"/>
          <w:highlight w:val="none"/>
        </w:rPr>
      </w:pPr>
    </w:p>
    <w:p w14:paraId="12BE5773">
      <w:pPr>
        <w:rPr>
          <w:rFonts w:ascii="宋体"/>
          <w:color w:val="000000" w:themeColor="text1"/>
          <w:szCs w:val="21"/>
          <w:highlight w:val="none"/>
        </w:rPr>
      </w:pPr>
    </w:p>
    <w:p w14:paraId="441F18D8">
      <w:pPr>
        <w:rPr>
          <w:rFonts w:ascii="宋体"/>
          <w:color w:val="000000" w:themeColor="text1"/>
          <w:szCs w:val="21"/>
          <w:highlight w:val="none"/>
        </w:rPr>
      </w:pPr>
    </w:p>
    <w:p w14:paraId="68B835FF">
      <w:pPr>
        <w:rPr>
          <w:rFonts w:ascii="宋体"/>
          <w:color w:val="000000" w:themeColor="text1"/>
          <w:szCs w:val="21"/>
          <w:highlight w:val="none"/>
        </w:rPr>
      </w:pPr>
    </w:p>
    <w:p w14:paraId="66A7D8D1">
      <w:pPr>
        <w:rPr>
          <w:rFonts w:ascii="宋体"/>
          <w:color w:val="000000" w:themeColor="text1"/>
          <w:szCs w:val="21"/>
          <w:highlight w:val="none"/>
        </w:rPr>
      </w:pPr>
    </w:p>
    <w:p w14:paraId="61073D12">
      <w:pPr>
        <w:rPr>
          <w:rFonts w:ascii="宋体"/>
          <w:color w:val="000000" w:themeColor="text1"/>
          <w:szCs w:val="21"/>
          <w:highlight w:val="none"/>
        </w:rPr>
      </w:pPr>
    </w:p>
    <w:p w14:paraId="070209A1">
      <w:pPr>
        <w:rPr>
          <w:rFonts w:ascii="宋体"/>
          <w:color w:val="000000" w:themeColor="text1"/>
          <w:szCs w:val="21"/>
          <w:highlight w:val="none"/>
        </w:rPr>
      </w:pPr>
    </w:p>
    <w:p w14:paraId="15269C27">
      <w:pPr>
        <w:rPr>
          <w:rFonts w:ascii="宋体"/>
          <w:color w:val="000000" w:themeColor="text1"/>
          <w:szCs w:val="21"/>
          <w:highlight w:val="none"/>
        </w:rPr>
      </w:pPr>
    </w:p>
    <w:p w14:paraId="0EDDFEBE">
      <w:pPr>
        <w:rPr>
          <w:rFonts w:ascii="宋体"/>
          <w:color w:val="000000" w:themeColor="text1"/>
          <w:szCs w:val="21"/>
          <w:highlight w:val="none"/>
        </w:rPr>
      </w:pPr>
    </w:p>
    <w:p w14:paraId="7CC88175">
      <w:pPr>
        <w:rPr>
          <w:rFonts w:ascii="宋体"/>
          <w:color w:val="000000" w:themeColor="text1"/>
          <w:szCs w:val="21"/>
          <w:highlight w:val="none"/>
        </w:rPr>
      </w:pPr>
    </w:p>
    <w:p w14:paraId="79C41F88">
      <w:pPr>
        <w:rPr>
          <w:rFonts w:ascii="宋体"/>
          <w:color w:val="000000" w:themeColor="text1"/>
          <w:szCs w:val="21"/>
          <w:highlight w:val="none"/>
        </w:rPr>
      </w:pPr>
    </w:p>
    <w:p w14:paraId="5432217B">
      <w:pPr>
        <w:rPr>
          <w:rFonts w:ascii="宋体"/>
          <w:color w:val="000000" w:themeColor="text1"/>
          <w:szCs w:val="21"/>
          <w:highlight w:val="none"/>
        </w:rPr>
      </w:pPr>
    </w:p>
    <w:p w14:paraId="333421EF">
      <w:pPr>
        <w:rPr>
          <w:rFonts w:ascii="宋体"/>
          <w:color w:val="000000" w:themeColor="text1"/>
          <w:szCs w:val="21"/>
          <w:highlight w:val="none"/>
        </w:rPr>
      </w:pPr>
    </w:p>
    <w:p w14:paraId="106D8C15">
      <w:pPr>
        <w:rPr>
          <w:rFonts w:ascii="宋体"/>
          <w:color w:val="000000" w:themeColor="text1"/>
          <w:szCs w:val="21"/>
          <w:highlight w:val="none"/>
        </w:rPr>
      </w:pPr>
    </w:p>
    <w:p w14:paraId="509F075F">
      <w:pPr>
        <w:rPr>
          <w:rFonts w:ascii="宋体"/>
          <w:color w:val="000000" w:themeColor="text1"/>
          <w:szCs w:val="21"/>
          <w:highlight w:val="none"/>
        </w:rPr>
      </w:pPr>
    </w:p>
    <w:p w14:paraId="41EBA65B">
      <w:pPr>
        <w:rPr>
          <w:rFonts w:ascii="宋体"/>
          <w:color w:val="000000" w:themeColor="text1"/>
          <w:szCs w:val="21"/>
          <w:highlight w:val="none"/>
        </w:rPr>
      </w:pPr>
    </w:p>
    <w:p w14:paraId="573C9C3E">
      <w:pPr>
        <w:rPr>
          <w:rFonts w:ascii="宋体"/>
          <w:color w:val="000000" w:themeColor="text1"/>
          <w:szCs w:val="21"/>
          <w:highlight w:val="none"/>
        </w:rPr>
      </w:pPr>
    </w:p>
    <w:p w14:paraId="48AE7E74">
      <w:pPr>
        <w:rPr>
          <w:rFonts w:ascii="宋体"/>
          <w:color w:val="000000" w:themeColor="text1"/>
          <w:szCs w:val="21"/>
          <w:highlight w:val="none"/>
        </w:rPr>
      </w:pPr>
    </w:p>
    <w:p w14:paraId="1596D28D">
      <w:pPr>
        <w:pStyle w:val="3"/>
        <w:numPr>
          <w:ilvl w:val="0"/>
          <w:numId w:val="0"/>
        </w:numPr>
        <w:rPr>
          <w:color w:val="000000" w:themeColor="text1"/>
          <w:sz w:val="24"/>
          <w:highlight w:val="none"/>
        </w:rPr>
      </w:pPr>
      <w:bookmarkStart w:id="1576" w:name="_Toc24695"/>
      <w:r>
        <w:rPr>
          <w:rFonts w:hint="eastAsia"/>
          <w:color w:val="000000" w:themeColor="text1"/>
          <w:sz w:val="24"/>
          <w:highlight w:val="none"/>
        </w:rPr>
        <w:t>H、评标细则</w:t>
      </w:r>
      <w:bookmarkEnd w:id="1576"/>
    </w:p>
    <w:p w14:paraId="70281BC6">
      <w:pPr>
        <w:pStyle w:val="23"/>
        <w:widowControl/>
        <w:tabs>
          <w:tab w:val="left" w:pos="753"/>
        </w:tabs>
        <w:adjustRightInd w:val="0"/>
        <w:snapToGrid w:val="0"/>
        <w:spacing w:line="360" w:lineRule="auto"/>
        <w:ind w:left="752" w:hanging="751" w:hangingChars="358"/>
        <w:rPr>
          <w:rFonts w:hAnsi="宋体"/>
          <w:bCs/>
          <w:color w:val="000000" w:themeColor="text1"/>
          <w:highlight w:val="none"/>
        </w:rPr>
      </w:pPr>
      <w:r>
        <w:rPr>
          <w:rFonts w:hint="eastAsia" w:hAnsi="宋体"/>
          <w:bCs/>
          <w:color w:val="000000" w:themeColor="text1"/>
          <w:highlight w:val="none"/>
        </w:rPr>
        <w:t>采用计分法（综合评价法）来确定各投标人的排名。其操作程序为：</w:t>
      </w:r>
    </w:p>
    <w:p w14:paraId="7C8BF8A1">
      <w:pPr>
        <w:pStyle w:val="26"/>
        <w:widowControl/>
        <w:numPr>
          <w:ilvl w:val="0"/>
          <w:numId w:val="28"/>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根据招标文件和评标原则，按下表（评价指标和权重表）所列评价指标和各评价指标的权重进行评标。</w:t>
      </w:r>
    </w:p>
    <w:p w14:paraId="6A7082B3">
      <w:pPr>
        <w:pStyle w:val="26"/>
        <w:widowControl/>
        <w:numPr>
          <w:ilvl w:val="0"/>
          <w:numId w:val="28"/>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由评委独立地根据各项指标的评价标准，结合每个投标人的实际情况，分别就投标报价以外的各项指标对每个投标人独立打分。</w:t>
      </w:r>
    </w:p>
    <w:p w14:paraId="46BBCFF0">
      <w:pPr>
        <w:pStyle w:val="26"/>
        <w:widowControl/>
        <w:numPr>
          <w:ilvl w:val="0"/>
          <w:numId w:val="28"/>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技术部分和商务部分得分结果为全部评委评价指标评分的算术平均值。</w:t>
      </w:r>
    </w:p>
    <w:p w14:paraId="248DDAE9">
      <w:pPr>
        <w:pStyle w:val="26"/>
        <w:widowControl/>
        <w:numPr>
          <w:ilvl w:val="0"/>
          <w:numId w:val="28"/>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将所有评价指标所得实际评价分数相加，即为该投标人的综合得分。</w:t>
      </w:r>
    </w:p>
    <w:p w14:paraId="7654C221">
      <w:pPr>
        <w:pStyle w:val="26"/>
        <w:widowControl/>
        <w:numPr>
          <w:ilvl w:val="0"/>
          <w:numId w:val="28"/>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评标委员会将推荐综合得分最高的投标人为该项目的中标候选人。</w:t>
      </w:r>
    </w:p>
    <w:p w14:paraId="4F5E4E22">
      <w:pPr>
        <w:widowControl/>
        <w:tabs>
          <w:tab w:val="left" w:pos="502"/>
        </w:tabs>
        <w:adjustRightInd w:val="0"/>
        <w:snapToGrid w:val="0"/>
        <w:spacing w:line="360" w:lineRule="auto"/>
        <w:ind w:left="105" w:leftChars="50" w:firstLine="209" w:firstLineChars="99"/>
        <w:rPr>
          <w:rFonts w:hint="eastAsia" w:ascii="宋体" w:hAnsi="宋体" w:cs="Tahoma"/>
          <w:b/>
          <w:bCs/>
          <w:color w:val="000000" w:themeColor="text1"/>
          <w:highlight w:val="none"/>
          <w:lang w:val="en-US" w:eastAsia="zh-CN"/>
        </w:rPr>
      </w:pPr>
    </w:p>
    <w:p w14:paraId="03695BF0">
      <w:pPr>
        <w:rPr>
          <w:color w:val="000000" w:themeColor="text1"/>
          <w:highlight w:val="none"/>
        </w:rPr>
      </w:pPr>
      <w:r>
        <w:rPr>
          <w:rFonts w:hint="eastAsia"/>
          <w:color w:val="000000" w:themeColor="text1"/>
          <w:highlight w:val="none"/>
        </w:rPr>
        <w:t>评价指标及权重：</w:t>
      </w:r>
    </w:p>
    <w:p w14:paraId="4D4E3C79">
      <w:pPr>
        <w:rPr>
          <w:color w:val="000000" w:themeColor="text1"/>
          <w:highlight w:val="none"/>
        </w:rPr>
      </w:pPr>
    </w:p>
    <w:tbl>
      <w:tblPr>
        <w:tblStyle w:val="46"/>
        <w:tblW w:w="9321" w:type="dxa"/>
        <w:jc w:val="center"/>
        <w:tblLayout w:type="fixed"/>
        <w:tblCellMar>
          <w:top w:w="0" w:type="dxa"/>
          <w:left w:w="0" w:type="dxa"/>
          <w:bottom w:w="0" w:type="dxa"/>
          <w:right w:w="0" w:type="dxa"/>
        </w:tblCellMar>
      </w:tblPr>
      <w:tblGrid>
        <w:gridCol w:w="2570"/>
        <w:gridCol w:w="2416"/>
        <w:gridCol w:w="2550"/>
        <w:gridCol w:w="1785"/>
      </w:tblGrid>
      <w:tr w14:paraId="2EF1D9AA">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192BFB">
            <w:pPr>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评分项目</w:t>
            </w:r>
          </w:p>
        </w:tc>
        <w:tc>
          <w:tcPr>
            <w:tcW w:w="24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9B1CAA">
            <w:pPr>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技术评分</w:t>
            </w:r>
          </w:p>
        </w:tc>
        <w:tc>
          <w:tcPr>
            <w:tcW w:w="2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066A34">
            <w:pPr>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商务评分</w:t>
            </w:r>
          </w:p>
        </w:tc>
        <w:tc>
          <w:tcPr>
            <w:tcW w:w="17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0D5831">
            <w:pPr>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价格评分</w:t>
            </w:r>
          </w:p>
        </w:tc>
      </w:tr>
      <w:tr w14:paraId="7DDD40A2">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6534B4">
            <w:pPr>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分值</w:t>
            </w:r>
          </w:p>
        </w:tc>
        <w:tc>
          <w:tcPr>
            <w:tcW w:w="24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E1BDC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rPr>
            </w:pPr>
            <w:r>
              <w:rPr>
                <w:rFonts w:hint="eastAsia" w:ascii="宋体" w:hAnsi="宋体" w:cs="宋体"/>
                <w:color w:val="000000" w:themeColor="text1"/>
                <w:kern w:val="0"/>
                <w:sz w:val="21"/>
                <w:szCs w:val="21"/>
                <w:highlight w:val="none"/>
                <w:lang w:val="en-US" w:eastAsia="zh-CN"/>
              </w:rPr>
              <w:t>30</w:t>
            </w:r>
            <w:r>
              <w:rPr>
                <w:rFonts w:hint="eastAsia" w:ascii="宋体" w:hAnsi="宋体" w:eastAsia="宋体" w:cs="宋体"/>
                <w:color w:val="000000" w:themeColor="text1"/>
                <w:kern w:val="0"/>
                <w:sz w:val="21"/>
                <w:szCs w:val="21"/>
                <w:highlight w:val="none"/>
              </w:rPr>
              <w:t>分</w:t>
            </w:r>
          </w:p>
        </w:tc>
        <w:tc>
          <w:tcPr>
            <w:tcW w:w="2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D4F92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rPr>
            </w:pPr>
            <w:r>
              <w:rPr>
                <w:rFonts w:hint="eastAsia" w:ascii="宋体" w:hAnsi="宋体" w:cs="宋体"/>
                <w:color w:val="000000" w:themeColor="text1"/>
                <w:kern w:val="0"/>
                <w:sz w:val="21"/>
                <w:szCs w:val="21"/>
                <w:highlight w:val="none"/>
                <w:lang w:val="en-US" w:eastAsia="zh-CN"/>
              </w:rPr>
              <w:t>60</w:t>
            </w:r>
            <w:r>
              <w:rPr>
                <w:rFonts w:hint="eastAsia" w:ascii="宋体" w:hAnsi="宋体" w:eastAsia="宋体" w:cs="宋体"/>
                <w:color w:val="000000" w:themeColor="text1"/>
                <w:kern w:val="0"/>
                <w:sz w:val="21"/>
                <w:szCs w:val="21"/>
                <w:highlight w:val="none"/>
              </w:rPr>
              <w:t>分</w:t>
            </w:r>
          </w:p>
        </w:tc>
        <w:tc>
          <w:tcPr>
            <w:tcW w:w="17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90CB31">
            <w:pPr>
              <w:keepNext w:val="0"/>
              <w:keepLines w:val="0"/>
              <w:suppressLineNumbers w:val="0"/>
              <w:spacing w:before="0" w:beforeAutospacing="0" w:after="0" w:afterAutospacing="0"/>
              <w:ind w:left="0" w:leftChars="0" w:right="0" w:rightChars="0"/>
              <w:jc w:val="center"/>
              <w:rPr>
                <w:rFonts w:hint="default" w:ascii="宋体" w:hAnsi="宋体" w:cs="宋体"/>
                <w:color w:val="000000" w:themeColor="text1"/>
                <w:kern w:val="0"/>
                <w:sz w:val="21"/>
                <w:szCs w:val="21"/>
                <w:highlight w:val="none"/>
                <w:lang w:val="en-US" w:eastAsia="zh-CN"/>
              </w:rPr>
            </w:pPr>
            <w:r>
              <w:rPr>
                <w:rFonts w:hint="eastAsia" w:ascii="宋体" w:hAnsi="宋体" w:cs="宋体"/>
                <w:color w:val="000000" w:themeColor="text1"/>
                <w:kern w:val="0"/>
                <w:sz w:val="21"/>
                <w:szCs w:val="21"/>
                <w:highlight w:val="none"/>
                <w:lang w:val="en-US" w:eastAsia="zh-CN"/>
              </w:rPr>
              <w:t>10分</w:t>
            </w:r>
          </w:p>
        </w:tc>
      </w:tr>
    </w:tbl>
    <w:p w14:paraId="5F3FF1B9">
      <w:pPr>
        <w:rPr>
          <w:color w:val="000000" w:themeColor="text1"/>
          <w:highlight w:val="none"/>
        </w:rPr>
      </w:pPr>
    </w:p>
    <w:p w14:paraId="52E0023C">
      <w:pPr>
        <w:rPr>
          <w:color w:val="000000" w:themeColor="text1"/>
          <w:highlight w:val="none"/>
        </w:rPr>
      </w:pPr>
      <w:r>
        <w:rPr>
          <w:rFonts w:hint="eastAsia"/>
          <w:color w:val="000000" w:themeColor="text1"/>
          <w:highlight w:val="none"/>
        </w:rPr>
        <w:t>技术评分细则：</w:t>
      </w:r>
    </w:p>
    <w:tbl>
      <w:tblPr>
        <w:tblStyle w:val="46"/>
        <w:tblW w:w="9638" w:type="dxa"/>
        <w:jc w:val="center"/>
        <w:shd w:val="clear" w:color="auto" w:fill="FFFFFF"/>
        <w:tblLayout w:type="fixed"/>
        <w:tblCellMar>
          <w:top w:w="0" w:type="dxa"/>
          <w:left w:w="0" w:type="dxa"/>
          <w:bottom w:w="0" w:type="dxa"/>
          <w:right w:w="0" w:type="dxa"/>
        </w:tblCellMar>
      </w:tblPr>
      <w:tblGrid>
        <w:gridCol w:w="738"/>
        <w:gridCol w:w="1494"/>
        <w:gridCol w:w="735"/>
        <w:gridCol w:w="6671"/>
      </w:tblGrid>
      <w:tr w14:paraId="205AB4DC">
        <w:tblPrEx>
          <w:tblCellMar>
            <w:top w:w="0" w:type="dxa"/>
            <w:left w:w="0" w:type="dxa"/>
            <w:bottom w:w="0" w:type="dxa"/>
            <w:right w:w="0" w:type="dxa"/>
          </w:tblCellMar>
        </w:tblPrEx>
        <w:trPr>
          <w:cantSplit/>
          <w:trHeight w:val="460" w:hRule="atLeast"/>
          <w:tblHeader/>
          <w:jc w:val="center"/>
        </w:trPr>
        <w:tc>
          <w:tcPr>
            <w:tcW w:w="73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B273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14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C53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评审内容</w:t>
            </w:r>
          </w:p>
        </w:tc>
        <w:tc>
          <w:tcPr>
            <w:tcW w:w="73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43F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分值</w:t>
            </w:r>
          </w:p>
        </w:tc>
        <w:tc>
          <w:tcPr>
            <w:tcW w:w="66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2FF3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评审标准</w:t>
            </w:r>
          </w:p>
        </w:tc>
      </w:tr>
      <w:tr w14:paraId="7A1C4FC5">
        <w:tblPrEx>
          <w:shd w:val="clear" w:color="auto" w:fill="FFFFFF"/>
          <w:tblCellMar>
            <w:top w:w="0" w:type="dxa"/>
            <w:left w:w="0" w:type="dxa"/>
            <w:bottom w:w="0" w:type="dxa"/>
            <w:right w:w="0" w:type="dxa"/>
          </w:tblCellMar>
        </w:tblPrEx>
        <w:trPr>
          <w:cantSplit/>
          <w:trHeight w:val="2114" w:hRule="atLeast"/>
          <w:jc w:val="center"/>
        </w:trPr>
        <w:tc>
          <w:tcPr>
            <w:tcW w:w="73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DCDF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w:t>
            </w:r>
          </w:p>
        </w:tc>
        <w:tc>
          <w:tcPr>
            <w:tcW w:w="14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5A7B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配送服务方案</w:t>
            </w:r>
          </w:p>
        </w:tc>
        <w:tc>
          <w:tcPr>
            <w:tcW w:w="73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9DF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分</w:t>
            </w:r>
          </w:p>
        </w:tc>
        <w:tc>
          <w:tcPr>
            <w:tcW w:w="66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9CFBB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对</w:t>
            </w:r>
            <w:r>
              <w:rPr>
                <w:rFonts w:hint="eastAsia" w:ascii="宋体" w:hAnsi="宋体" w:eastAsia="宋体" w:cs="宋体"/>
                <w:color w:val="000000" w:themeColor="text1"/>
                <w:highlight w:val="none"/>
              </w:rPr>
              <w:t xml:space="preserve">投标人配送方案、效率及响应时间进行评分： </w:t>
            </w:r>
          </w:p>
          <w:p w14:paraId="704CD61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1.配送方案及响应时间、效率</w:t>
            </w:r>
            <w:r>
              <w:rPr>
                <w:rFonts w:hint="eastAsia" w:ascii="宋体" w:hAnsi="宋体" w:eastAsia="宋体" w:cs="宋体"/>
                <w:color w:val="000000" w:themeColor="text1"/>
                <w:highlight w:val="none"/>
                <w:lang w:val="en-US" w:eastAsia="zh-CN"/>
              </w:rPr>
              <w:t>满足</w:t>
            </w:r>
            <w:r>
              <w:rPr>
                <w:rFonts w:hint="eastAsia" w:ascii="宋体" w:hAnsi="宋体" w:eastAsia="宋体" w:cs="宋体"/>
                <w:color w:val="000000" w:themeColor="text1"/>
                <w:highlight w:val="none"/>
              </w:rPr>
              <w:t>采购需求，内容合理、完整，内容有针对性，</w:t>
            </w:r>
            <w:r>
              <w:rPr>
                <w:rFonts w:hint="eastAsia" w:ascii="宋体" w:hAnsi="宋体" w:eastAsia="宋体" w:cs="宋体"/>
                <w:color w:val="000000" w:themeColor="text1"/>
                <w:highlight w:val="none"/>
                <w:lang w:val="en-US" w:eastAsia="zh-CN"/>
              </w:rPr>
              <w:t>满足或优于采购需求的，</w:t>
            </w:r>
            <w:r>
              <w:rPr>
                <w:rFonts w:hint="eastAsia" w:ascii="宋体" w:hAnsi="宋体" w:eastAsia="宋体" w:cs="宋体"/>
                <w:color w:val="000000" w:themeColor="text1"/>
                <w:highlight w:val="none"/>
              </w:rPr>
              <w:t>得</w:t>
            </w:r>
            <w:r>
              <w:rPr>
                <w:rFonts w:hint="eastAsia" w:ascii="宋体" w:hAnsi="宋体" w:eastAsia="宋体" w:cs="宋体"/>
                <w:color w:val="000000" w:themeColor="text1"/>
                <w:highlight w:val="none"/>
                <w:lang w:val="en-US" w:eastAsia="zh-CN"/>
              </w:rPr>
              <w:t>10</w:t>
            </w:r>
            <w:r>
              <w:rPr>
                <w:rFonts w:hint="eastAsia" w:ascii="宋体" w:hAnsi="宋体" w:eastAsia="宋体" w:cs="宋体"/>
                <w:color w:val="000000" w:themeColor="text1"/>
                <w:highlight w:val="none"/>
              </w:rPr>
              <w:t xml:space="preserve">分； </w:t>
            </w:r>
          </w:p>
          <w:p w14:paraId="61F7EF1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2.配送方案及响应时间、效率</w:t>
            </w:r>
            <w:r>
              <w:rPr>
                <w:rFonts w:hint="eastAsia" w:ascii="宋体" w:hAnsi="宋体" w:eastAsia="宋体" w:cs="宋体"/>
                <w:color w:val="000000" w:themeColor="text1"/>
                <w:highlight w:val="none"/>
                <w:lang w:val="en-US" w:eastAsia="zh-CN"/>
              </w:rPr>
              <w:t>基本</w:t>
            </w:r>
            <w:r>
              <w:rPr>
                <w:rFonts w:hint="eastAsia" w:ascii="宋体" w:hAnsi="宋体" w:eastAsia="宋体" w:cs="宋体"/>
                <w:color w:val="000000" w:themeColor="text1"/>
                <w:highlight w:val="none"/>
              </w:rPr>
              <w:t>满足采购需求，内容</w:t>
            </w:r>
            <w:r>
              <w:rPr>
                <w:rFonts w:hint="eastAsia" w:ascii="宋体" w:hAnsi="宋体" w:eastAsia="宋体" w:cs="宋体"/>
                <w:color w:val="000000" w:themeColor="text1"/>
                <w:highlight w:val="none"/>
                <w:lang w:val="en-US" w:eastAsia="zh-CN"/>
              </w:rPr>
              <w:t>基本</w:t>
            </w:r>
            <w:r>
              <w:rPr>
                <w:rFonts w:hint="eastAsia" w:ascii="宋体" w:hAnsi="宋体" w:eastAsia="宋体" w:cs="宋体"/>
                <w:color w:val="000000" w:themeColor="text1"/>
                <w:highlight w:val="none"/>
              </w:rPr>
              <w:t>完整合理，内容有一定的针对性，</w:t>
            </w:r>
            <w:r>
              <w:rPr>
                <w:rFonts w:hint="eastAsia" w:ascii="宋体" w:hAnsi="宋体" w:eastAsia="宋体" w:cs="宋体"/>
                <w:color w:val="000000" w:themeColor="text1"/>
                <w:highlight w:val="none"/>
                <w:lang w:val="en-US" w:eastAsia="zh-CN"/>
              </w:rPr>
              <w:t>基本满足采购需求的，</w:t>
            </w:r>
            <w:r>
              <w:rPr>
                <w:rFonts w:hint="eastAsia" w:ascii="宋体" w:hAnsi="宋体" w:eastAsia="宋体" w:cs="宋体"/>
                <w:color w:val="000000" w:themeColor="text1"/>
                <w:highlight w:val="none"/>
              </w:rPr>
              <w:t>得</w:t>
            </w:r>
            <w:r>
              <w:rPr>
                <w:rFonts w:hint="eastAsia" w:ascii="宋体" w:hAnsi="宋体" w:eastAsia="宋体" w:cs="宋体"/>
                <w:color w:val="000000" w:themeColor="text1"/>
                <w:highlight w:val="none"/>
                <w:lang w:val="en-US" w:eastAsia="zh-CN"/>
              </w:rPr>
              <w:t>7</w:t>
            </w:r>
            <w:r>
              <w:rPr>
                <w:rFonts w:hint="eastAsia" w:ascii="宋体" w:hAnsi="宋体" w:eastAsia="宋体" w:cs="宋体"/>
                <w:color w:val="000000" w:themeColor="text1"/>
                <w:highlight w:val="none"/>
              </w:rPr>
              <w:t xml:space="preserve">分； </w:t>
            </w:r>
          </w:p>
          <w:p w14:paraId="7FAEB22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rPr>
              <w:t>.配送方案及响应时间、效率</w:t>
            </w:r>
            <w:r>
              <w:rPr>
                <w:rFonts w:hint="eastAsia" w:ascii="宋体" w:hAnsi="宋体" w:eastAsia="宋体" w:cs="宋体"/>
                <w:color w:val="000000" w:themeColor="text1"/>
                <w:highlight w:val="none"/>
                <w:lang w:val="en-US" w:eastAsia="zh-CN"/>
              </w:rPr>
              <w:t>基本</w:t>
            </w:r>
            <w:r>
              <w:rPr>
                <w:rFonts w:hint="eastAsia" w:ascii="宋体" w:hAnsi="宋体" w:eastAsia="宋体" w:cs="宋体"/>
                <w:color w:val="000000" w:themeColor="text1"/>
                <w:highlight w:val="none"/>
              </w:rPr>
              <w:t>满足采购需求</w:t>
            </w:r>
            <w:r>
              <w:rPr>
                <w:rFonts w:hint="eastAsia" w:ascii="宋体" w:hAnsi="宋体" w:eastAsia="宋体" w:cs="宋体"/>
                <w:color w:val="000000" w:themeColor="text1"/>
                <w:highlight w:val="none"/>
                <w:lang w:val="en-US" w:eastAsia="zh-CN"/>
              </w:rPr>
              <w:t>但可行性不足</w:t>
            </w: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val="en-US" w:eastAsia="zh-CN"/>
              </w:rPr>
              <w:t>部分满足采购需求的，</w:t>
            </w:r>
            <w:r>
              <w:rPr>
                <w:rFonts w:hint="eastAsia" w:ascii="宋体" w:hAnsi="宋体" w:eastAsia="宋体" w:cs="宋体"/>
                <w:color w:val="000000" w:themeColor="text1"/>
                <w:highlight w:val="none"/>
              </w:rPr>
              <w:t>得</w:t>
            </w: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highlight w:val="none"/>
              </w:rPr>
              <w:t xml:space="preserve">分； </w:t>
            </w:r>
          </w:p>
          <w:p w14:paraId="287EF8E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highlight w:val="none"/>
              </w:rPr>
              <w:t>.配送方案</w:t>
            </w:r>
            <w:r>
              <w:rPr>
                <w:rFonts w:hint="eastAsia" w:ascii="宋体" w:hAnsi="宋体" w:eastAsia="宋体" w:cs="宋体"/>
                <w:color w:val="000000" w:themeColor="text1"/>
                <w:highlight w:val="none"/>
                <w:lang w:val="en-US" w:eastAsia="zh-CN"/>
              </w:rPr>
              <w:t>不详细</w:t>
            </w:r>
            <w:r>
              <w:rPr>
                <w:rFonts w:hint="eastAsia" w:ascii="宋体" w:hAnsi="宋体" w:eastAsia="宋体" w:cs="宋体"/>
                <w:color w:val="000000" w:themeColor="text1"/>
                <w:highlight w:val="none"/>
              </w:rPr>
              <w:t>，内容没有针对性，</w:t>
            </w:r>
            <w:r>
              <w:rPr>
                <w:rFonts w:hint="eastAsia" w:ascii="宋体" w:hAnsi="宋体" w:eastAsia="宋体" w:cs="宋体"/>
                <w:color w:val="000000" w:themeColor="text1"/>
                <w:highlight w:val="none"/>
                <w:lang w:val="en-US" w:eastAsia="zh-CN"/>
              </w:rPr>
              <w:t>难以满足采购需求的，</w:t>
            </w:r>
            <w:r>
              <w:rPr>
                <w:rFonts w:hint="eastAsia" w:ascii="宋体" w:hAnsi="宋体" w:eastAsia="宋体" w:cs="宋体"/>
                <w:color w:val="000000" w:themeColor="text1"/>
                <w:highlight w:val="none"/>
              </w:rPr>
              <w:t>得</w:t>
            </w:r>
            <w:r>
              <w:rPr>
                <w:rFonts w:hint="eastAsia" w:ascii="宋体" w:hAnsi="宋体" w:eastAsia="宋体" w:cs="宋体"/>
                <w:color w:val="000000" w:themeColor="text1"/>
                <w:highlight w:val="none"/>
                <w:lang w:val="en-US" w:eastAsia="zh-CN"/>
              </w:rPr>
              <w:t>1</w:t>
            </w:r>
            <w:r>
              <w:rPr>
                <w:rFonts w:hint="eastAsia" w:ascii="宋体" w:hAnsi="宋体" w:eastAsia="宋体" w:cs="宋体"/>
                <w:color w:val="000000" w:themeColor="text1"/>
                <w:highlight w:val="none"/>
              </w:rPr>
              <w:t xml:space="preserve">分； </w:t>
            </w:r>
          </w:p>
          <w:p w14:paraId="6D3F4E7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highlight w:val="none"/>
              </w:rPr>
              <w:t>不提供不得分。</w:t>
            </w:r>
          </w:p>
        </w:tc>
      </w:tr>
      <w:tr w14:paraId="7BFE0C65">
        <w:tblPrEx>
          <w:tblCellMar>
            <w:top w:w="0" w:type="dxa"/>
            <w:left w:w="0" w:type="dxa"/>
            <w:bottom w:w="0" w:type="dxa"/>
            <w:right w:w="0" w:type="dxa"/>
          </w:tblCellMar>
        </w:tblPrEx>
        <w:trPr>
          <w:cantSplit/>
          <w:trHeight w:val="2156" w:hRule="atLeast"/>
          <w:jc w:val="center"/>
        </w:trPr>
        <w:tc>
          <w:tcPr>
            <w:tcW w:w="73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E95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w:t>
            </w:r>
          </w:p>
        </w:tc>
        <w:tc>
          <w:tcPr>
            <w:tcW w:w="14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36A6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质量保障及食品安全措施</w:t>
            </w:r>
          </w:p>
        </w:tc>
        <w:tc>
          <w:tcPr>
            <w:tcW w:w="73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ECC7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分</w:t>
            </w:r>
          </w:p>
        </w:tc>
        <w:tc>
          <w:tcPr>
            <w:tcW w:w="66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74AA3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对投标文件中的质量控制方案进行评分（根据投标货物的来源、生长环境、加工、包装、保存、运输各环节的质量保证及食品安全措施进行评价）： </w:t>
            </w:r>
          </w:p>
          <w:p w14:paraId="7767151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1.方案描述合理、完整，内容有针对性，</w:t>
            </w:r>
            <w:r>
              <w:rPr>
                <w:rFonts w:hint="eastAsia" w:ascii="宋体" w:hAnsi="宋体" w:eastAsia="宋体" w:cs="宋体"/>
                <w:color w:val="000000" w:themeColor="text1"/>
                <w:highlight w:val="none"/>
                <w:lang w:val="en-US" w:eastAsia="zh-CN"/>
              </w:rPr>
              <w:t>满足或优于采购需求的，</w:t>
            </w:r>
            <w:r>
              <w:rPr>
                <w:rFonts w:hint="eastAsia" w:ascii="宋体" w:hAnsi="宋体" w:eastAsia="宋体" w:cs="宋体"/>
                <w:color w:val="000000" w:themeColor="text1"/>
                <w:highlight w:val="none"/>
              </w:rPr>
              <w:t>得</w:t>
            </w:r>
            <w:r>
              <w:rPr>
                <w:rFonts w:hint="eastAsia" w:ascii="宋体" w:hAnsi="宋体" w:eastAsia="宋体" w:cs="宋体"/>
                <w:color w:val="000000" w:themeColor="text1"/>
                <w:highlight w:val="none"/>
                <w:lang w:val="en-US" w:eastAsia="zh-CN"/>
              </w:rPr>
              <w:t>10</w:t>
            </w:r>
            <w:r>
              <w:rPr>
                <w:rFonts w:hint="eastAsia" w:ascii="宋体" w:hAnsi="宋体" w:eastAsia="宋体" w:cs="宋体"/>
                <w:color w:val="000000" w:themeColor="text1"/>
                <w:highlight w:val="none"/>
              </w:rPr>
              <w:t xml:space="preserve">分； </w:t>
            </w:r>
          </w:p>
          <w:p w14:paraId="53A8538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2.方案</w:t>
            </w:r>
            <w:r>
              <w:rPr>
                <w:rFonts w:hint="eastAsia" w:ascii="宋体" w:hAnsi="宋体" w:eastAsia="宋体" w:cs="宋体"/>
                <w:color w:val="000000" w:themeColor="text1"/>
                <w:highlight w:val="none"/>
                <w:lang w:val="en-US" w:eastAsia="zh-CN"/>
              </w:rPr>
              <w:t>描术基本</w:t>
            </w:r>
            <w:r>
              <w:rPr>
                <w:rFonts w:hint="eastAsia" w:ascii="宋体" w:hAnsi="宋体" w:eastAsia="宋体" w:cs="宋体"/>
                <w:color w:val="000000" w:themeColor="text1"/>
                <w:highlight w:val="none"/>
              </w:rPr>
              <w:t>完整合理，内容有一定的针对性，</w:t>
            </w:r>
            <w:r>
              <w:rPr>
                <w:rFonts w:hint="eastAsia" w:ascii="宋体" w:hAnsi="宋体" w:eastAsia="宋体" w:cs="宋体"/>
                <w:color w:val="000000" w:themeColor="text1"/>
                <w:highlight w:val="none"/>
                <w:lang w:val="en-US" w:eastAsia="zh-CN"/>
              </w:rPr>
              <w:t>基本满足采购需求的，</w:t>
            </w:r>
            <w:r>
              <w:rPr>
                <w:rFonts w:hint="eastAsia" w:ascii="宋体" w:hAnsi="宋体" w:eastAsia="宋体" w:cs="宋体"/>
                <w:color w:val="000000" w:themeColor="text1"/>
                <w:highlight w:val="none"/>
              </w:rPr>
              <w:t>得</w:t>
            </w:r>
            <w:r>
              <w:rPr>
                <w:rFonts w:hint="eastAsia" w:ascii="宋体" w:hAnsi="宋体" w:eastAsia="宋体" w:cs="宋体"/>
                <w:color w:val="000000" w:themeColor="text1"/>
                <w:highlight w:val="none"/>
                <w:lang w:val="en-US" w:eastAsia="zh-CN"/>
              </w:rPr>
              <w:t>7</w:t>
            </w:r>
            <w:r>
              <w:rPr>
                <w:rFonts w:hint="eastAsia" w:ascii="宋体" w:hAnsi="宋体" w:eastAsia="宋体" w:cs="宋体"/>
                <w:color w:val="000000" w:themeColor="text1"/>
                <w:highlight w:val="none"/>
              </w:rPr>
              <w:t xml:space="preserve">分； </w:t>
            </w:r>
          </w:p>
          <w:p w14:paraId="056F884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rPr>
              <w:t>方案</w:t>
            </w:r>
            <w:r>
              <w:rPr>
                <w:rFonts w:hint="eastAsia" w:ascii="宋体" w:hAnsi="宋体" w:eastAsia="宋体" w:cs="宋体"/>
                <w:color w:val="000000" w:themeColor="text1"/>
                <w:highlight w:val="none"/>
                <w:lang w:val="en-US" w:eastAsia="zh-CN"/>
              </w:rPr>
              <w:t>描术不够</w:t>
            </w:r>
            <w:r>
              <w:rPr>
                <w:rFonts w:hint="eastAsia" w:ascii="宋体" w:hAnsi="宋体" w:eastAsia="宋体" w:cs="宋体"/>
                <w:color w:val="000000" w:themeColor="text1"/>
                <w:highlight w:val="none"/>
              </w:rPr>
              <w:t>完整，内容有针对性</w:t>
            </w:r>
            <w:r>
              <w:rPr>
                <w:rFonts w:hint="eastAsia" w:ascii="宋体" w:hAnsi="宋体" w:eastAsia="宋体" w:cs="宋体"/>
                <w:color w:val="000000" w:themeColor="text1"/>
                <w:highlight w:val="none"/>
                <w:lang w:val="en-US" w:eastAsia="zh-CN"/>
              </w:rPr>
              <w:t>但不足</w:t>
            </w: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val="en-US" w:eastAsia="zh-CN"/>
              </w:rPr>
              <w:t>部分满足采购需求的，</w:t>
            </w:r>
            <w:r>
              <w:rPr>
                <w:rFonts w:hint="eastAsia" w:ascii="宋体" w:hAnsi="宋体" w:eastAsia="宋体" w:cs="宋体"/>
                <w:color w:val="000000" w:themeColor="text1"/>
                <w:highlight w:val="none"/>
              </w:rPr>
              <w:t>得</w:t>
            </w: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highlight w:val="none"/>
              </w:rPr>
              <w:t xml:space="preserve">分； </w:t>
            </w:r>
          </w:p>
          <w:p w14:paraId="046DA8D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highlight w:val="none"/>
              </w:rPr>
              <w:t>.方案简单，内容没有针对性，</w:t>
            </w:r>
            <w:r>
              <w:rPr>
                <w:rFonts w:hint="eastAsia" w:ascii="宋体" w:hAnsi="宋体" w:eastAsia="宋体" w:cs="宋体"/>
                <w:color w:val="000000" w:themeColor="text1"/>
                <w:highlight w:val="none"/>
                <w:lang w:val="en-US" w:eastAsia="zh-CN"/>
              </w:rPr>
              <w:t>难以满足采购需求的，</w:t>
            </w:r>
            <w:r>
              <w:rPr>
                <w:rFonts w:hint="eastAsia" w:ascii="宋体" w:hAnsi="宋体" w:eastAsia="宋体" w:cs="宋体"/>
                <w:color w:val="000000" w:themeColor="text1"/>
                <w:highlight w:val="none"/>
              </w:rPr>
              <w:t>得</w:t>
            </w:r>
            <w:r>
              <w:rPr>
                <w:rFonts w:hint="eastAsia" w:ascii="宋体" w:hAnsi="宋体" w:eastAsia="宋体" w:cs="宋体"/>
                <w:color w:val="000000" w:themeColor="text1"/>
                <w:highlight w:val="none"/>
                <w:lang w:val="en-US" w:eastAsia="zh-CN"/>
              </w:rPr>
              <w:t>1</w:t>
            </w:r>
            <w:r>
              <w:rPr>
                <w:rFonts w:hint="eastAsia" w:ascii="宋体" w:hAnsi="宋体" w:eastAsia="宋体" w:cs="宋体"/>
                <w:color w:val="000000" w:themeColor="text1"/>
                <w:highlight w:val="none"/>
              </w:rPr>
              <w:t xml:space="preserve">分； </w:t>
            </w:r>
          </w:p>
          <w:p w14:paraId="418D595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highlight w:val="none"/>
              </w:rPr>
              <w:t>不提供不得分。</w:t>
            </w:r>
          </w:p>
        </w:tc>
      </w:tr>
      <w:tr w14:paraId="5395A54C">
        <w:tblPrEx>
          <w:shd w:val="clear" w:color="auto" w:fill="FFFFFF"/>
          <w:tblCellMar>
            <w:top w:w="0" w:type="dxa"/>
            <w:left w:w="0" w:type="dxa"/>
            <w:bottom w:w="0" w:type="dxa"/>
            <w:right w:w="0" w:type="dxa"/>
          </w:tblCellMar>
        </w:tblPrEx>
        <w:trPr>
          <w:cantSplit/>
          <w:trHeight w:val="1722" w:hRule="atLeast"/>
          <w:jc w:val="center"/>
        </w:trPr>
        <w:tc>
          <w:tcPr>
            <w:tcW w:w="73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305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w:t>
            </w:r>
          </w:p>
        </w:tc>
        <w:tc>
          <w:tcPr>
            <w:tcW w:w="14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09E2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出现产品质量问题退换货方案</w:t>
            </w:r>
          </w:p>
        </w:tc>
        <w:tc>
          <w:tcPr>
            <w:tcW w:w="73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021F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分</w:t>
            </w:r>
          </w:p>
        </w:tc>
        <w:tc>
          <w:tcPr>
            <w:tcW w:w="66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11B0B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 xml:space="preserve">根据投标文件中投标人对产品出现质量问题的退换货承诺（包括但不限于：退换时间、退换方式等）进行评分： </w:t>
            </w:r>
          </w:p>
          <w:p w14:paraId="53A2507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1.对产品出现质量问题的退换承诺具体可行、科学合理，</w:t>
            </w:r>
            <w:r>
              <w:rPr>
                <w:rFonts w:hint="eastAsia" w:ascii="宋体" w:hAnsi="宋体" w:eastAsia="宋体" w:cs="宋体"/>
                <w:color w:val="000000" w:themeColor="text1"/>
                <w:highlight w:val="none"/>
                <w:lang w:val="en-US" w:eastAsia="zh-CN"/>
              </w:rPr>
              <w:t>满足或优于采购需求的，</w:t>
            </w:r>
            <w:r>
              <w:rPr>
                <w:rFonts w:hint="eastAsia" w:ascii="宋体" w:hAnsi="宋体" w:eastAsia="宋体" w:cs="宋体"/>
                <w:color w:val="000000" w:themeColor="text1"/>
                <w:kern w:val="2"/>
                <w:sz w:val="21"/>
                <w:szCs w:val="21"/>
                <w:highlight w:val="none"/>
                <w:lang w:val="en-US" w:eastAsia="zh-CN" w:bidi="ar-SA"/>
              </w:rPr>
              <w:t xml:space="preserve">得10分； </w:t>
            </w:r>
          </w:p>
          <w:p w14:paraId="00835D1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2.对产品出现质量问题的退换承诺基本合理可行，</w:t>
            </w:r>
            <w:r>
              <w:rPr>
                <w:rFonts w:hint="eastAsia" w:ascii="宋体" w:hAnsi="宋体" w:eastAsia="宋体" w:cs="宋体"/>
                <w:color w:val="000000" w:themeColor="text1"/>
                <w:highlight w:val="none"/>
                <w:lang w:val="en-US" w:eastAsia="zh-CN"/>
              </w:rPr>
              <w:t>基本满足采购需求的，</w:t>
            </w:r>
            <w:r>
              <w:rPr>
                <w:rFonts w:hint="eastAsia" w:ascii="宋体" w:hAnsi="宋体" w:eastAsia="宋体" w:cs="宋体"/>
                <w:color w:val="000000" w:themeColor="text1"/>
                <w:highlight w:val="none"/>
              </w:rPr>
              <w:t>得</w:t>
            </w:r>
            <w:r>
              <w:rPr>
                <w:rFonts w:hint="eastAsia" w:ascii="宋体" w:hAnsi="宋体" w:eastAsia="宋体" w:cs="宋体"/>
                <w:color w:val="000000" w:themeColor="text1"/>
                <w:highlight w:val="none"/>
                <w:lang w:val="en-US" w:eastAsia="zh-CN"/>
              </w:rPr>
              <w:t>7</w:t>
            </w:r>
            <w:r>
              <w:rPr>
                <w:rFonts w:hint="eastAsia" w:ascii="宋体" w:hAnsi="宋体" w:eastAsia="宋体" w:cs="宋体"/>
                <w:color w:val="000000" w:themeColor="text1"/>
                <w:highlight w:val="none"/>
              </w:rPr>
              <w:t>分</w:t>
            </w:r>
            <w:r>
              <w:rPr>
                <w:rFonts w:hint="eastAsia" w:ascii="宋体" w:hAnsi="宋体" w:eastAsia="宋体" w:cs="宋体"/>
                <w:color w:val="000000" w:themeColor="text1"/>
                <w:kern w:val="2"/>
                <w:sz w:val="21"/>
                <w:szCs w:val="21"/>
                <w:highlight w:val="none"/>
                <w:lang w:val="en-US" w:eastAsia="zh-CN" w:bidi="ar-SA"/>
              </w:rPr>
              <w:t xml:space="preserve">； </w:t>
            </w:r>
          </w:p>
          <w:p w14:paraId="149DFC3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3.对产品出现质量问题的退换承诺不够合理，</w:t>
            </w:r>
            <w:r>
              <w:rPr>
                <w:rFonts w:hint="eastAsia" w:ascii="宋体" w:hAnsi="宋体" w:eastAsia="宋体" w:cs="宋体"/>
                <w:color w:val="000000" w:themeColor="text1"/>
                <w:highlight w:val="none"/>
                <w:lang w:val="en-US" w:eastAsia="zh-CN"/>
              </w:rPr>
              <w:t>部分满足采购需求的，</w:t>
            </w:r>
            <w:r>
              <w:rPr>
                <w:rFonts w:hint="eastAsia" w:ascii="宋体" w:hAnsi="宋体" w:eastAsia="宋体" w:cs="宋体"/>
                <w:color w:val="000000" w:themeColor="text1"/>
                <w:highlight w:val="none"/>
              </w:rPr>
              <w:t>得</w:t>
            </w: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highlight w:val="none"/>
              </w:rPr>
              <w:t>分</w:t>
            </w:r>
            <w:r>
              <w:rPr>
                <w:rFonts w:hint="eastAsia" w:ascii="宋体" w:hAnsi="宋体" w:eastAsia="宋体" w:cs="宋体"/>
                <w:color w:val="000000" w:themeColor="text1"/>
                <w:kern w:val="2"/>
                <w:sz w:val="21"/>
                <w:szCs w:val="21"/>
                <w:highlight w:val="none"/>
                <w:lang w:val="en-US" w:eastAsia="zh-CN" w:bidi="ar-SA"/>
              </w:rPr>
              <w:t>；</w:t>
            </w:r>
          </w:p>
          <w:p w14:paraId="7564A3B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4.对产品出现质量问题的退换承诺不完整 ，</w:t>
            </w:r>
            <w:r>
              <w:rPr>
                <w:rFonts w:hint="eastAsia" w:ascii="宋体" w:hAnsi="宋体" w:eastAsia="宋体" w:cs="宋体"/>
                <w:color w:val="000000" w:themeColor="text1"/>
                <w:highlight w:val="none"/>
                <w:lang w:val="en-US" w:eastAsia="zh-CN"/>
              </w:rPr>
              <w:t>难以满足采购需求的，</w:t>
            </w:r>
            <w:r>
              <w:rPr>
                <w:rFonts w:hint="eastAsia" w:ascii="宋体" w:hAnsi="宋体" w:eastAsia="宋体" w:cs="宋体"/>
                <w:color w:val="000000" w:themeColor="text1"/>
                <w:kern w:val="2"/>
                <w:sz w:val="21"/>
                <w:szCs w:val="21"/>
                <w:highlight w:val="none"/>
                <w:lang w:val="en-US" w:eastAsia="zh-CN" w:bidi="ar-SA"/>
              </w:rPr>
              <w:t xml:space="preserve">得1分； </w:t>
            </w:r>
          </w:p>
          <w:p w14:paraId="5D97A76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highlight w:val="none"/>
              </w:rPr>
              <w:t>不提供不得分。</w:t>
            </w:r>
          </w:p>
        </w:tc>
      </w:tr>
      <w:tr w14:paraId="0C7365FB">
        <w:tblPrEx>
          <w:shd w:val="clear" w:color="auto" w:fill="FFFFFF"/>
          <w:tblCellMar>
            <w:top w:w="0" w:type="dxa"/>
            <w:left w:w="0" w:type="dxa"/>
            <w:bottom w:w="0" w:type="dxa"/>
            <w:right w:w="0" w:type="dxa"/>
          </w:tblCellMar>
        </w:tblPrEx>
        <w:trPr>
          <w:cantSplit/>
          <w:trHeight w:val="419" w:hRule="atLeast"/>
          <w:jc w:val="center"/>
        </w:trPr>
        <w:tc>
          <w:tcPr>
            <w:tcW w:w="2232"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34022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合计</w:t>
            </w:r>
          </w:p>
        </w:tc>
        <w:tc>
          <w:tcPr>
            <w:tcW w:w="73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473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30</w:t>
            </w:r>
            <w:r>
              <w:rPr>
                <w:rFonts w:hint="eastAsia" w:ascii="宋体" w:hAnsi="宋体" w:eastAsia="宋体" w:cs="宋体"/>
                <w:color w:val="000000" w:themeColor="text1"/>
                <w:sz w:val="21"/>
                <w:szCs w:val="21"/>
                <w:highlight w:val="none"/>
              </w:rPr>
              <w:t>分</w:t>
            </w:r>
          </w:p>
        </w:tc>
        <w:tc>
          <w:tcPr>
            <w:tcW w:w="66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0503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w:t>
            </w:r>
          </w:p>
        </w:tc>
      </w:tr>
    </w:tbl>
    <w:p w14:paraId="28AF6CAD">
      <w:pPr>
        <w:rPr>
          <w:color w:val="000000" w:themeColor="text1"/>
          <w:highlight w:val="none"/>
        </w:rPr>
      </w:pPr>
    </w:p>
    <w:p w14:paraId="6C43248B">
      <w:pPr>
        <w:rPr>
          <w:color w:val="000000" w:themeColor="text1"/>
          <w:highlight w:val="none"/>
        </w:rPr>
      </w:pPr>
      <w:r>
        <w:rPr>
          <w:color w:val="000000" w:themeColor="text1"/>
          <w:highlight w:val="none"/>
        </w:rPr>
        <w:t>商务</w:t>
      </w:r>
      <w:r>
        <w:rPr>
          <w:rFonts w:hint="eastAsia"/>
          <w:color w:val="000000" w:themeColor="text1"/>
          <w:highlight w:val="none"/>
        </w:rPr>
        <w:t>评</w:t>
      </w:r>
      <w:r>
        <w:rPr>
          <w:color w:val="000000" w:themeColor="text1"/>
          <w:highlight w:val="none"/>
        </w:rPr>
        <w:t>分</w:t>
      </w:r>
      <w:r>
        <w:rPr>
          <w:rFonts w:hint="eastAsia"/>
          <w:color w:val="000000" w:themeColor="text1"/>
          <w:highlight w:val="none"/>
        </w:rPr>
        <w:t>细则</w:t>
      </w:r>
    </w:p>
    <w:tbl>
      <w:tblPr>
        <w:tblStyle w:val="46"/>
        <w:tblW w:w="9559" w:type="dxa"/>
        <w:jc w:val="center"/>
        <w:tblLayout w:type="fixed"/>
        <w:tblCellMar>
          <w:top w:w="0" w:type="dxa"/>
          <w:left w:w="0" w:type="dxa"/>
          <w:bottom w:w="0" w:type="dxa"/>
          <w:right w:w="0" w:type="dxa"/>
        </w:tblCellMar>
      </w:tblPr>
      <w:tblGrid>
        <w:gridCol w:w="677"/>
        <w:gridCol w:w="1267"/>
        <w:gridCol w:w="916"/>
        <w:gridCol w:w="6699"/>
      </w:tblGrid>
      <w:tr w14:paraId="3D3FF2FF">
        <w:tblPrEx>
          <w:tblCellMar>
            <w:top w:w="0" w:type="dxa"/>
            <w:left w:w="0" w:type="dxa"/>
            <w:bottom w:w="0" w:type="dxa"/>
            <w:right w:w="0" w:type="dxa"/>
          </w:tblCellMar>
        </w:tblPrEx>
        <w:trPr>
          <w:cantSplit/>
          <w:trHeight w:val="403" w:hRule="atLeast"/>
          <w:jc w:val="center"/>
        </w:trPr>
        <w:tc>
          <w:tcPr>
            <w:tcW w:w="6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7977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126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7EE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评审内容</w:t>
            </w:r>
          </w:p>
        </w:tc>
        <w:tc>
          <w:tcPr>
            <w:tcW w:w="9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3289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分值</w:t>
            </w:r>
          </w:p>
        </w:tc>
        <w:tc>
          <w:tcPr>
            <w:tcW w:w="66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3F0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评审标准</w:t>
            </w:r>
          </w:p>
        </w:tc>
      </w:tr>
      <w:tr w14:paraId="6347F948">
        <w:tblPrEx>
          <w:tblCellMar>
            <w:top w:w="0" w:type="dxa"/>
            <w:left w:w="0" w:type="dxa"/>
            <w:bottom w:w="0" w:type="dxa"/>
            <w:right w:w="0" w:type="dxa"/>
          </w:tblCellMar>
        </w:tblPrEx>
        <w:trPr>
          <w:cantSplit/>
          <w:trHeight w:val="620" w:hRule="atLeast"/>
          <w:jc w:val="center"/>
        </w:trPr>
        <w:tc>
          <w:tcPr>
            <w:tcW w:w="6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618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cs="宋体"/>
                <w:color w:val="000000" w:themeColor="text1"/>
                <w:sz w:val="21"/>
                <w:szCs w:val="21"/>
                <w:highlight w:val="none"/>
                <w:lang w:val="en-US" w:eastAsia="zh-CN"/>
              </w:rPr>
              <w:t>1</w:t>
            </w:r>
          </w:p>
        </w:tc>
        <w:tc>
          <w:tcPr>
            <w:tcW w:w="12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40FB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同类项目业绩</w:t>
            </w:r>
          </w:p>
        </w:tc>
        <w:tc>
          <w:tcPr>
            <w:tcW w:w="9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D9C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w:t>
            </w:r>
            <w:r>
              <w:rPr>
                <w:rFonts w:hint="eastAsia" w:ascii="宋体" w:hAnsi="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分</w:t>
            </w:r>
          </w:p>
        </w:tc>
        <w:tc>
          <w:tcPr>
            <w:tcW w:w="66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379919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投标人提供</w:t>
            </w:r>
            <w:r>
              <w:rPr>
                <w:rFonts w:hint="eastAsia" w:ascii="宋体" w:hAnsi="宋体" w:eastAsia="宋体" w:cs="宋体"/>
                <w:color w:val="000000" w:themeColor="text1"/>
                <w:highlight w:val="none"/>
                <w:lang w:val="en-US" w:eastAsia="zh-CN"/>
              </w:rPr>
              <w:t>2022年1月1日至今</w:t>
            </w:r>
            <w:r>
              <w:rPr>
                <w:rFonts w:hint="eastAsia" w:ascii="宋体" w:hAnsi="宋体" w:eastAsia="宋体" w:cs="宋体"/>
                <w:color w:val="000000" w:themeColor="text1"/>
                <w:highlight w:val="none"/>
              </w:rPr>
              <w:t>（以合同签订时间为准）的同类项目业绩，每个得</w:t>
            </w: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highlight w:val="none"/>
              </w:rPr>
              <w:t>分，最高得</w:t>
            </w:r>
            <w:r>
              <w:rPr>
                <w:rFonts w:hint="eastAsia" w:ascii="宋体" w:hAnsi="宋体" w:eastAsia="宋体" w:cs="宋体"/>
                <w:color w:val="000000" w:themeColor="text1"/>
                <w:highlight w:val="none"/>
                <w:lang w:val="en-US" w:eastAsia="zh-CN"/>
              </w:rPr>
              <w:t>12</w:t>
            </w:r>
            <w:r>
              <w:rPr>
                <w:rFonts w:hint="eastAsia" w:ascii="宋体" w:hAnsi="宋体" w:eastAsia="宋体" w:cs="宋体"/>
                <w:color w:val="000000" w:themeColor="text1"/>
                <w:highlight w:val="none"/>
              </w:rPr>
              <w:t xml:space="preserve">分； </w:t>
            </w:r>
          </w:p>
          <w:p w14:paraId="5AA3E3E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highlight w:val="none"/>
              </w:rPr>
              <w:t>注：提供项目的合同关键页复印件加盖投标人公章，不提供不得分。</w:t>
            </w:r>
          </w:p>
        </w:tc>
      </w:tr>
      <w:tr w14:paraId="23F3F06A">
        <w:tblPrEx>
          <w:tblCellMar>
            <w:top w:w="0" w:type="dxa"/>
            <w:left w:w="0" w:type="dxa"/>
            <w:bottom w:w="0" w:type="dxa"/>
            <w:right w:w="0" w:type="dxa"/>
          </w:tblCellMar>
        </w:tblPrEx>
        <w:trPr>
          <w:cantSplit/>
          <w:trHeight w:val="620" w:hRule="atLeast"/>
          <w:jc w:val="center"/>
        </w:trPr>
        <w:tc>
          <w:tcPr>
            <w:tcW w:w="6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6BB1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lang w:eastAsia="zh-CN"/>
              </w:rPr>
            </w:pPr>
            <w:r>
              <w:rPr>
                <w:rFonts w:hint="eastAsia" w:ascii="宋体" w:hAnsi="宋体" w:cs="宋体"/>
                <w:color w:val="000000" w:themeColor="text1"/>
                <w:sz w:val="21"/>
                <w:szCs w:val="21"/>
                <w:highlight w:val="none"/>
                <w:lang w:val="en-US" w:eastAsia="zh-CN"/>
              </w:rPr>
              <w:t>2</w:t>
            </w:r>
          </w:p>
        </w:tc>
        <w:tc>
          <w:tcPr>
            <w:tcW w:w="12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1C25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食品安全责任险保障</w:t>
            </w:r>
          </w:p>
        </w:tc>
        <w:tc>
          <w:tcPr>
            <w:tcW w:w="9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28F5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分</w:t>
            </w:r>
          </w:p>
        </w:tc>
        <w:tc>
          <w:tcPr>
            <w:tcW w:w="66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DC7DB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xml:space="preserve">投标人能提供食品安全责任险保障： </w:t>
            </w:r>
          </w:p>
          <w:p w14:paraId="7F8584D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保额</w:t>
            </w:r>
            <w:r>
              <w:rPr>
                <w:rFonts w:hint="eastAsia" w:ascii="宋体" w:hAnsi="宋体" w:eastAsia="宋体" w:cs="宋体"/>
                <w:color w:val="000000" w:themeColor="text1"/>
                <w:sz w:val="21"/>
                <w:szCs w:val="21"/>
                <w:highlight w:val="none"/>
                <w:lang w:val="en-US" w:eastAsia="zh-CN"/>
              </w:rPr>
              <w:t>壹仟</w:t>
            </w:r>
            <w:r>
              <w:rPr>
                <w:rFonts w:hint="eastAsia" w:ascii="宋体" w:hAnsi="宋体" w:eastAsia="宋体" w:cs="宋体"/>
                <w:color w:val="000000" w:themeColor="text1"/>
                <w:sz w:val="21"/>
                <w:szCs w:val="21"/>
                <w:highlight w:val="none"/>
              </w:rPr>
              <w:t>万元或以上，得</w:t>
            </w:r>
            <w:r>
              <w:rPr>
                <w:rFonts w:hint="eastAsia" w:ascii="宋体" w:hAnsi="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 xml:space="preserve">分； </w:t>
            </w:r>
          </w:p>
          <w:p w14:paraId="11433AF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保额</w:t>
            </w:r>
            <w:r>
              <w:rPr>
                <w:rFonts w:hint="eastAsia" w:ascii="宋体" w:hAnsi="宋体" w:eastAsia="宋体" w:cs="宋体"/>
                <w:color w:val="000000" w:themeColor="text1"/>
                <w:sz w:val="21"/>
                <w:szCs w:val="21"/>
                <w:highlight w:val="none"/>
                <w:lang w:val="en-US" w:eastAsia="zh-CN"/>
              </w:rPr>
              <w:t>伍</w:t>
            </w:r>
            <w:r>
              <w:rPr>
                <w:rFonts w:hint="eastAsia" w:ascii="宋体" w:hAnsi="宋体" w:eastAsia="宋体" w:cs="宋体"/>
                <w:color w:val="000000" w:themeColor="text1"/>
                <w:sz w:val="21"/>
                <w:szCs w:val="21"/>
                <w:highlight w:val="none"/>
              </w:rPr>
              <w:t>佰万元（含）-</w:t>
            </w:r>
            <w:r>
              <w:rPr>
                <w:rFonts w:hint="eastAsia" w:ascii="宋体" w:hAnsi="宋体" w:eastAsia="宋体" w:cs="宋体"/>
                <w:color w:val="000000" w:themeColor="text1"/>
                <w:sz w:val="21"/>
                <w:szCs w:val="21"/>
                <w:highlight w:val="none"/>
                <w:lang w:val="en-US" w:eastAsia="zh-CN"/>
              </w:rPr>
              <w:t>壹仟</w:t>
            </w:r>
            <w:r>
              <w:rPr>
                <w:rFonts w:hint="eastAsia" w:ascii="宋体" w:hAnsi="宋体" w:eastAsia="宋体" w:cs="宋体"/>
                <w:color w:val="000000" w:themeColor="text1"/>
                <w:sz w:val="21"/>
                <w:szCs w:val="21"/>
                <w:highlight w:val="none"/>
              </w:rPr>
              <w:t>万元（不含），得</w:t>
            </w:r>
            <w:r>
              <w:rPr>
                <w:rFonts w:hint="eastAsia" w:ascii="宋体" w:hAnsi="宋体" w:cs="宋体"/>
                <w:color w:val="000000" w:themeColor="text1"/>
                <w:sz w:val="21"/>
                <w:szCs w:val="21"/>
                <w:highlight w:val="none"/>
                <w:lang w:val="en-US" w:eastAsia="zh-CN"/>
              </w:rPr>
              <w:t>6</w:t>
            </w:r>
            <w:r>
              <w:rPr>
                <w:rFonts w:hint="eastAsia" w:ascii="宋体" w:hAnsi="宋体" w:eastAsia="宋体" w:cs="宋体"/>
                <w:color w:val="000000" w:themeColor="text1"/>
                <w:sz w:val="21"/>
                <w:szCs w:val="21"/>
                <w:highlight w:val="none"/>
              </w:rPr>
              <w:t>分；</w:t>
            </w:r>
          </w:p>
          <w:p w14:paraId="2F06BB2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rPr>
              <w:t>保额</w:t>
            </w:r>
            <w:r>
              <w:rPr>
                <w:rFonts w:hint="eastAsia" w:ascii="宋体" w:hAnsi="宋体" w:eastAsia="宋体" w:cs="宋体"/>
                <w:color w:val="000000" w:themeColor="text1"/>
                <w:sz w:val="21"/>
                <w:szCs w:val="21"/>
                <w:highlight w:val="none"/>
                <w:lang w:val="en-US" w:eastAsia="zh-CN"/>
              </w:rPr>
              <w:t>伍</w:t>
            </w:r>
            <w:r>
              <w:rPr>
                <w:rFonts w:hint="eastAsia" w:ascii="宋体" w:hAnsi="宋体" w:eastAsia="宋体" w:cs="宋体"/>
                <w:color w:val="000000" w:themeColor="text1"/>
                <w:sz w:val="21"/>
                <w:szCs w:val="21"/>
                <w:highlight w:val="none"/>
              </w:rPr>
              <w:t>佰万元（不含）以下</w:t>
            </w:r>
            <w:r>
              <w:rPr>
                <w:rFonts w:hint="eastAsia" w:ascii="宋体" w:hAnsi="宋体" w:eastAsia="宋体" w:cs="宋体"/>
                <w:color w:val="000000" w:themeColor="text1"/>
                <w:sz w:val="21"/>
                <w:szCs w:val="21"/>
                <w:highlight w:val="none"/>
                <w:lang w:val="en-US" w:eastAsia="zh-CN"/>
              </w:rPr>
              <w:t>得2分</w:t>
            </w:r>
            <w:r>
              <w:rPr>
                <w:rFonts w:hint="eastAsia" w:ascii="宋体" w:hAnsi="宋体" w:eastAsia="宋体" w:cs="宋体"/>
                <w:color w:val="000000" w:themeColor="text1"/>
                <w:sz w:val="21"/>
                <w:szCs w:val="21"/>
                <w:highlight w:val="none"/>
              </w:rPr>
              <w:t>。</w:t>
            </w:r>
          </w:p>
          <w:p w14:paraId="132762C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eastAsia="宋体"/>
                <w:color w:val="000000" w:themeColor="text1"/>
                <w:highlight w:val="none"/>
                <w:lang w:val="en-US" w:eastAsia="zh-CN"/>
              </w:rPr>
            </w:pPr>
            <w:r>
              <w:rPr>
                <w:rFonts w:hint="eastAsia" w:ascii="宋体" w:hAnsi="宋体" w:eastAsia="宋体" w:cs="宋体"/>
                <w:color w:val="000000" w:themeColor="text1"/>
                <w:sz w:val="21"/>
                <w:szCs w:val="21"/>
                <w:highlight w:val="none"/>
                <w:lang w:val="en-US" w:eastAsia="zh-CN"/>
              </w:rPr>
              <w:t>其他不得分。</w:t>
            </w:r>
          </w:p>
          <w:p w14:paraId="7EF02EC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注：提供有效保单复印件加盖投标人公章，不提供不得分。</w:t>
            </w:r>
          </w:p>
        </w:tc>
      </w:tr>
      <w:tr w14:paraId="249E2D6D">
        <w:tblPrEx>
          <w:tblCellMar>
            <w:top w:w="0" w:type="dxa"/>
            <w:left w:w="0" w:type="dxa"/>
            <w:bottom w:w="0" w:type="dxa"/>
            <w:right w:w="0" w:type="dxa"/>
          </w:tblCellMar>
        </w:tblPrEx>
        <w:trPr>
          <w:cantSplit/>
          <w:trHeight w:val="620" w:hRule="atLeast"/>
          <w:jc w:val="center"/>
        </w:trPr>
        <w:tc>
          <w:tcPr>
            <w:tcW w:w="6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DFF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3</w:t>
            </w:r>
          </w:p>
        </w:tc>
        <w:tc>
          <w:tcPr>
            <w:tcW w:w="12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98DE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拟投入项目团队人员</w:t>
            </w:r>
            <w:r>
              <w:rPr>
                <w:rFonts w:hint="eastAsia" w:ascii="宋体" w:hAnsi="宋体" w:eastAsia="宋体" w:cs="宋体"/>
                <w:color w:val="000000" w:themeColor="text1"/>
                <w:sz w:val="21"/>
                <w:szCs w:val="21"/>
                <w:highlight w:val="none"/>
                <w:lang w:val="en-US" w:eastAsia="zh-CN"/>
              </w:rPr>
              <w:t>情况</w:t>
            </w:r>
          </w:p>
        </w:tc>
        <w:tc>
          <w:tcPr>
            <w:tcW w:w="9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E3B9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分</w:t>
            </w:r>
          </w:p>
        </w:tc>
        <w:tc>
          <w:tcPr>
            <w:tcW w:w="66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32052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sz w:val="21"/>
                <w:szCs w:val="21"/>
                <w:highlight w:val="none"/>
              </w:rPr>
              <w:t>投标人</w:t>
            </w:r>
            <w:r>
              <w:rPr>
                <w:rFonts w:hint="eastAsia" w:ascii="宋体" w:hAnsi="宋体" w:eastAsia="宋体" w:cs="宋体"/>
                <w:color w:val="000000" w:themeColor="text1"/>
                <w:sz w:val="21"/>
                <w:szCs w:val="21"/>
                <w:highlight w:val="none"/>
                <w:lang w:val="en-US" w:eastAsia="zh-CN"/>
              </w:rPr>
              <w:t>具有</w:t>
            </w:r>
            <w:r>
              <w:rPr>
                <w:rFonts w:hint="eastAsia" w:ascii="宋体" w:hAnsi="宋体" w:eastAsia="宋体" w:cs="宋体"/>
                <w:color w:val="000000" w:themeColor="text1"/>
                <w:sz w:val="21"/>
                <w:szCs w:val="21"/>
                <w:highlight w:val="none"/>
              </w:rPr>
              <w:t>专门的</w:t>
            </w:r>
            <w:r>
              <w:rPr>
                <w:rFonts w:hint="eastAsia" w:ascii="宋体" w:hAnsi="宋体" w:eastAsia="宋体" w:cs="宋体"/>
                <w:color w:val="000000" w:themeColor="text1"/>
                <w:sz w:val="21"/>
                <w:szCs w:val="21"/>
                <w:highlight w:val="none"/>
                <w:lang w:val="en-US" w:eastAsia="zh-CN"/>
              </w:rPr>
              <w:t>食品安全管理人员</w:t>
            </w:r>
            <w:r>
              <w:rPr>
                <w:rFonts w:hint="eastAsia" w:ascii="宋体" w:hAnsi="宋体" w:eastAsia="宋体" w:cs="宋体"/>
                <w:color w:val="000000" w:themeColor="text1"/>
                <w:highlight w:val="none"/>
              </w:rPr>
              <w:t>，每</w:t>
            </w:r>
            <w:r>
              <w:rPr>
                <w:rFonts w:hint="eastAsia" w:ascii="宋体" w:hAnsi="宋体" w:eastAsia="宋体" w:cs="宋体"/>
                <w:color w:val="000000" w:themeColor="text1"/>
                <w:highlight w:val="none"/>
                <w:lang w:val="en-US" w:eastAsia="zh-CN"/>
              </w:rPr>
              <w:t>人得5</w:t>
            </w:r>
            <w:r>
              <w:rPr>
                <w:rFonts w:hint="eastAsia" w:ascii="宋体" w:hAnsi="宋体" w:eastAsia="宋体" w:cs="宋体"/>
                <w:color w:val="000000" w:themeColor="text1"/>
                <w:highlight w:val="none"/>
              </w:rPr>
              <w:t>分，最高得</w:t>
            </w:r>
            <w:r>
              <w:rPr>
                <w:rFonts w:hint="eastAsia" w:ascii="宋体" w:hAnsi="宋体" w:eastAsia="宋体" w:cs="宋体"/>
                <w:color w:val="000000" w:themeColor="text1"/>
                <w:highlight w:val="none"/>
                <w:lang w:val="en-US" w:eastAsia="zh-CN"/>
              </w:rPr>
              <w:t>10</w:t>
            </w:r>
            <w:r>
              <w:rPr>
                <w:rFonts w:hint="eastAsia" w:ascii="宋体" w:hAnsi="宋体" w:eastAsia="宋体" w:cs="宋体"/>
                <w:color w:val="000000" w:themeColor="text1"/>
                <w:highlight w:val="none"/>
              </w:rPr>
              <w:t>分</w:t>
            </w:r>
            <w:r>
              <w:rPr>
                <w:rFonts w:hint="eastAsia" w:ascii="宋体" w:hAnsi="宋体" w:eastAsia="宋体" w:cs="宋体"/>
                <w:color w:val="000000" w:themeColor="text1"/>
                <w:highlight w:val="none"/>
                <w:lang w:eastAsia="zh-CN"/>
              </w:rPr>
              <w:t>。</w:t>
            </w:r>
          </w:p>
          <w:p w14:paraId="47F3D66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注：</w:t>
            </w:r>
            <w:r>
              <w:rPr>
                <w:rFonts w:hint="eastAsia" w:ascii="宋体" w:hAnsi="宋体" w:eastAsia="宋体" w:cs="宋体"/>
                <w:color w:val="000000" w:themeColor="text1"/>
                <w:sz w:val="21"/>
                <w:szCs w:val="21"/>
                <w:highlight w:val="none"/>
                <w:lang w:val="en-US" w:eastAsia="zh-CN"/>
              </w:rPr>
              <w:t>配备人员</w:t>
            </w:r>
            <w:r>
              <w:rPr>
                <w:rFonts w:hint="eastAsia" w:ascii="宋体" w:hAnsi="宋体" w:eastAsia="宋体" w:cs="宋体"/>
                <w:color w:val="000000" w:themeColor="text1"/>
                <w:sz w:val="21"/>
                <w:szCs w:val="21"/>
                <w:highlight w:val="none"/>
              </w:rPr>
              <w:t>需</w:t>
            </w:r>
            <w:r>
              <w:rPr>
                <w:rFonts w:hint="eastAsia" w:ascii="宋体" w:hAnsi="宋体" w:eastAsia="宋体" w:cs="宋体"/>
                <w:color w:val="000000" w:themeColor="text1"/>
                <w:sz w:val="21"/>
                <w:szCs w:val="21"/>
                <w:highlight w:val="none"/>
                <w:lang w:val="en-US" w:eastAsia="zh-CN"/>
              </w:rPr>
              <w:t>提供广东省食品安全管理人员考试合格证明证书复印件加盖投标人公章</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highlight w:val="none"/>
              </w:rPr>
              <w:t>不提供不得分</w:t>
            </w:r>
            <w:r>
              <w:rPr>
                <w:rFonts w:hint="eastAsia" w:ascii="宋体" w:hAnsi="宋体" w:eastAsia="宋体" w:cs="宋体"/>
                <w:color w:val="000000" w:themeColor="text1"/>
                <w:sz w:val="21"/>
                <w:szCs w:val="21"/>
                <w:highlight w:val="none"/>
              </w:rPr>
              <w:t>。</w:t>
            </w:r>
          </w:p>
        </w:tc>
      </w:tr>
      <w:tr w14:paraId="1C89351A">
        <w:tblPrEx>
          <w:tblCellMar>
            <w:top w:w="0" w:type="dxa"/>
            <w:left w:w="0" w:type="dxa"/>
            <w:bottom w:w="0" w:type="dxa"/>
            <w:right w:w="0" w:type="dxa"/>
          </w:tblCellMar>
        </w:tblPrEx>
        <w:trPr>
          <w:cantSplit/>
          <w:trHeight w:val="620" w:hRule="atLeast"/>
          <w:jc w:val="center"/>
        </w:trPr>
        <w:tc>
          <w:tcPr>
            <w:tcW w:w="6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4F00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4</w:t>
            </w:r>
          </w:p>
        </w:tc>
        <w:tc>
          <w:tcPr>
            <w:tcW w:w="12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5D7A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配送能力</w:t>
            </w:r>
          </w:p>
        </w:tc>
        <w:tc>
          <w:tcPr>
            <w:tcW w:w="9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7B40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lang w:val="en-US" w:eastAsia="zh-CN"/>
              </w:rPr>
              <w:t>9</w:t>
            </w:r>
            <w:r>
              <w:rPr>
                <w:rFonts w:hint="eastAsia" w:ascii="宋体" w:hAnsi="宋体" w:eastAsia="宋体" w:cs="宋体"/>
                <w:color w:val="000000" w:themeColor="text1"/>
                <w:sz w:val="21"/>
                <w:szCs w:val="21"/>
                <w:highlight w:val="none"/>
                <w:lang w:val="en-US" w:eastAsia="zh-CN"/>
              </w:rPr>
              <w:t>分</w:t>
            </w:r>
          </w:p>
        </w:tc>
        <w:tc>
          <w:tcPr>
            <w:tcW w:w="66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1FA03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投标人针对本项目投入的配送车辆，每配备1台配送车辆的得</w:t>
            </w:r>
            <w:r>
              <w:rPr>
                <w:rFonts w:hint="eastAsia" w:ascii="宋体" w:hAnsi="宋体" w:eastAsia="宋体" w:cs="宋体"/>
                <w:color w:val="000000" w:themeColor="text1"/>
                <w:sz w:val="21"/>
                <w:szCs w:val="21"/>
                <w:highlight w:val="none"/>
                <w:lang w:val="en-US" w:eastAsia="zh-CN"/>
              </w:rPr>
              <w:t>3分，本项</w:t>
            </w:r>
            <w:r>
              <w:rPr>
                <w:rFonts w:hint="eastAsia" w:ascii="宋体" w:hAnsi="宋体" w:eastAsia="宋体" w:cs="宋体"/>
                <w:color w:val="000000" w:themeColor="text1"/>
                <w:sz w:val="21"/>
                <w:szCs w:val="21"/>
                <w:highlight w:val="none"/>
              </w:rPr>
              <w:t>最高得</w:t>
            </w:r>
            <w:r>
              <w:rPr>
                <w:rFonts w:hint="eastAsia" w:ascii="宋体" w:hAnsi="宋体" w:eastAsia="宋体" w:cs="宋体"/>
                <w:color w:val="000000" w:themeColor="text1"/>
                <w:sz w:val="21"/>
                <w:szCs w:val="21"/>
                <w:highlight w:val="none"/>
                <w:lang w:val="en-US" w:eastAsia="zh-CN"/>
              </w:rPr>
              <w:t>9</w:t>
            </w:r>
            <w:r>
              <w:rPr>
                <w:rFonts w:hint="eastAsia" w:ascii="宋体" w:hAnsi="宋体" w:eastAsia="宋体" w:cs="宋体"/>
                <w:color w:val="000000" w:themeColor="text1"/>
                <w:sz w:val="21"/>
                <w:szCs w:val="21"/>
                <w:highlight w:val="none"/>
              </w:rPr>
              <w:t>分</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 xml:space="preserve"> </w:t>
            </w:r>
          </w:p>
          <w:p w14:paraId="137E54E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注：投标人自有</w:t>
            </w:r>
            <w:r>
              <w:rPr>
                <w:rFonts w:hint="eastAsia" w:ascii="宋体" w:hAnsi="宋体" w:eastAsia="宋体" w:cs="宋体"/>
                <w:color w:val="000000" w:themeColor="text1"/>
                <w:sz w:val="21"/>
                <w:szCs w:val="21"/>
                <w:highlight w:val="none"/>
                <w:lang w:val="en-US" w:eastAsia="zh-CN"/>
              </w:rPr>
              <w:t>车辆的</w:t>
            </w:r>
            <w:r>
              <w:rPr>
                <w:rFonts w:hint="eastAsia" w:ascii="宋体" w:hAnsi="宋体" w:eastAsia="宋体" w:cs="宋体"/>
                <w:color w:val="000000" w:themeColor="text1"/>
                <w:sz w:val="21"/>
                <w:szCs w:val="21"/>
                <w:highlight w:val="none"/>
              </w:rPr>
              <w:t>，需提供购车发票</w:t>
            </w:r>
            <w:r>
              <w:rPr>
                <w:rFonts w:hint="eastAsia" w:ascii="宋体" w:hAnsi="宋体" w:eastAsia="宋体" w:cs="宋体"/>
                <w:color w:val="000000" w:themeColor="text1"/>
                <w:sz w:val="21"/>
                <w:szCs w:val="21"/>
                <w:highlight w:val="none"/>
                <w:lang w:val="en-US" w:eastAsia="zh-CN"/>
              </w:rPr>
              <w:t>复印件或</w:t>
            </w:r>
            <w:r>
              <w:rPr>
                <w:rFonts w:hint="eastAsia" w:ascii="宋体" w:hAnsi="宋体" w:eastAsia="宋体" w:cs="宋体"/>
                <w:color w:val="000000" w:themeColor="text1"/>
                <w:sz w:val="21"/>
                <w:szCs w:val="21"/>
                <w:highlight w:val="none"/>
              </w:rPr>
              <w:t>有效的《机动车行驶证》</w:t>
            </w:r>
            <w:r>
              <w:rPr>
                <w:rFonts w:hint="eastAsia" w:ascii="宋体" w:hAnsi="宋体" w:eastAsia="宋体" w:cs="宋体"/>
                <w:color w:val="000000" w:themeColor="text1"/>
                <w:sz w:val="21"/>
                <w:szCs w:val="21"/>
                <w:highlight w:val="none"/>
                <w:lang w:val="en-US" w:eastAsia="zh-CN"/>
              </w:rPr>
              <w:t>复印件和</w:t>
            </w:r>
            <w:r>
              <w:rPr>
                <w:rFonts w:hint="eastAsia" w:ascii="宋体" w:hAnsi="宋体" w:eastAsia="宋体" w:cs="宋体"/>
                <w:color w:val="000000" w:themeColor="text1"/>
                <w:sz w:val="21"/>
                <w:szCs w:val="21"/>
                <w:highlight w:val="none"/>
              </w:rPr>
              <w:t>车辆照片加盖投标人公章；</w:t>
            </w:r>
            <w:r>
              <w:rPr>
                <w:rFonts w:hint="eastAsia" w:ascii="宋体" w:hAnsi="宋体" w:eastAsia="宋体" w:cs="宋体"/>
                <w:color w:val="000000" w:themeColor="text1"/>
                <w:sz w:val="21"/>
                <w:szCs w:val="21"/>
                <w:highlight w:val="none"/>
                <w:lang w:val="en-US" w:eastAsia="zh-CN"/>
              </w:rPr>
              <w:t>投标人租赁车辆的</w:t>
            </w:r>
            <w:r>
              <w:rPr>
                <w:rFonts w:hint="eastAsia" w:ascii="宋体" w:hAnsi="宋体" w:eastAsia="宋体" w:cs="宋体"/>
                <w:color w:val="000000" w:themeColor="text1"/>
                <w:sz w:val="21"/>
                <w:szCs w:val="21"/>
                <w:highlight w:val="none"/>
              </w:rPr>
              <w:t>，需提供</w:t>
            </w:r>
            <w:r>
              <w:rPr>
                <w:rFonts w:hint="eastAsia" w:ascii="宋体" w:hAnsi="宋体" w:eastAsia="宋体" w:cs="宋体"/>
                <w:color w:val="000000" w:themeColor="text1"/>
                <w:sz w:val="21"/>
                <w:szCs w:val="21"/>
                <w:highlight w:val="none"/>
                <w:lang w:val="en-US" w:eastAsia="zh-CN"/>
              </w:rPr>
              <w:t>以投标人或法定代表人签署的</w:t>
            </w:r>
            <w:r>
              <w:rPr>
                <w:rFonts w:hint="eastAsia" w:ascii="宋体" w:hAnsi="宋体" w:eastAsia="宋体" w:cs="宋体"/>
                <w:color w:val="000000" w:themeColor="text1"/>
                <w:sz w:val="21"/>
                <w:szCs w:val="21"/>
                <w:highlight w:val="none"/>
              </w:rPr>
              <w:t>车辆租赁合同</w:t>
            </w:r>
            <w:r>
              <w:rPr>
                <w:rFonts w:hint="eastAsia" w:ascii="宋体" w:hAnsi="宋体" w:eastAsia="宋体" w:cs="宋体"/>
                <w:color w:val="000000" w:themeColor="text1"/>
                <w:sz w:val="21"/>
                <w:szCs w:val="21"/>
                <w:highlight w:val="none"/>
                <w:lang w:val="en-US" w:eastAsia="zh-CN"/>
              </w:rPr>
              <w:t>复印件和</w:t>
            </w:r>
            <w:r>
              <w:rPr>
                <w:rFonts w:hint="eastAsia" w:ascii="宋体" w:hAnsi="宋体" w:eastAsia="宋体" w:cs="宋体"/>
                <w:color w:val="000000" w:themeColor="text1"/>
                <w:sz w:val="21"/>
                <w:szCs w:val="21"/>
                <w:highlight w:val="none"/>
              </w:rPr>
              <w:t>有效的《机动车行驶证》</w:t>
            </w:r>
            <w:r>
              <w:rPr>
                <w:rFonts w:hint="eastAsia" w:ascii="宋体" w:hAnsi="宋体" w:eastAsia="宋体" w:cs="宋体"/>
                <w:color w:val="000000" w:themeColor="text1"/>
                <w:sz w:val="21"/>
                <w:szCs w:val="21"/>
                <w:highlight w:val="none"/>
                <w:lang w:val="en-US" w:eastAsia="zh-CN"/>
              </w:rPr>
              <w:t>复印件和</w:t>
            </w:r>
            <w:r>
              <w:rPr>
                <w:rFonts w:hint="eastAsia" w:ascii="宋体" w:hAnsi="宋体" w:eastAsia="宋体" w:cs="宋体"/>
                <w:color w:val="000000" w:themeColor="text1"/>
                <w:sz w:val="21"/>
                <w:szCs w:val="21"/>
                <w:highlight w:val="none"/>
              </w:rPr>
              <w:t>车辆照片加盖投标人公章。不提供不得分。</w:t>
            </w:r>
          </w:p>
        </w:tc>
      </w:tr>
      <w:tr w14:paraId="6EE2908B">
        <w:tblPrEx>
          <w:tblCellMar>
            <w:top w:w="0" w:type="dxa"/>
            <w:left w:w="0" w:type="dxa"/>
            <w:bottom w:w="0" w:type="dxa"/>
            <w:right w:w="0" w:type="dxa"/>
          </w:tblCellMar>
        </w:tblPrEx>
        <w:trPr>
          <w:cantSplit/>
          <w:trHeight w:val="620" w:hRule="atLeast"/>
          <w:jc w:val="center"/>
        </w:trPr>
        <w:tc>
          <w:tcPr>
            <w:tcW w:w="6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6A95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5</w:t>
            </w:r>
          </w:p>
        </w:tc>
        <w:tc>
          <w:tcPr>
            <w:tcW w:w="12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6CC7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投标人自有或租赁的冷冻/冷藏库情况</w:t>
            </w:r>
          </w:p>
        </w:tc>
        <w:tc>
          <w:tcPr>
            <w:tcW w:w="9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1BD7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lang w:val="en-US" w:eastAsia="zh-CN"/>
              </w:rPr>
              <w:t>分</w:t>
            </w:r>
          </w:p>
        </w:tc>
        <w:tc>
          <w:tcPr>
            <w:tcW w:w="66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B1A42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投标人具有</w:t>
            </w:r>
            <w:r>
              <w:rPr>
                <w:rFonts w:hint="eastAsia" w:ascii="宋体" w:hAnsi="宋体" w:eastAsia="宋体" w:cs="宋体"/>
                <w:color w:val="000000" w:themeColor="text1"/>
                <w:sz w:val="21"/>
                <w:szCs w:val="21"/>
                <w:highlight w:val="none"/>
              </w:rPr>
              <w:t>冷冻/冷藏库</w:t>
            </w:r>
            <w:r>
              <w:rPr>
                <w:rFonts w:hint="eastAsia" w:ascii="宋体" w:hAnsi="宋体" w:eastAsia="宋体" w:cs="宋体"/>
                <w:color w:val="000000" w:themeColor="text1"/>
                <w:sz w:val="21"/>
                <w:szCs w:val="21"/>
                <w:highlight w:val="none"/>
                <w:lang w:val="en-US" w:eastAsia="zh-CN"/>
              </w:rPr>
              <w:t>的</w:t>
            </w:r>
            <w:r>
              <w:rPr>
                <w:rFonts w:hint="eastAsia" w:ascii="宋体" w:hAnsi="宋体" w:eastAsia="宋体" w:cs="宋体"/>
                <w:color w:val="000000" w:themeColor="text1"/>
                <w:sz w:val="21"/>
                <w:szCs w:val="21"/>
                <w:highlight w:val="none"/>
              </w:rPr>
              <w:t>，得</w:t>
            </w: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分</w:t>
            </w:r>
            <w:r>
              <w:rPr>
                <w:rFonts w:hint="eastAsia" w:ascii="宋体" w:hAnsi="宋体" w:cs="宋体"/>
                <w:color w:val="000000" w:themeColor="text1"/>
                <w:sz w:val="21"/>
                <w:szCs w:val="21"/>
                <w:highlight w:val="none"/>
                <w:lang w:eastAsia="zh-CN"/>
              </w:rPr>
              <w:t>。</w:t>
            </w:r>
          </w:p>
          <w:p w14:paraId="412A648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注：提供</w:t>
            </w:r>
            <w:r>
              <w:rPr>
                <w:rFonts w:hint="eastAsia" w:ascii="宋体" w:hAnsi="宋体" w:eastAsia="宋体" w:cs="宋体"/>
                <w:color w:val="000000" w:themeColor="text1"/>
                <w:sz w:val="21"/>
                <w:szCs w:val="21"/>
                <w:highlight w:val="none"/>
                <w:lang w:val="en-US" w:eastAsia="zh-CN"/>
              </w:rPr>
              <w:t>投标人或法定代表人</w:t>
            </w:r>
            <w:r>
              <w:rPr>
                <w:rFonts w:hint="eastAsia" w:ascii="宋体" w:hAnsi="宋体" w:eastAsia="宋体" w:cs="宋体"/>
                <w:color w:val="000000" w:themeColor="text1"/>
                <w:sz w:val="21"/>
                <w:szCs w:val="21"/>
                <w:highlight w:val="none"/>
              </w:rPr>
              <w:t>的产权证明或以</w:t>
            </w:r>
            <w:r>
              <w:rPr>
                <w:rFonts w:hint="eastAsia" w:ascii="宋体" w:hAnsi="宋体" w:eastAsia="宋体" w:cs="宋体"/>
                <w:color w:val="000000" w:themeColor="text1"/>
                <w:sz w:val="21"/>
                <w:szCs w:val="21"/>
                <w:highlight w:val="none"/>
                <w:lang w:val="en-US" w:eastAsia="zh-CN"/>
              </w:rPr>
              <w:t>投标人或法定代表人签署</w:t>
            </w:r>
            <w:r>
              <w:rPr>
                <w:rFonts w:hint="eastAsia" w:ascii="宋体" w:hAnsi="宋体" w:eastAsia="宋体" w:cs="宋体"/>
                <w:color w:val="000000" w:themeColor="text1"/>
                <w:sz w:val="21"/>
                <w:szCs w:val="21"/>
                <w:highlight w:val="none"/>
              </w:rPr>
              <w:t>的租赁合同</w:t>
            </w:r>
            <w:r>
              <w:rPr>
                <w:rFonts w:hint="eastAsia" w:ascii="宋体" w:hAnsi="宋体" w:eastAsia="宋体" w:cs="宋体"/>
                <w:color w:val="000000" w:themeColor="text1"/>
                <w:sz w:val="21"/>
                <w:szCs w:val="21"/>
                <w:highlight w:val="none"/>
                <w:lang w:val="en-US" w:eastAsia="zh-CN"/>
              </w:rPr>
              <w:t>复印件</w:t>
            </w:r>
            <w:r>
              <w:rPr>
                <w:rFonts w:hint="eastAsia" w:ascii="宋体" w:hAnsi="宋体" w:eastAsia="宋体" w:cs="宋体"/>
                <w:color w:val="000000" w:themeColor="text1"/>
                <w:sz w:val="21"/>
                <w:szCs w:val="21"/>
                <w:highlight w:val="none"/>
              </w:rPr>
              <w:t>及冷冻/冷藏库照片并加盖投标人公章</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不提供不得分。</w:t>
            </w:r>
          </w:p>
        </w:tc>
      </w:tr>
      <w:tr w14:paraId="473EEC4C">
        <w:tblPrEx>
          <w:tblCellMar>
            <w:top w:w="0" w:type="dxa"/>
            <w:left w:w="0" w:type="dxa"/>
            <w:bottom w:w="0" w:type="dxa"/>
            <w:right w:w="0" w:type="dxa"/>
          </w:tblCellMar>
        </w:tblPrEx>
        <w:trPr>
          <w:cantSplit/>
          <w:trHeight w:val="620" w:hRule="atLeast"/>
          <w:jc w:val="center"/>
        </w:trPr>
        <w:tc>
          <w:tcPr>
            <w:tcW w:w="6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48E6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6</w:t>
            </w:r>
          </w:p>
        </w:tc>
        <w:tc>
          <w:tcPr>
            <w:tcW w:w="12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DF64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配送场地</w:t>
            </w:r>
          </w:p>
        </w:tc>
        <w:tc>
          <w:tcPr>
            <w:tcW w:w="9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C266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lang w:val="en-US" w:eastAsia="zh-CN"/>
              </w:rPr>
              <w:t>分</w:t>
            </w:r>
          </w:p>
        </w:tc>
        <w:tc>
          <w:tcPr>
            <w:tcW w:w="66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BFF94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投标人</w:t>
            </w:r>
            <w:r>
              <w:rPr>
                <w:rFonts w:hint="eastAsia" w:ascii="宋体" w:hAnsi="宋体" w:eastAsia="宋体" w:cs="宋体"/>
                <w:color w:val="000000" w:themeColor="text1"/>
                <w:sz w:val="21"/>
                <w:szCs w:val="21"/>
                <w:highlight w:val="none"/>
                <w:lang w:val="en-US" w:eastAsia="zh-CN"/>
              </w:rPr>
              <w:t>具有</w:t>
            </w:r>
            <w:r>
              <w:rPr>
                <w:rFonts w:hint="eastAsia" w:ascii="宋体" w:hAnsi="宋体" w:eastAsia="宋体" w:cs="宋体"/>
                <w:color w:val="000000" w:themeColor="text1"/>
                <w:sz w:val="21"/>
                <w:szCs w:val="21"/>
                <w:highlight w:val="none"/>
              </w:rPr>
              <w:t>配送场地，得</w:t>
            </w: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 xml:space="preserve">分。 </w:t>
            </w:r>
          </w:p>
          <w:p w14:paraId="5C33BDE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注：提供</w:t>
            </w:r>
            <w:r>
              <w:rPr>
                <w:rFonts w:hint="eastAsia" w:ascii="宋体" w:hAnsi="宋体" w:eastAsia="宋体" w:cs="宋体"/>
                <w:color w:val="000000" w:themeColor="text1"/>
                <w:sz w:val="21"/>
                <w:szCs w:val="21"/>
                <w:highlight w:val="none"/>
                <w:lang w:val="en-US" w:eastAsia="zh-CN"/>
              </w:rPr>
              <w:t>投标人或法定代表人</w:t>
            </w:r>
            <w:r>
              <w:rPr>
                <w:rFonts w:hint="eastAsia" w:ascii="宋体" w:hAnsi="宋体" w:eastAsia="宋体" w:cs="宋体"/>
                <w:color w:val="000000" w:themeColor="text1"/>
                <w:sz w:val="21"/>
                <w:szCs w:val="21"/>
                <w:highlight w:val="none"/>
              </w:rPr>
              <w:t>的产权证明或以</w:t>
            </w:r>
            <w:r>
              <w:rPr>
                <w:rFonts w:hint="eastAsia" w:ascii="宋体" w:hAnsi="宋体" w:eastAsia="宋体" w:cs="宋体"/>
                <w:color w:val="000000" w:themeColor="text1"/>
                <w:sz w:val="21"/>
                <w:szCs w:val="21"/>
                <w:highlight w:val="none"/>
                <w:lang w:val="en-US" w:eastAsia="zh-CN"/>
              </w:rPr>
              <w:t>投标人或法定代表人签署</w:t>
            </w:r>
            <w:r>
              <w:rPr>
                <w:rFonts w:hint="eastAsia" w:ascii="宋体" w:hAnsi="宋体" w:eastAsia="宋体" w:cs="宋体"/>
                <w:color w:val="000000" w:themeColor="text1"/>
                <w:sz w:val="21"/>
                <w:szCs w:val="21"/>
                <w:highlight w:val="none"/>
              </w:rPr>
              <w:t>的租赁合同</w:t>
            </w:r>
            <w:r>
              <w:rPr>
                <w:rFonts w:hint="eastAsia" w:ascii="宋体" w:hAnsi="宋体" w:eastAsia="宋体" w:cs="宋体"/>
                <w:color w:val="000000" w:themeColor="text1"/>
                <w:sz w:val="21"/>
                <w:szCs w:val="21"/>
                <w:highlight w:val="none"/>
                <w:lang w:val="en-US" w:eastAsia="zh-CN"/>
              </w:rPr>
              <w:t>复印件</w:t>
            </w:r>
            <w:r>
              <w:rPr>
                <w:rFonts w:hint="eastAsia" w:ascii="宋体" w:hAnsi="宋体" w:eastAsia="宋体" w:cs="宋体"/>
                <w:color w:val="000000" w:themeColor="text1"/>
                <w:sz w:val="21"/>
                <w:szCs w:val="21"/>
                <w:highlight w:val="none"/>
              </w:rPr>
              <w:t>及配送场地照片并加盖投标人公章</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不提供不得分。</w:t>
            </w:r>
          </w:p>
        </w:tc>
      </w:tr>
      <w:tr w14:paraId="10A4A971">
        <w:tblPrEx>
          <w:tblCellMar>
            <w:top w:w="0" w:type="dxa"/>
            <w:left w:w="0" w:type="dxa"/>
            <w:bottom w:w="0" w:type="dxa"/>
            <w:right w:w="0" w:type="dxa"/>
          </w:tblCellMar>
        </w:tblPrEx>
        <w:trPr>
          <w:cantSplit/>
          <w:trHeight w:val="620" w:hRule="atLeast"/>
          <w:jc w:val="center"/>
        </w:trPr>
        <w:tc>
          <w:tcPr>
            <w:tcW w:w="6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779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7</w:t>
            </w:r>
          </w:p>
        </w:tc>
        <w:tc>
          <w:tcPr>
            <w:tcW w:w="12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EC04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食品卫生检测能力</w:t>
            </w:r>
          </w:p>
        </w:tc>
        <w:tc>
          <w:tcPr>
            <w:tcW w:w="9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0B6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9分</w:t>
            </w:r>
          </w:p>
        </w:tc>
        <w:tc>
          <w:tcPr>
            <w:tcW w:w="669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9412E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投标人具</w:t>
            </w:r>
            <w:r>
              <w:rPr>
                <w:rFonts w:hint="eastAsia" w:ascii="宋体" w:hAnsi="宋体" w:eastAsia="宋体" w:cs="宋体"/>
                <w:color w:val="000000" w:themeColor="text1"/>
                <w:sz w:val="21"/>
                <w:szCs w:val="21"/>
                <w:highlight w:val="none"/>
                <w:lang w:val="en-US" w:eastAsia="zh-CN"/>
              </w:rPr>
              <w:t>有</w:t>
            </w:r>
            <w:r>
              <w:rPr>
                <w:rFonts w:hint="eastAsia" w:ascii="宋体" w:hAnsi="宋体" w:eastAsia="宋体" w:cs="宋体"/>
                <w:color w:val="000000" w:themeColor="text1"/>
                <w:sz w:val="21"/>
                <w:szCs w:val="21"/>
                <w:highlight w:val="none"/>
              </w:rPr>
              <w:t>食品检测室，得</w:t>
            </w:r>
            <w:r>
              <w:rPr>
                <w:rFonts w:hint="eastAsia" w:ascii="宋体" w:hAnsi="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rPr>
              <w:t>分。</w:t>
            </w:r>
          </w:p>
          <w:p w14:paraId="7F76207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注：须提供食品检测室场所</w:t>
            </w:r>
            <w:r>
              <w:rPr>
                <w:rFonts w:hint="eastAsia" w:ascii="宋体" w:hAnsi="宋体" w:eastAsia="宋体" w:cs="宋体"/>
                <w:color w:val="000000" w:themeColor="text1"/>
                <w:sz w:val="21"/>
                <w:szCs w:val="21"/>
                <w:highlight w:val="none"/>
                <w:lang w:val="en-US" w:eastAsia="zh-CN"/>
              </w:rPr>
              <w:t>照片</w:t>
            </w:r>
            <w:r>
              <w:rPr>
                <w:rFonts w:hint="eastAsia" w:ascii="宋体" w:hAnsi="宋体" w:eastAsia="宋体" w:cs="宋体"/>
                <w:color w:val="000000" w:themeColor="text1"/>
                <w:sz w:val="21"/>
                <w:szCs w:val="21"/>
                <w:highlight w:val="none"/>
              </w:rPr>
              <w:t>并加盖投标人公章</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 xml:space="preserve">不提供不得分； </w:t>
            </w:r>
          </w:p>
          <w:p w14:paraId="54890D7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rPr>
              <w:t>2</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投标人具有检测仪</w:t>
            </w:r>
            <w:r>
              <w:rPr>
                <w:rFonts w:hint="eastAsia" w:ascii="宋体" w:hAnsi="宋体" w:cs="宋体"/>
                <w:color w:val="000000" w:themeColor="text1"/>
                <w:sz w:val="21"/>
                <w:szCs w:val="21"/>
                <w:highlight w:val="none"/>
                <w:lang w:val="en-US" w:eastAsia="zh-CN"/>
              </w:rPr>
              <w:t>器</w:t>
            </w:r>
            <w:r>
              <w:rPr>
                <w:rFonts w:hint="eastAsia" w:ascii="宋体" w:hAnsi="宋体" w:eastAsia="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1台</w:t>
            </w:r>
            <w:r>
              <w:rPr>
                <w:rFonts w:hint="eastAsia" w:ascii="宋体" w:hAnsi="宋体" w:eastAsia="宋体" w:cs="宋体"/>
                <w:color w:val="000000" w:themeColor="text1"/>
                <w:sz w:val="21"/>
                <w:szCs w:val="21"/>
                <w:highlight w:val="none"/>
              </w:rPr>
              <w:t>得</w:t>
            </w:r>
            <w:r>
              <w:rPr>
                <w:rFonts w:hint="eastAsia" w:ascii="宋体" w:hAnsi="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rPr>
              <w:t>分</w:t>
            </w:r>
            <w:r>
              <w:rPr>
                <w:rFonts w:hint="eastAsia" w:ascii="宋体" w:hAnsi="宋体" w:cs="宋体"/>
                <w:color w:val="000000" w:themeColor="text1"/>
                <w:sz w:val="21"/>
                <w:szCs w:val="21"/>
                <w:highlight w:val="none"/>
                <w:lang w:val="en-US" w:eastAsia="zh-CN"/>
              </w:rPr>
              <w:t>，满分6分。</w:t>
            </w:r>
          </w:p>
          <w:p w14:paraId="4AA6E49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rPr>
              <w:t>注：提供上述检测仪器的</w:t>
            </w:r>
            <w:r>
              <w:rPr>
                <w:rFonts w:hint="eastAsia" w:ascii="宋体" w:hAnsi="宋体" w:eastAsia="宋体" w:cs="宋体"/>
                <w:color w:val="000000" w:themeColor="text1"/>
                <w:sz w:val="21"/>
                <w:szCs w:val="21"/>
                <w:highlight w:val="none"/>
                <w:lang w:val="en-US" w:eastAsia="zh-CN"/>
              </w:rPr>
              <w:t>图片</w:t>
            </w:r>
            <w:r>
              <w:rPr>
                <w:rFonts w:hint="eastAsia" w:ascii="宋体" w:hAnsi="宋体" w:eastAsia="宋体" w:cs="宋体"/>
                <w:color w:val="000000" w:themeColor="text1"/>
                <w:sz w:val="21"/>
                <w:szCs w:val="21"/>
                <w:highlight w:val="none"/>
              </w:rPr>
              <w:t>并加盖投标人公章</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不提供不得分。</w:t>
            </w:r>
          </w:p>
        </w:tc>
      </w:tr>
      <w:tr w14:paraId="54EBD284">
        <w:tblPrEx>
          <w:tblCellMar>
            <w:top w:w="0" w:type="dxa"/>
            <w:left w:w="0" w:type="dxa"/>
            <w:bottom w:w="0" w:type="dxa"/>
            <w:right w:w="0" w:type="dxa"/>
          </w:tblCellMar>
        </w:tblPrEx>
        <w:trPr>
          <w:cantSplit/>
          <w:trHeight w:val="429" w:hRule="atLeast"/>
          <w:jc w:val="center"/>
        </w:trPr>
        <w:tc>
          <w:tcPr>
            <w:tcW w:w="1944" w:type="dxa"/>
            <w:gridSpan w:val="2"/>
            <w:tcBorders>
              <w:top w:val="single" w:color="auto" w:sz="8" w:space="0"/>
              <w:left w:val="single" w:color="auto" w:sz="8" w:space="0"/>
              <w:bottom w:val="single" w:color="auto" w:sz="8" w:space="0"/>
              <w:right w:val="single" w:color="auto" w:sz="8" w:space="0"/>
            </w:tcBorders>
            <w:vAlign w:val="center"/>
          </w:tcPr>
          <w:p w14:paraId="3D8ABB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合计</w:t>
            </w:r>
          </w:p>
        </w:tc>
        <w:tc>
          <w:tcPr>
            <w:tcW w:w="9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E02F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60</w:t>
            </w:r>
            <w:r>
              <w:rPr>
                <w:rFonts w:hint="eastAsia" w:ascii="宋体" w:hAnsi="宋体" w:eastAsia="宋体" w:cs="宋体"/>
                <w:color w:val="000000" w:themeColor="text1"/>
                <w:sz w:val="21"/>
                <w:szCs w:val="21"/>
                <w:highlight w:val="none"/>
              </w:rPr>
              <w:t>分</w:t>
            </w:r>
          </w:p>
        </w:tc>
        <w:tc>
          <w:tcPr>
            <w:tcW w:w="66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EC4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themeColor="text1"/>
                <w:sz w:val="21"/>
                <w:szCs w:val="21"/>
                <w:highlight w:val="none"/>
              </w:rPr>
            </w:pPr>
          </w:p>
        </w:tc>
      </w:tr>
    </w:tbl>
    <w:p w14:paraId="71763753">
      <w:pPr>
        <w:rPr>
          <w:rFonts w:ascii="宋体"/>
          <w:color w:val="000000" w:themeColor="text1"/>
          <w:szCs w:val="21"/>
          <w:highlight w:val="none"/>
        </w:rPr>
      </w:pPr>
      <w:r>
        <w:rPr>
          <w:rFonts w:hint="eastAsia"/>
          <w:color w:val="000000" w:themeColor="text1"/>
          <w:highlight w:val="none"/>
        </w:rPr>
        <w:t>注：对照每项评价指标要求，投标文件完全不满足要求的，不得分。</w:t>
      </w:r>
    </w:p>
    <w:p w14:paraId="4705D127">
      <w:pPr>
        <w:widowControl/>
        <w:tabs>
          <w:tab w:val="left" w:pos="502"/>
        </w:tabs>
        <w:adjustRightInd w:val="0"/>
        <w:snapToGrid w:val="0"/>
        <w:spacing w:line="360" w:lineRule="auto"/>
        <w:rPr>
          <w:rFonts w:hint="eastAsia" w:ascii="宋体" w:hAnsi="宋体" w:cs="Tahoma"/>
          <w:b/>
          <w:bCs/>
          <w:color w:val="000000" w:themeColor="text1"/>
          <w:highlight w:val="none"/>
          <w:lang w:val="en-US" w:eastAsia="zh-CN"/>
        </w:rPr>
      </w:pPr>
    </w:p>
    <w:p w14:paraId="00BD38B9">
      <w:pPr>
        <w:rPr>
          <w:rFonts w:hint="eastAsia" w:ascii="宋体" w:hAnsi="宋体" w:cs="Tahoma"/>
          <w:b/>
          <w:bCs/>
          <w:color w:val="000000" w:themeColor="text1"/>
          <w:highlight w:val="none"/>
          <w:lang w:val="en-US" w:eastAsia="zh-CN"/>
        </w:rPr>
      </w:pPr>
      <w:r>
        <w:rPr>
          <w:rFonts w:hint="eastAsia" w:ascii="宋体" w:hAnsi="宋体" w:cs="Tahoma"/>
          <w:b/>
          <w:bCs/>
          <w:color w:val="000000" w:themeColor="text1"/>
          <w:highlight w:val="none"/>
          <w:lang w:val="en-US" w:eastAsia="zh-CN"/>
        </w:rPr>
        <w:br w:type="page"/>
      </w:r>
      <w:bookmarkEnd w:id="1557"/>
      <w:bookmarkEnd w:id="1558"/>
      <w:bookmarkEnd w:id="1559"/>
      <w:bookmarkEnd w:id="1560"/>
      <w:bookmarkEnd w:id="1561"/>
      <w:bookmarkEnd w:id="1562"/>
      <w:bookmarkEnd w:id="1563"/>
      <w:bookmarkEnd w:id="1564"/>
      <w:bookmarkEnd w:id="1565"/>
      <w:bookmarkEnd w:id="1566"/>
      <w:bookmarkStart w:id="1577" w:name="_Hlt21939000"/>
      <w:bookmarkEnd w:id="1577"/>
      <w:bookmarkStart w:id="1578" w:name="_Toc340507451"/>
      <w:bookmarkStart w:id="1579" w:name="_Toc332270355"/>
      <w:bookmarkStart w:id="1580" w:name="_Toc340677079"/>
      <w:bookmarkStart w:id="1581" w:name="_Toc374454610"/>
      <w:bookmarkStart w:id="1582" w:name="_Toc349127635"/>
      <w:bookmarkStart w:id="1583" w:name="_Toc339020104"/>
      <w:bookmarkStart w:id="1584" w:name="_Toc331684047"/>
      <w:bookmarkStart w:id="1585" w:name="_Toc341348347"/>
      <w:bookmarkStart w:id="1586" w:name="_Toc331512907"/>
      <w:bookmarkStart w:id="1587" w:name="_Toc333237797"/>
      <w:bookmarkStart w:id="1588" w:name="_Toc350756459"/>
      <w:bookmarkStart w:id="1589" w:name="_Toc366072538"/>
      <w:bookmarkStart w:id="1590" w:name="_Toc333237686"/>
      <w:bookmarkStart w:id="1591" w:name="_Toc350438758"/>
      <w:bookmarkStart w:id="1592" w:name="_Toc339362309"/>
      <w:bookmarkStart w:id="1593" w:name="_Toc342296769"/>
      <w:bookmarkStart w:id="1594" w:name="_Toc333935696"/>
      <w:bookmarkStart w:id="1595" w:name="_Toc333238642"/>
      <w:bookmarkStart w:id="1596" w:name="_Toc336681589"/>
      <w:bookmarkStart w:id="1597" w:name="_Toc365967081"/>
      <w:bookmarkStart w:id="1598" w:name="_Toc332206717"/>
      <w:bookmarkStart w:id="1599" w:name="_Toc330459994"/>
      <w:bookmarkStart w:id="1600" w:name="_Toc340672878"/>
      <w:bookmarkStart w:id="1601" w:name="_Toc336681944"/>
      <w:bookmarkStart w:id="1602" w:name="_Toc333935355"/>
      <w:bookmarkStart w:id="1603" w:name="_Toc337632367"/>
      <w:bookmarkStart w:id="1604" w:name="_Toc365985187"/>
      <w:bookmarkStart w:id="1605" w:name="_Toc342060383"/>
      <w:bookmarkStart w:id="1606" w:name="_Toc339019898"/>
      <w:bookmarkStart w:id="1607" w:name="_Toc339020242"/>
      <w:bookmarkStart w:id="1608" w:name="_Toc339020024"/>
      <w:bookmarkStart w:id="1609" w:name="_Toc339441096"/>
      <w:bookmarkStart w:id="1610" w:name="_Toc345513910"/>
      <w:bookmarkStart w:id="1611" w:name="_Toc349143598"/>
    </w:p>
    <w:p w14:paraId="01221E29">
      <w:pPr>
        <w:rPr>
          <w:rFonts w:hint="eastAsia"/>
          <w:color w:val="000000" w:themeColor="text1"/>
          <w:highlight w:val="none"/>
        </w:rPr>
      </w:pPr>
    </w:p>
    <w:p w14:paraId="6DFD4307">
      <w:pPr>
        <w:pStyle w:val="2"/>
        <w:numPr>
          <w:ilvl w:val="0"/>
          <w:numId w:val="0"/>
        </w:numPr>
        <w:spacing w:beforeLines="0"/>
        <w:rPr>
          <w:color w:val="000000" w:themeColor="text1"/>
          <w:highlight w:val="none"/>
        </w:rPr>
      </w:pPr>
      <w:bookmarkStart w:id="1612" w:name="_Toc23584"/>
      <w:r>
        <w:rPr>
          <w:rFonts w:hint="eastAsia"/>
          <w:color w:val="000000" w:themeColor="text1"/>
          <w:highlight w:val="none"/>
        </w:rPr>
        <w:t>第四部分  采购项目合同</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Start w:id="1613" w:name="_Hlt97188170"/>
      <w:bookmarkEnd w:id="1613"/>
      <w:r>
        <w:rPr>
          <w:rFonts w:hint="eastAsia"/>
          <w:color w:val="000000" w:themeColor="text1"/>
          <w:highlight w:val="none"/>
        </w:rPr>
        <w:t>（参考范本）</w:t>
      </w:r>
      <w:bookmarkEnd w:id="1612"/>
    </w:p>
    <w:p w14:paraId="3EC01DB6">
      <w:pPr>
        <w:rPr>
          <w:bCs/>
          <w:color w:val="000000" w:themeColor="text1"/>
          <w:highlight w:val="none"/>
        </w:rPr>
      </w:pPr>
    </w:p>
    <w:p w14:paraId="6BC3B791">
      <w:pPr>
        <w:rPr>
          <w:color w:val="000000" w:themeColor="text1"/>
          <w:highlight w:val="none"/>
        </w:rPr>
      </w:pPr>
    </w:p>
    <w:p w14:paraId="331CFD72">
      <w:pPr>
        <w:jc w:val="center"/>
        <w:rPr>
          <w:rFonts w:hint="eastAsia" w:ascii="宋体" w:hAnsi="宋体"/>
          <w:b/>
          <w:color w:val="000000" w:themeColor="text1"/>
          <w:sz w:val="30"/>
          <w:szCs w:val="30"/>
          <w:highlight w:val="none"/>
        </w:rPr>
      </w:pPr>
    </w:p>
    <w:p w14:paraId="7066FBD8">
      <w:pPr>
        <w:jc w:val="center"/>
        <w:rPr>
          <w:rFonts w:hint="eastAsia" w:ascii="宋体" w:hAnsi="宋体"/>
          <w:b/>
          <w:color w:val="000000" w:themeColor="text1"/>
          <w:sz w:val="36"/>
          <w:szCs w:val="36"/>
          <w:highlight w:val="none"/>
        </w:rPr>
      </w:pPr>
    </w:p>
    <w:p w14:paraId="53FE42BC">
      <w:pPr>
        <w:pStyle w:val="54"/>
        <w:rPr>
          <w:rFonts w:hint="eastAsia" w:ascii="宋体" w:hAnsi="宋体"/>
          <w:b/>
          <w:color w:val="000000" w:themeColor="text1"/>
          <w:sz w:val="36"/>
          <w:szCs w:val="36"/>
          <w:highlight w:val="none"/>
        </w:rPr>
      </w:pPr>
    </w:p>
    <w:p w14:paraId="4CA9EBC0">
      <w:pPr>
        <w:pStyle w:val="54"/>
        <w:rPr>
          <w:rFonts w:hint="eastAsia" w:ascii="宋体" w:hAnsi="宋体"/>
          <w:b/>
          <w:color w:val="000000" w:themeColor="text1"/>
          <w:sz w:val="36"/>
          <w:szCs w:val="36"/>
          <w:highlight w:val="none"/>
        </w:rPr>
      </w:pPr>
    </w:p>
    <w:p w14:paraId="7B74FFFA">
      <w:pPr>
        <w:pStyle w:val="54"/>
        <w:rPr>
          <w:rFonts w:hint="eastAsia" w:ascii="宋体" w:hAnsi="宋体"/>
          <w:b/>
          <w:color w:val="000000" w:themeColor="text1"/>
          <w:sz w:val="36"/>
          <w:szCs w:val="36"/>
          <w:highlight w:val="none"/>
        </w:rPr>
      </w:pPr>
    </w:p>
    <w:p w14:paraId="374FFCA7">
      <w:pPr>
        <w:pStyle w:val="54"/>
        <w:rPr>
          <w:rFonts w:hint="eastAsia" w:ascii="宋体" w:hAnsi="宋体"/>
          <w:b/>
          <w:color w:val="000000" w:themeColor="text1"/>
          <w:sz w:val="36"/>
          <w:szCs w:val="36"/>
          <w:highlight w:val="none"/>
        </w:rPr>
      </w:pPr>
    </w:p>
    <w:p w14:paraId="4715E5BC">
      <w:pPr>
        <w:jc w:val="center"/>
        <w:rPr>
          <w:rFonts w:hint="eastAsia" w:ascii="宋体" w:hAnsi="宋体"/>
          <w:b/>
          <w:color w:val="000000" w:themeColor="text1"/>
          <w:sz w:val="72"/>
          <w:szCs w:val="72"/>
          <w:highlight w:val="none"/>
        </w:rPr>
      </w:pPr>
      <w:r>
        <w:rPr>
          <w:rFonts w:hint="eastAsia" w:ascii="宋体" w:hAnsi="宋体"/>
          <w:b/>
          <w:color w:val="000000" w:themeColor="text1"/>
          <w:sz w:val="72"/>
          <w:szCs w:val="72"/>
          <w:highlight w:val="none"/>
        </w:rPr>
        <w:t>合 同 书</w:t>
      </w:r>
    </w:p>
    <w:p w14:paraId="626BAB2C">
      <w:pPr>
        <w:jc w:val="center"/>
        <w:rPr>
          <w:rFonts w:hint="eastAsia" w:ascii="宋体" w:hAnsi="宋体"/>
          <w:b/>
          <w:color w:val="000000" w:themeColor="text1"/>
          <w:sz w:val="28"/>
          <w:szCs w:val="28"/>
          <w:highlight w:val="none"/>
        </w:rPr>
      </w:pPr>
    </w:p>
    <w:p w14:paraId="3206E083">
      <w:pPr>
        <w:jc w:val="center"/>
        <w:rPr>
          <w:rFonts w:hint="eastAsia" w:ascii="宋体" w:hAnsi="宋体"/>
          <w:b/>
          <w:color w:val="000000" w:themeColor="text1"/>
          <w:sz w:val="28"/>
          <w:szCs w:val="28"/>
          <w:highlight w:val="none"/>
        </w:rPr>
      </w:pPr>
    </w:p>
    <w:p w14:paraId="6292B18D">
      <w:pPr>
        <w:jc w:val="center"/>
        <w:rPr>
          <w:rFonts w:hint="eastAsia" w:ascii="宋体" w:hAnsi="宋体"/>
          <w:b/>
          <w:color w:val="000000" w:themeColor="text1"/>
          <w:sz w:val="28"/>
          <w:szCs w:val="28"/>
          <w:highlight w:val="none"/>
        </w:rPr>
      </w:pPr>
    </w:p>
    <w:p w14:paraId="5E29ED4A">
      <w:pPr>
        <w:ind w:firstLine="1968" w:firstLineChars="700"/>
        <w:rPr>
          <w:rFonts w:hint="eastAsia" w:ascii="宋体" w:hAnsi="宋体"/>
          <w:b/>
          <w:color w:val="000000" w:themeColor="text1"/>
          <w:sz w:val="28"/>
          <w:szCs w:val="28"/>
          <w:highlight w:val="none"/>
        </w:rPr>
      </w:pPr>
      <w:r>
        <w:rPr>
          <w:rFonts w:hint="eastAsia" w:ascii="宋体" w:hAnsi="宋体"/>
          <w:b/>
          <w:color w:val="000000" w:themeColor="text1"/>
          <w:sz w:val="28"/>
          <w:szCs w:val="28"/>
          <w:highlight w:val="none"/>
        </w:rPr>
        <w:t>采购编号：</w:t>
      </w:r>
      <w:r>
        <w:rPr>
          <w:rFonts w:hint="eastAsia" w:ascii="宋体" w:hAnsi="宋体"/>
          <w:b/>
          <w:color w:val="000000" w:themeColor="text1"/>
          <w:sz w:val="28"/>
          <w:szCs w:val="28"/>
          <w:highlight w:val="none"/>
          <w:u w:val="single"/>
        </w:rPr>
        <w:t xml:space="preserve">                          </w:t>
      </w:r>
    </w:p>
    <w:p w14:paraId="00DF0062">
      <w:pPr>
        <w:rPr>
          <w:rFonts w:hint="eastAsia" w:ascii="宋体" w:hAnsi="宋体"/>
          <w:b/>
          <w:color w:val="000000" w:themeColor="text1"/>
          <w:sz w:val="28"/>
          <w:szCs w:val="28"/>
          <w:highlight w:val="none"/>
        </w:rPr>
      </w:pPr>
    </w:p>
    <w:p w14:paraId="4255D2C7">
      <w:pPr>
        <w:ind w:firstLine="1968" w:firstLineChars="700"/>
        <w:rPr>
          <w:rFonts w:hint="eastAsia" w:ascii="宋体" w:hAnsi="宋体"/>
          <w:b/>
          <w:color w:val="000000" w:themeColor="text1"/>
          <w:sz w:val="28"/>
          <w:szCs w:val="28"/>
          <w:highlight w:val="none"/>
        </w:rPr>
      </w:pPr>
      <w:r>
        <w:rPr>
          <w:rFonts w:hint="eastAsia" w:ascii="宋体" w:hAnsi="宋体"/>
          <w:b/>
          <w:color w:val="000000" w:themeColor="text1"/>
          <w:sz w:val="28"/>
          <w:szCs w:val="28"/>
          <w:highlight w:val="none"/>
        </w:rPr>
        <w:t>项目名称：</w:t>
      </w:r>
      <w:r>
        <w:rPr>
          <w:rFonts w:hint="eastAsia" w:ascii="宋体" w:hAnsi="宋体"/>
          <w:b/>
          <w:color w:val="000000" w:themeColor="text1"/>
          <w:sz w:val="28"/>
          <w:szCs w:val="28"/>
          <w:highlight w:val="none"/>
          <w:u w:val="single"/>
        </w:rPr>
        <w:t xml:space="preserve">                           </w:t>
      </w:r>
    </w:p>
    <w:p w14:paraId="487B69FB">
      <w:pPr>
        <w:rPr>
          <w:rFonts w:hint="eastAsia" w:ascii="宋体" w:hAnsi="宋体"/>
          <w:b/>
          <w:color w:val="000000" w:themeColor="text1"/>
          <w:sz w:val="28"/>
          <w:szCs w:val="28"/>
          <w:highlight w:val="none"/>
        </w:rPr>
      </w:pPr>
    </w:p>
    <w:p w14:paraId="1B90A80F">
      <w:pPr>
        <w:rPr>
          <w:rFonts w:hint="eastAsia" w:ascii="宋体" w:hAnsi="宋体"/>
          <w:b/>
          <w:color w:val="000000" w:themeColor="text1"/>
          <w:sz w:val="28"/>
          <w:szCs w:val="28"/>
          <w:highlight w:val="none"/>
        </w:rPr>
      </w:pPr>
    </w:p>
    <w:p w14:paraId="3B164607">
      <w:pPr>
        <w:rPr>
          <w:rFonts w:hint="eastAsia" w:ascii="宋体" w:hAnsi="宋体"/>
          <w:b/>
          <w:color w:val="000000" w:themeColor="text1"/>
          <w:sz w:val="28"/>
          <w:szCs w:val="28"/>
          <w:highlight w:val="none"/>
        </w:rPr>
      </w:pPr>
    </w:p>
    <w:p w14:paraId="31FBCB98">
      <w:pPr>
        <w:rPr>
          <w:rFonts w:hint="eastAsia" w:ascii="宋体" w:hAnsi="宋体"/>
          <w:b/>
          <w:color w:val="000000" w:themeColor="text1"/>
          <w:sz w:val="28"/>
          <w:szCs w:val="28"/>
          <w:highlight w:val="none"/>
        </w:rPr>
      </w:pPr>
    </w:p>
    <w:p w14:paraId="72EC0001">
      <w:pPr>
        <w:rPr>
          <w:rFonts w:hint="eastAsia" w:ascii="宋体" w:hAnsi="宋体"/>
          <w:b/>
          <w:color w:val="000000" w:themeColor="text1"/>
          <w:sz w:val="28"/>
          <w:szCs w:val="28"/>
          <w:highlight w:val="none"/>
        </w:rPr>
      </w:pPr>
    </w:p>
    <w:p w14:paraId="2EE53990">
      <w:pPr>
        <w:rPr>
          <w:rFonts w:hint="eastAsia" w:ascii="宋体" w:hAnsi="宋体"/>
          <w:b/>
          <w:color w:val="000000" w:themeColor="text1"/>
          <w:sz w:val="28"/>
          <w:szCs w:val="28"/>
          <w:highlight w:val="none"/>
        </w:rPr>
      </w:pPr>
    </w:p>
    <w:p w14:paraId="54DD3E3C">
      <w:pPr>
        <w:rPr>
          <w:rFonts w:hint="eastAsia" w:ascii="宋体" w:hAnsi="宋体"/>
          <w:b/>
          <w:color w:val="000000" w:themeColor="text1"/>
          <w:szCs w:val="21"/>
          <w:highlight w:val="none"/>
        </w:rPr>
      </w:pPr>
      <w:r>
        <w:rPr>
          <w:rFonts w:hint="eastAsia" w:ascii="宋体" w:hAnsi="宋体"/>
          <w:b/>
          <w:color w:val="000000" w:themeColor="text1"/>
          <w:szCs w:val="21"/>
          <w:highlight w:val="none"/>
        </w:rPr>
        <w:t>注：本合同仅为合同草案文本，合同签订双方可根据项目的具体要求进行修订和细化。</w:t>
      </w:r>
    </w:p>
    <w:p w14:paraId="02CEE56C">
      <w:pPr>
        <w:ind w:firstLine="5670" w:firstLineChars="2700"/>
        <w:rPr>
          <w:rFonts w:hint="eastAsia" w:ascii="宋体" w:hAnsi="宋体"/>
          <w:color w:val="000000" w:themeColor="text1"/>
          <w:szCs w:val="21"/>
          <w:highlight w:val="none"/>
        </w:rPr>
      </w:pPr>
    </w:p>
    <w:p w14:paraId="2B7DDA16">
      <w:pPr>
        <w:spacing w:line="240" w:lineRule="auto"/>
        <w:rPr>
          <w:rFonts w:hint="eastAsia" w:ascii="宋体" w:hAnsi="宋体" w:cs="宋体"/>
          <w:color w:val="000000" w:themeColor="text1"/>
          <w:highlight w:val="none"/>
        </w:rPr>
      </w:pPr>
      <w:bookmarkStart w:id="1614" w:name="_Toc333237687"/>
      <w:bookmarkStart w:id="1615" w:name="_Toc336681945"/>
      <w:bookmarkStart w:id="1616" w:name="_Toc340672879"/>
      <w:bookmarkStart w:id="1617" w:name="_Toc340507452"/>
      <w:bookmarkStart w:id="1618" w:name="_Toc365967082"/>
      <w:bookmarkStart w:id="1619" w:name="_Toc339020243"/>
      <w:bookmarkStart w:id="1620" w:name="_Toc342296770"/>
      <w:bookmarkStart w:id="1621" w:name="_Toc333237798"/>
      <w:bookmarkStart w:id="1622" w:name="_Toc339020105"/>
      <w:bookmarkStart w:id="1623" w:name="_Toc349127636"/>
      <w:bookmarkStart w:id="1624" w:name="_Toc330459995"/>
      <w:bookmarkStart w:id="1625" w:name="_Toc500861025"/>
      <w:bookmarkStart w:id="1626" w:name="_Toc342060384"/>
      <w:bookmarkStart w:id="1627" w:name="_Toc339020025"/>
      <w:bookmarkStart w:id="1628" w:name="_Toc333238643"/>
      <w:bookmarkStart w:id="1629" w:name="_Toc345513911"/>
      <w:bookmarkStart w:id="1630" w:name="_Toc339362310"/>
      <w:bookmarkStart w:id="1631" w:name="_Toc333935356"/>
      <w:bookmarkStart w:id="1632" w:name="_Toc331512908"/>
      <w:bookmarkStart w:id="1633" w:name="_Toc366072539"/>
      <w:bookmarkStart w:id="1634" w:name="_Toc491658678"/>
      <w:bookmarkStart w:id="1635" w:name="_Toc337632368"/>
      <w:bookmarkStart w:id="1636" w:name="_Toc331684048"/>
      <w:bookmarkStart w:id="1637" w:name="_Toc332206718"/>
      <w:bookmarkStart w:id="1638" w:name="_Toc341348348"/>
      <w:bookmarkStart w:id="1639" w:name="_Toc365985188"/>
      <w:bookmarkStart w:id="1640" w:name="_Toc339019899"/>
      <w:bookmarkStart w:id="1641" w:name="_Toc349143599"/>
      <w:bookmarkStart w:id="1642" w:name="_Toc350756460"/>
      <w:bookmarkStart w:id="1643" w:name="_Toc350438759"/>
      <w:bookmarkStart w:id="1644" w:name="_Toc332270356"/>
      <w:bookmarkStart w:id="1645" w:name="_Toc339441097"/>
      <w:bookmarkStart w:id="1646" w:name="_Toc336681590"/>
      <w:bookmarkStart w:id="1647" w:name="_Toc340677080"/>
      <w:bookmarkStart w:id="1648" w:name="_Toc333935697"/>
    </w:p>
    <w:p w14:paraId="32A0B913">
      <w:pPr>
        <w:pStyle w:val="240"/>
        <w:numPr>
          <w:ilvl w:val="0"/>
          <w:numId w:val="0"/>
        </w:numPr>
        <w:ind w:leftChars="0"/>
        <w:rPr>
          <w:rFonts w:hint="default"/>
          <w:color w:val="000000" w:themeColor="text1"/>
          <w:highlight w:val="none"/>
          <w:lang w:val="en-US" w:eastAsia="zh-CN"/>
        </w:rPr>
      </w:pPr>
    </w:p>
    <w:p w14:paraId="3AC7A5B1">
      <w:pPr>
        <w:pStyle w:val="2"/>
        <w:numPr>
          <w:ilvl w:val="0"/>
          <w:numId w:val="0"/>
        </w:numPr>
        <w:spacing w:beforeLines="0"/>
        <w:rPr>
          <w:rFonts w:hint="eastAsia"/>
          <w:color w:val="000000" w:themeColor="text1"/>
          <w:highlight w:val="none"/>
        </w:rPr>
      </w:pPr>
    </w:p>
    <w:p w14:paraId="4CD2B12F">
      <w:pPr>
        <w:rPr>
          <w:rFonts w:hint="eastAsia"/>
          <w:color w:val="000000" w:themeColor="text1"/>
          <w:highlight w:val="none"/>
        </w:rPr>
      </w:pPr>
      <w:r>
        <w:rPr>
          <w:rFonts w:hint="eastAsia"/>
          <w:color w:val="000000" w:themeColor="text1"/>
          <w:highlight w:val="none"/>
        </w:rPr>
        <w:br w:type="page"/>
      </w:r>
    </w:p>
    <w:p w14:paraId="0E9298BA">
      <w:pPr>
        <w:keepNext w:val="0"/>
        <w:keepLines w:val="0"/>
        <w:pageBreakBefore/>
        <w:widowControl w:val="0"/>
        <w:tabs>
          <w:tab w:val="left" w:pos="720"/>
        </w:tabs>
        <w:kinsoku/>
        <w:wordWrap/>
        <w:overflowPunct/>
        <w:topLinePunct w:val="0"/>
        <w:autoSpaceDE/>
        <w:autoSpaceDN/>
        <w:bidi w:val="0"/>
        <w:adjustRightInd/>
        <w:snapToGrid/>
        <w:spacing w:before="291" w:beforeLines="100" w:line="360" w:lineRule="auto"/>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甲    方：</w:t>
      </w:r>
      <w:r>
        <w:rPr>
          <w:rFonts w:hint="eastAsia" w:ascii="宋体" w:hAnsi="宋体" w:eastAsia="宋体" w:cs="宋体"/>
          <w:b/>
          <w:color w:val="000000" w:themeColor="text1"/>
          <w:sz w:val="21"/>
          <w:szCs w:val="21"/>
          <w:highlight w:val="none"/>
          <w:u w:val="single"/>
        </w:rPr>
        <w:t xml:space="preserve">                   </w:t>
      </w:r>
    </w:p>
    <w:p w14:paraId="0327006B">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电    话：           　   传  真：           地  址：</w:t>
      </w:r>
    </w:p>
    <w:p w14:paraId="6227BBA4">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乙    方：</w:t>
      </w:r>
      <w:r>
        <w:rPr>
          <w:rFonts w:hint="eastAsia" w:ascii="宋体" w:hAnsi="宋体" w:eastAsia="宋体" w:cs="宋体"/>
          <w:b/>
          <w:color w:val="000000" w:themeColor="text1"/>
          <w:sz w:val="21"/>
          <w:szCs w:val="21"/>
          <w:highlight w:val="none"/>
          <w:u w:val="single"/>
        </w:rPr>
        <w:t xml:space="preserve">                    </w:t>
      </w:r>
    </w:p>
    <w:p w14:paraId="67C41FE8">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xml:space="preserve">电    话：                传  真：           地  址：   </w:t>
      </w:r>
    </w:p>
    <w:p w14:paraId="1790B24A">
      <w:pPr>
        <w:keepNext w:val="0"/>
        <w:keepLines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rPr>
      </w:pPr>
      <w:r>
        <w:rPr>
          <w:rFonts w:hint="eastAsia" w:ascii="宋体" w:hAnsi="宋体" w:eastAsia="宋体" w:cs="宋体"/>
          <w:color w:val="000000" w:themeColor="text1"/>
          <w:sz w:val="21"/>
          <w:szCs w:val="21"/>
          <w:highlight w:val="none"/>
        </w:rPr>
        <w:t xml:space="preserve">项目名称：                                   采购编号：               </w:t>
      </w:r>
    </w:p>
    <w:p w14:paraId="010AF0C0">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p>
    <w:p w14:paraId="35630EC1">
      <w:pPr>
        <w:keepNext w:val="0"/>
        <w:keepLines w:val="0"/>
        <w:pageBreakBefore w:val="0"/>
        <w:widowControl w:val="0"/>
        <w:kinsoku/>
        <w:wordWrap/>
        <w:overflowPunct/>
        <w:topLinePunct w:val="0"/>
        <w:autoSpaceDE/>
        <w:autoSpaceDN/>
        <w:bidi w:val="0"/>
        <w:adjustRightInd/>
        <w:snapToGrid/>
        <w:spacing w:line="360" w:lineRule="auto"/>
        <w:ind w:firstLine="555"/>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xml:space="preserve">根据 </w:t>
      </w:r>
      <w:r>
        <w:rPr>
          <w:rFonts w:hint="eastAsia" w:ascii="宋体" w:hAnsi="宋体" w:eastAsia="宋体" w:cs="宋体"/>
          <w:color w:val="000000" w:themeColor="text1"/>
          <w:sz w:val="21"/>
          <w:szCs w:val="21"/>
          <w:highlight w:val="none"/>
          <w:u w:val="single"/>
        </w:rPr>
        <w:t xml:space="preserve">                </w:t>
      </w:r>
      <w:r>
        <w:rPr>
          <w:rFonts w:hint="eastAsia" w:ascii="宋体" w:hAnsi="宋体" w:eastAsia="宋体" w:cs="宋体"/>
          <w:color w:val="000000" w:themeColor="text1"/>
          <w:sz w:val="21"/>
          <w:szCs w:val="21"/>
          <w:highlight w:val="none"/>
        </w:rPr>
        <w:t>项目（采购编号：</w:t>
      </w:r>
      <w:r>
        <w:rPr>
          <w:rFonts w:hint="eastAsia" w:ascii="宋体" w:hAnsi="宋体" w:eastAsia="宋体" w:cs="宋体"/>
          <w:color w:val="000000" w:themeColor="text1"/>
          <w:sz w:val="21"/>
          <w:szCs w:val="21"/>
          <w:highlight w:val="none"/>
          <w:u w:val="single"/>
        </w:rPr>
        <w:t xml:space="preserve">                  </w:t>
      </w:r>
      <w:r>
        <w:rPr>
          <w:rFonts w:hint="eastAsia" w:ascii="宋体" w:hAnsi="宋体" w:eastAsia="宋体" w:cs="宋体"/>
          <w:color w:val="000000" w:themeColor="text1"/>
          <w:sz w:val="21"/>
          <w:szCs w:val="21"/>
          <w:highlight w:val="none"/>
        </w:rPr>
        <w:t>）的采购结果</w:t>
      </w:r>
      <w:r>
        <w:rPr>
          <w:rFonts w:hint="eastAsia" w:ascii="宋体" w:hAnsi="宋体" w:eastAsia="宋体" w:cs="宋体"/>
          <w:color w:val="000000" w:themeColor="text1"/>
          <w:sz w:val="21"/>
          <w:szCs w:val="21"/>
          <w:highlight w:val="none"/>
          <w:lang w:val="en-US" w:eastAsia="zh-CN"/>
        </w:rPr>
        <w:t>及</w:t>
      </w:r>
      <w:r>
        <w:rPr>
          <w:rFonts w:hint="eastAsia" w:ascii="宋体" w:hAnsi="宋体" w:eastAsia="宋体" w:cs="宋体"/>
          <w:color w:val="000000" w:themeColor="text1"/>
          <w:sz w:val="21"/>
          <w:szCs w:val="21"/>
          <w:highlight w:val="none"/>
        </w:rPr>
        <w:t>招标投标文件中的相关约定，按照《中华人民共和国政府采购法》、</w:t>
      </w:r>
      <w:r>
        <w:rPr>
          <w:rFonts w:hint="eastAsia" w:ascii="宋体" w:hAnsi="宋体" w:cs="宋体"/>
          <w:color w:val="000000" w:themeColor="text1"/>
          <w:sz w:val="21"/>
          <w:szCs w:val="21"/>
          <w:highlight w:val="none"/>
          <w:lang w:eastAsia="zh-CN"/>
        </w:rPr>
        <w:t>《中华人民共和国民法典》</w:t>
      </w:r>
      <w:r>
        <w:rPr>
          <w:rFonts w:hint="eastAsia" w:ascii="宋体" w:hAnsi="宋体" w:eastAsia="宋体" w:cs="宋体"/>
          <w:color w:val="000000" w:themeColor="text1"/>
          <w:sz w:val="21"/>
          <w:szCs w:val="21"/>
          <w:highlight w:val="none"/>
        </w:rPr>
        <w:t>的规定，</w:t>
      </w:r>
      <w:r>
        <w:rPr>
          <w:rFonts w:hint="eastAsia" w:ascii="宋体" w:hAnsi="宋体" w:eastAsia="宋体" w:cs="宋体"/>
          <w:color w:val="000000" w:themeColor="text1"/>
          <w:kern w:val="28"/>
          <w:sz w:val="21"/>
          <w:szCs w:val="21"/>
          <w:highlight w:val="none"/>
        </w:rPr>
        <w:t>经双方协商，</w:t>
      </w:r>
      <w:r>
        <w:rPr>
          <w:rFonts w:hint="eastAsia" w:ascii="宋体" w:hAnsi="宋体" w:eastAsia="宋体" w:cs="宋体"/>
          <w:color w:val="000000" w:themeColor="text1"/>
          <w:sz w:val="21"/>
          <w:szCs w:val="21"/>
          <w:highlight w:val="none"/>
        </w:rPr>
        <w:t>本着平等互利和诚实信用的原则，</w:t>
      </w:r>
      <w:r>
        <w:rPr>
          <w:rFonts w:hint="eastAsia" w:ascii="宋体" w:hAnsi="宋体" w:eastAsia="宋体" w:cs="宋体"/>
          <w:color w:val="000000" w:themeColor="text1"/>
          <w:kern w:val="28"/>
          <w:sz w:val="21"/>
          <w:szCs w:val="21"/>
          <w:highlight w:val="none"/>
        </w:rPr>
        <w:t>一致同意签订本合同如下。</w:t>
      </w:r>
    </w:p>
    <w:p w14:paraId="740D5F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一、</w:t>
      </w:r>
      <w:r>
        <w:rPr>
          <w:rFonts w:hint="eastAsia" w:ascii="宋体" w:hAnsi="宋体" w:eastAsia="宋体" w:cs="宋体"/>
          <w:b/>
          <w:bCs/>
          <w:color w:val="000000" w:themeColor="text1"/>
          <w:sz w:val="21"/>
          <w:szCs w:val="21"/>
          <w:highlight w:val="none"/>
        </w:rPr>
        <w:tab/>
      </w:r>
      <w:r>
        <w:rPr>
          <w:rFonts w:hint="eastAsia" w:ascii="宋体" w:hAnsi="宋体" w:eastAsia="宋体" w:cs="宋体"/>
          <w:b/>
          <w:bCs/>
          <w:color w:val="000000" w:themeColor="text1"/>
          <w:sz w:val="21"/>
          <w:szCs w:val="21"/>
          <w:highlight w:val="none"/>
        </w:rPr>
        <w:t>合同金额</w:t>
      </w:r>
    </w:p>
    <w:p w14:paraId="22E106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合同金额为人民币（大写</w:t>
      </w:r>
      <w:r>
        <w:rPr>
          <w:rFonts w:hint="eastAsia" w:ascii="宋体" w:hAnsi="宋体" w:cs="宋体"/>
          <w:color w:val="000000" w:themeColor="text1"/>
          <w:sz w:val="21"/>
          <w:szCs w:val="21"/>
          <w:highlight w:val="none"/>
          <w:lang w:val="en-US" w:eastAsia="zh-CN"/>
        </w:rPr>
        <w:t xml:space="preserve">              </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 xml:space="preserve">        </w:t>
      </w:r>
      <w:r>
        <w:rPr>
          <w:rFonts w:hint="eastAsia" w:ascii="宋体" w:hAnsi="宋体" w:eastAsia="宋体" w:cs="宋体"/>
          <w:color w:val="000000" w:themeColor="text1"/>
          <w:sz w:val="21"/>
          <w:szCs w:val="21"/>
          <w:highlight w:val="none"/>
        </w:rPr>
        <w:t xml:space="preserve"> </w:t>
      </w:r>
      <w:r>
        <w:rPr>
          <w:rFonts w:hint="eastAsia" w:ascii="宋体" w:hAnsi="宋体" w:eastAsia="宋体" w:cs="宋体"/>
          <w:color w:val="000000" w:themeColor="text1"/>
          <w:sz w:val="21"/>
          <w:szCs w:val="21"/>
          <w:highlight w:val="none"/>
        </w:rPr>
        <w:tab/>
      </w:r>
      <w:r>
        <w:rPr>
          <w:rFonts w:hint="eastAsia" w:ascii="宋体" w:hAnsi="宋体" w:eastAsia="宋体" w:cs="宋体"/>
          <w:color w:val="000000" w:themeColor="text1"/>
          <w:sz w:val="21"/>
          <w:szCs w:val="21"/>
          <w:highlight w:val="none"/>
        </w:rPr>
        <w:t>元）。</w:t>
      </w:r>
    </w:p>
    <w:p w14:paraId="5FE726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二、</w:t>
      </w:r>
      <w:r>
        <w:rPr>
          <w:rFonts w:hint="eastAsia" w:ascii="宋体" w:hAnsi="宋体" w:eastAsia="宋体" w:cs="宋体"/>
          <w:b/>
          <w:bCs/>
          <w:color w:val="000000" w:themeColor="text1"/>
          <w:sz w:val="21"/>
          <w:szCs w:val="21"/>
          <w:highlight w:val="none"/>
        </w:rPr>
        <w:tab/>
      </w:r>
      <w:r>
        <w:rPr>
          <w:rFonts w:hint="eastAsia" w:ascii="宋体" w:hAnsi="宋体" w:eastAsia="宋体" w:cs="宋体"/>
          <w:b/>
          <w:bCs/>
          <w:color w:val="000000" w:themeColor="text1"/>
          <w:sz w:val="21"/>
          <w:szCs w:val="21"/>
          <w:highlight w:val="none"/>
        </w:rPr>
        <w:t>服务范围</w:t>
      </w:r>
    </w:p>
    <w:p w14:paraId="23B12B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甲方聘请乙方提供以下服务：</w:t>
      </w:r>
    </w:p>
    <w:p w14:paraId="4B295BB7">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105" w:leftChars="0" w:firstLine="0"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u w:val="single"/>
          <w:lang w:val="en-US" w:eastAsia="zh-CN"/>
        </w:rPr>
        <w:t xml:space="preserve">             </w:t>
      </w:r>
    </w:p>
    <w:p w14:paraId="080A567C">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105" w:leftChars="0" w:firstLine="0" w:firstLineChars="0"/>
        <w:textAlignment w:val="auto"/>
        <w:rPr>
          <w:rFonts w:hint="eastAsia" w:ascii="宋体" w:hAnsi="宋体" w:eastAsia="宋体" w:cs="宋体"/>
          <w:color w:val="000000" w:themeColor="text1"/>
          <w:sz w:val="21"/>
          <w:szCs w:val="21"/>
          <w:highlight w:val="none"/>
          <w:u w:val="single"/>
        </w:rPr>
      </w:pPr>
      <w:r>
        <w:rPr>
          <w:rFonts w:hint="eastAsia" w:ascii="宋体" w:hAnsi="宋体" w:eastAsia="宋体" w:cs="宋体"/>
          <w:color w:val="000000" w:themeColor="text1"/>
          <w:sz w:val="21"/>
          <w:szCs w:val="21"/>
          <w:highlight w:val="none"/>
          <w:u w:val="single"/>
          <w:lang w:val="en-US" w:eastAsia="zh-CN"/>
        </w:rPr>
        <w:t xml:space="preserve">            </w:t>
      </w:r>
      <w:r>
        <w:rPr>
          <w:rFonts w:hint="eastAsia" w:ascii="宋体" w:hAnsi="宋体" w:eastAsia="宋体" w:cs="宋体"/>
          <w:color w:val="000000" w:themeColor="text1"/>
          <w:sz w:val="21"/>
          <w:szCs w:val="21"/>
          <w:highlight w:val="none"/>
          <w:u w:val="single"/>
        </w:rPr>
        <w:t xml:space="preserve"> </w:t>
      </w:r>
      <w:r>
        <w:rPr>
          <w:rFonts w:hint="eastAsia" w:ascii="宋体" w:hAnsi="宋体" w:eastAsia="宋体" w:cs="宋体"/>
          <w:color w:val="000000" w:themeColor="text1"/>
          <w:sz w:val="21"/>
          <w:szCs w:val="21"/>
          <w:highlight w:val="none"/>
          <w:u w:val="single"/>
        </w:rPr>
        <w:tab/>
      </w:r>
    </w:p>
    <w:p w14:paraId="1B9773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p>
    <w:p w14:paraId="2BBC31BC">
      <w:pPr>
        <w:pStyle w:val="5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rPr>
      </w:pPr>
      <w:r>
        <w:rPr>
          <w:rFonts w:hint="eastAsia" w:eastAsia="宋体"/>
          <w:b/>
          <w:bCs/>
          <w:color w:val="000000" w:themeColor="text1"/>
          <w:highlight w:val="none"/>
          <w:lang w:val="en-US" w:eastAsia="zh-CN"/>
        </w:rPr>
        <w:t>三、</w:t>
      </w:r>
      <w:r>
        <w:rPr>
          <w:rFonts w:hint="eastAsia" w:ascii="宋体" w:hAnsi="宋体" w:eastAsia="宋体" w:cs="宋体"/>
          <w:b/>
          <w:bCs/>
          <w:color w:val="000000" w:themeColor="text1"/>
          <w:sz w:val="21"/>
          <w:szCs w:val="21"/>
          <w:highlight w:val="none"/>
        </w:rPr>
        <w:t>甲方乙方的权利和义务</w:t>
      </w:r>
    </w:p>
    <w:p w14:paraId="77619545">
      <w:pPr>
        <w:pStyle w:val="5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甲方的权利和义务</w:t>
      </w:r>
    </w:p>
    <w:p w14:paraId="4C84C51E">
      <w:pPr>
        <w:pStyle w:val="5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乙方的权利和义务</w:t>
      </w:r>
    </w:p>
    <w:p w14:paraId="123C3D91">
      <w:pPr>
        <w:pStyle w:val="5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lang w:val="en-US" w:eastAsia="zh-CN"/>
        </w:rPr>
        <w:t>四、</w:t>
      </w:r>
      <w:r>
        <w:rPr>
          <w:rFonts w:hint="eastAsia" w:ascii="宋体" w:hAnsi="宋体" w:eastAsia="宋体" w:cs="宋体"/>
          <w:b/>
          <w:bCs/>
          <w:color w:val="000000" w:themeColor="text1"/>
          <w:sz w:val="21"/>
          <w:szCs w:val="21"/>
          <w:highlight w:val="none"/>
        </w:rPr>
        <w:t>服务期间（项目完成期限）</w:t>
      </w:r>
    </w:p>
    <w:p w14:paraId="5F6C5720">
      <w:pPr>
        <w:pStyle w:val="5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 xml:space="preserve">委托服务期间自 </w:t>
      </w:r>
      <w:r>
        <w:rPr>
          <w:rFonts w:hint="eastAsia" w:ascii="宋体" w:hAnsi="宋体" w:eastAsia="宋体" w:cs="宋体"/>
          <w:color w:val="000000" w:themeColor="text1"/>
          <w:sz w:val="21"/>
          <w:szCs w:val="21"/>
          <w:highlight w:val="none"/>
        </w:rPr>
        <w:tab/>
      </w:r>
      <w:r>
        <w:rPr>
          <w:rFonts w:hint="eastAsia" w:ascii="宋体" w:hAnsi="宋体" w:eastAsia="宋体" w:cs="宋体"/>
          <w:color w:val="000000" w:themeColor="text1"/>
          <w:sz w:val="21"/>
          <w:szCs w:val="21"/>
          <w:highlight w:val="none"/>
        </w:rPr>
        <w:t xml:space="preserve">年 </w:t>
      </w:r>
      <w:r>
        <w:rPr>
          <w:rFonts w:hint="eastAsia" w:ascii="宋体" w:hAnsi="宋体" w:eastAsia="宋体" w:cs="宋体"/>
          <w:color w:val="000000" w:themeColor="text1"/>
          <w:sz w:val="21"/>
          <w:szCs w:val="21"/>
          <w:highlight w:val="none"/>
        </w:rPr>
        <w:tab/>
      </w:r>
      <w:r>
        <w:rPr>
          <w:rFonts w:hint="eastAsia" w:ascii="宋体" w:hAnsi="宋体" w:eastAsia="宋体" w:cs="宋体"/>
          <w:color w:val="000000" w:themeColor="text1"/>
          <w:sz w:val="21"/>
          <w:szCs w:val="21"/>
          <w:highlight w:val="none"/>
        </w:rPr>
        <w:t xml:space="preserve">月至 </w:t>
      </w:r>
      <w:r>
        <w:rPr>
          <w:rFonts w:hint="eastAsia" w:ascii="宋体" w:hAnsi="宋体" w:eastAsia="宋体" w:cs="宋体"/>
          <w:color w:val="000000" w:themeColor="text1"/>
          <w:sz w:val="21"/>
          <w:szCs w:val="21"/>
          <w:highlight w:val="none"/>
        </w:rPr>
        <w:tab/>
      </w:r>
      <w:r>
        <w:rPr>
          <w:rFonts w:hint="eastAsia" w:ascii="宋体" w:hAnsi="宋体" w:eastAsia="宋体" w:cs="宋体"/>
          <w:color w:val="000000" w:themeColor="text1"/>
          <w:sz w:val="21"/>
          <w:szCs w:val="21"/>
          <w:highlight w:val="none"/>
        </w:rPr>
        <w:t xml:space="preserve">年 </w:t>
      </w:r>
      <w:r>
        <w:rPr>
          <w:rFonts w:hint="eastAsia" w:ascii="宋体" w:hAnsi="宋体" w:eastAsia="宋体" w:cs="宋体"/>
          <w:color w:val="000000" w:themeColor="text1"/>
          <w:sz w:val="21"/>
          <w:szCs w:val="21"/>
          <w:highlight w:val="none"/>
        </w:rPr>
        <w:tab/>
      </w:r>
      <w:r>
        <w:rPr>
          <w:rFonts w:hint="eastAsia" w:ascii="宋体" w:hAnsi="宋体" w:eastAsia="宋体" w:cs="宋体"/>
          <w:color w:val="000000" w:themeColor="text1"/>
          <w:sz w:val="21"/>
          <w:szCs w:val="21"/>
          <w:highlight w:val="none"/>
        </w:rPr>
        <w:t>月止。</w:t>
      </w:r>
    </w:p>
    <w:p w14:paraId="110D3616">
      <w:pPr>
        <w:pStyle w:val="5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五、付款方式</w:t>
      </w:r>
    </w:p>
    <w:p w14:paraId="6D641F95">
      <w:pPr>
        <w:pStyle w:val="5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rPr>
      </w:pPr>
    </w:p>
    <w:p w14:paraId="246CC4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六、 知识产权归属</w:t>
      </w:r>
    </w:p>
    <w:p w14:paraId="296CD27D">
      <w:pPr>
        <w:pStyle w:val="54"/>
        <w:rPr>
          <w:rFonts w:hint="eastAsia"/>
          <w:color w:val="000000" w:themeColor="text1"/>
          <w:highlight w:val="none"/>
        </w:rPr>
      </w:pPr>
    </w:p>
    <w:p w14:paraId="7CCFE3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七 、 保 密</w:t>
      </w:r>
    </w:p>
    <w:p w14:paraId="71F50A14">
      <w:pPr>
        <w:pStyle w:val="54"/>
        <w:rPr>
          <w:rFonts w:hint="eastAsia"/>
          <w:color w:val="000000" w:themeColor="text1"/>
          <w:highlight w:val="none"/>
        </w:rPr>
      </w:pPr>
    </w:p>
    <w:p w14:paraId="7BDCC4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八、 违约责任与赔偿损失</w:t>
      </w:r>
    </w:p>
    <w:p w14:paraId="4F45E3EE">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乙方提供的服务不符合本合同规定的，甲方有权拒收，并且乙方须向甲方支付本合同总价 5%的违约金。</w:t>
      </w:r>
    </w:p>
    <w:p w14:paraId="4EC57E5F">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乙方未能按本合同规定的交货时间提供服务，从逾期之日起每日按本合同总价 3‰ 的数额向甲方支付违约金；逾期半个月以上的，甲方有权终止合同，由此造成的甲方经济损失由乙方承担。</w:t>
      </w:r>
    </w:p>
    <w:p w14:paraId="081A065B">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甲方无正当理由拒收接受服务，到期拒付服务款项的，甲方向乙方偿付本合同总的5%的违约金。甲方人逾期付款，则每日按本合同总价的 3‰向乙方偿付违约金。</w:t>
      </w:r>
    </w:p>
    <w:p w14:paraId="09511EC3">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对于因甲方原因导致变更、中止或者终止政府采购合同的，甲方应当依照以下合同约定对供应商受到的损失予以赔偿或者补偿：</w:t>
      </w:r>
    </w:p>
    <w:p w14:paraId="6660DDB1">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其它违约责任按</w:t>
      </w:r>
      <w:r>
        <w:rPr>
          <w:rFonts w:hint="eastAsia" w:ascii="宋体" w:hAnsi="宋体" w:cs="宋体"/>
          <w:color w:val="000000" w:themeColor="text1"/>
          <w:sz w:val="21"/>
          <w:szCs w:val="21"/>
          <w:highlight w:val="none"/>
          <w:lang w:eastAsia="zh-CN"/>
        </w:rPr>
        <w:t>《中华人民共和国民法典》</w:t>
      </w:r>
      <w:r>
        <w:rPr>
          <w:rFonts w:hint="eastAsia" w:ascii="宋体" w:hAnsi="宋体" w:eastAsia="宋体" w:cs="宋体"/>
          <w:color w:val="000000" w:themeColor="text1"/>
          <w:sz w:val="21"/>
          <w:szCs w:val="21"/>
          <w:highlight w:val="none"/>
        </w:rPr>
        <w:t>处理。</w:t>
      </w:r>
    </w:p>
    <w:p w14:paraId="247C0A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九、 争议的解决</w:t>
      </w:r>
    </w:p>
    <w:p w14:paraId="6DD1D8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1.合同执行过程中发生的任何争议，如双方不能通过友好协商解决，按相关法律法规处理。</w:t>
      </w:r>
    </w:p>
    <w:p w14:paraId="0BC7C9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十、 不可抗力</w:t>
      </w:r>
    </w:p>
    <w:p w14:paraId="760375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2DED20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十一、  税费</w:t>
      </w:r>
    </w:p>
    <w:p w14:paraId="05AEAD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1.在中国境内、外发生的与本合同执行有关的一切税费均由乙方负担。</w:t>
      </w:r>
    </w:p>
    <w:p w14:paraId="02F54F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十二、 其它</w:t>
      </w:r>
    </w:p>
    <w:p w14:paraId="0C153260">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本合同所有附件、招标文件、投标文件、中标通知书均为合同的有效组成部分，与本合同具有同等法律效力。</w:t>
      </w:r>
    </w:p>
    <w:p w14:paraId="5CCB0290">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在执行本合同的过程中，所有经双方签署确认的文件（包括会议纪要、补充协议、往来信函）即成为本合同的有效组成部分。</w:t>
      </w:r>
    </w:p>
    <w:p w14:paraId="48406D39">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如一方地址、电话、传真号码有变更，应在变更当日内书面通知对方，否则，应承担相应责任。</w:t>
      </w:r>
    </w:p>
    <w:p w14:paraId="1C4AA836">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除甲方事先书面同意外，乙方不得部分或全部转让其应履行的合同项下的义务。</w:t>
      </w:r>
    </w:p>
    <w:p w14:paraId="12CDC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r>
        <w:rPr>
          <w:rFonts w:hint="eastAsia" w:ascii="宋体" w:hAnsi="宋体" w:eastAsia="宋体" w:cs="宋体"/>
          <w:b/>
          <w:bCs/>
          <w:color w:val="000000" w:themeColor="text1"/>
          <w:sz w:val="21"/>
          <w:szCs w:val="21"/>
          <w:highlight w:val="none"/>
        </w:rPr>
        <w:t>十三、</w:t>
      </w:r>
      <w:r>
        <w:rPr>
          <w:rFonts w:hint="eastAsia" w:ascii="宋体" w:hAnsi="宋体" w:eastAsia="宋体" w:cs="宋体"/>
          <w:b/>
          <w:bCs/>
          <w:color w:val="000000" w:themeColor="text1"/>
          <w:sz w:val="21"/>
          <w:szCs w:val="21"/>
          <w:highlight w:val="none"/>
        </w:rPr>
        <w:tab/>
      </w:r>
      <w:r>
        <w:rPr>
          <w:rFonts w:hint="eastAsia" w:ascii="宋体" w:hAnsi="宋体" w:eastAsia="宋体" w:cs="宋体"/>
          <w:b/>
          <w:bCs/>
          <w:color w:val="000000" w:themeColor="text1"/>
          <w:sz w:val="21"/>
          <w:szCs w:val="21"/>
          <w:highlight w:val="none"/>
        </w:rPr>
        <w:t>合同生效</w:t>
      </w:r>
    </w:p>
    <w:p w14:paraId="282FBF3E">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本合同在甲乙双方法人代表或其授权代表签字盖章后生效。</w:t>
      </w:r>
    </w:p>
    <w:p w14:paraId="6F3A0A26">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xml:space="preserve">合同一式 </w:t>
      </w:r>
      <w:r>
        <w:rPr>
          <w:rFonts w:hint="eastAsia" w:ascii="宋体" w:hAnsi="宋体" w:cs="宋体"/>
          <w:color w:val="000000" w:themeColor="text1"/>
          <w:sz w:val="21"/>
          <w:szCs w:val="21"/>
          <w:highlight w:val="none"/>
          <w:u w:val="single"/>
          <w:lang w:val="en-US" w:eastAsia="zh-CN"/>
        </w:rPr>
        <w:t xml:space="preserve">    </w:t>
      </w:r>
      <w:r>
        <w:rPr>
          <w:rFonts w:hint="eastAsia" w:ascii="宋体" w:hAnsi="宋体" w:eastAsia="宋体" w:cs="宋体"/>
          <w:color w:val="000000" w:themeColor="text1"/>
          <w:sz w:val="21"/>
          <w:szCs w:val="21"/>
          <w:highlight w:val="none"/>
          <w:u w:val="single"/>
        </w:rPr>
        <w:tab/>
      </w:r>
      <w:r>
        <w:rPr>
          <w:rFonts w:hint="eastAsia" w:ascii="宋体" w:hAnsi="宋体" w:eastAsia="宋体" w:cs="宋体"/>
          <w:color w:val="000000" w:themeColor="text1"/>
          <w:sz w:val="21"/>
          <w:szCs w:val="21"/>
          <w:highlight w:val="none"/>
        </w:rPr>
        <w:t>份。</w:t>
      </w:r>
    </w:p>
    <w:p w14:paraId="6E5126C8">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本项目合同订立后，应提供</w:t>
      </w:r>
      <w:r>
        <w:rPr>
          <w:rFonts w:hint="eastAsia" w:ascii="宋体" w:hAnsi="宋体" w:eastAsia="宋体" w:cs="宋体"/>
          <w:color w:val="000000" w:themeColor="text1"/>
          <w:sz w:val="21"/>
          <w:szCs w:val="21"/>
          <w:highlight w:val="none"/>
          <w:lang w:val="en-US" w:eastAsia="zh-CN"/>
        </w:rPr>
        <w:t>一份</w:t>
      </w:r>
      <w:r>
        <w:rPr>
          <w:rFonts w:hint="eastAsia" w:ascii="宋体" w:hAnsi="宋体" w:eastAsia="宋体" w:cs="宋体"/>
          <w:color w:val="000000" w:themeColor="text1"/>
          <w:sz w:val="21"/>
          <w:szCs w:val="21"/>
          <w:highlight w:val="none"/>
        </w:rPr>
        <w:t>至</w:t>
      </w:r>
      <w:r>
        <w:rPr>
          <w:rFonts w:hint="eastAsia" w:ascii="宋体" w:hAnsi="宋体" w:eastAsia="宋体" w:cs="宋体"/>
          <w:color w:val="000000" w:themeColor="text1"/>
          <w:sz w:val="21"/>
          <w:szCs w:val="21"/>
          <w:highlight w:val="none"/>
          <w:u w:val="single"/>
        </w:rPr>
        <w:t>广东业信采购招标有限公司</w:t>
      </w:r>
      <w:r>
        <w:rPr>
          <w:rFonts w:hint="eastAsia" w:ascii="宋体" w:hAnsi="宋体" w:eastAsia="宋体" w:cs="宋体"/>
          <w:color w:val="000000" w:themeColor="text1"/>
          <w:sz w:val="21"/>
          <w:szCs w:val="21"/>
          <w:highlight w:val="none"/>
        </w:rPr>
        <w:t xml:space="preserve">备案； </w:t>
      </w:r>
    </w:p>
    <w:p w14:paraId="4D9643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p>
    <w:p w14:paraId="7C223F2C">
      <w:pPr>
        <w:pStyle w:val="5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rPr>
      </w:pPr>
    </w:p>
    <w:p w14:paraId="22A32F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p>
    <w:p w14:paraId="70276A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甲方（盖章）：                         乙方（盖章）：</w:t>
      </w:r>
    </w:p>
    <w:p w14:paraId="351868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sz w:val="21"/>
          <w:szCs w:val="21"/>
          <w:highlight w:val="none"/>
        </w:rPr>
        <w:t xml:space="preserve">代表：                                代表： </w:t>
      </w:r>
    </w:p>
    <w:p w14:paraId="62B25E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签定地点：</w:t>
      </w:r>
    </w:p>
    <w:p w14:paraId="0271C6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xml:space="preserve">签定日期：   年   月  日              签定日期：    年   月   日    </w:t>
      </w:r>
    </w:p>
    <w:p w14:paraId="0813A3BB">
      <w:pPr>
        <w:keepNext w:val="0"/>
        <w:keepLines w:val="0"/>
        <w:pageBreakBefore w:val="0"/>
        <w:widowControl w:val="0"/>
        <w:kinsoku/>
        <w:wordWrap/>
        <w:overflowPunct/>
        <w:topLinePunct w:val="0"/>
        <w:autoSpaceDE/>
        <w:autoSpaceDN/>
        <w:bidi w:val="0"/>
        <w:adjustRightInd/>
        <w:snapToGrid/>
        <w:spacing w:line="360" w:lineRule="auto"/>
        <w:ind w:firstLine="4042" w:firstLineChars="1925"/>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开户名称：</w:t>
      </w:r>
    </w:p>
    <w:p w14:paraId="04D9C89D">
      <w:pPr>
        <w:keepNext w:val="0"/>
        <w:keepLines w:val="0"/>
        <w:pageBreakBefore w:val="0"/>
        <w:widowControl w:val="0"/>
        <w:kinsoku/>
        <w:wordWrap/>
        <w:overflowPunct/>
        <w:topLinePunct w:val="0"/>
        <w:autoSpaceDE/>
        <w:autoSpaceDN/>
        <w:bidi w:val="0"/>
        <w:adjustRightInd/>
        <w:snapToGrid/>
        <w:spacing w:line="360" w:lineRule="auto"/>
        <w:ind w:firstLine="4042" w:firstLineChars="1925"/>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银行帐号：</w:t>
      </w:r>
    </w:p>
    <w:p w14:paraId="70933BC1">
      <w:pPr>
        <w:keepNext w:val="0"/>
        <w:keepLines w:val="0"/>
        <w:pageBreakBefore w:val="0"/>
        <w:widowControl w:val="0"/>
        <w:kinsoku/>
        <w:wordWrap/>
        <w:overflowPunct/>
        <w:topLinePunct w:val="0"/>
        <w:autoSpaceDE/>
        <w:autoSpaceDN/>
        <w:bidi w:val="0"/>
        <w:adjustRightInd/>
        <w:snapToGrid/>
        <w:spacing w:line="360" w:lineRule="auto"/>
        <w:ind w:firstLine="4042" w:firstLineChars="1925"/>
        <w:textAlignment w:val="auto"/>
        <w:rPr>
          <w:rFonts w:ascii="宋体" w:hAnsi="宋体"/>
          <w:bCs/>
          <w:color w:val="000000" w:themeColor="text1"/>
          <w:szCs w:val="21"/>
          <w:highlight w:val="none"/>
        </w:rPr>
      </w:pPr>
      <w:r>
        <w:rPr>
          <w:rFonts w:hint="eastAsia" w:ascii="宋体" w:hAnsi="宋体" w:eastAsia="宋体" w:cs="宋体"/>
          <w:color w:val="000000" w:themeColor="text1"/>
          <w:sz w:val="21"/>
          <w:szCs w:val="21"/>
          <w:highlight w:val="none"/>
        </w:rPr>
        <w:t>开 户 行：</w:t>
      </w:r>
    </w:p>
    <w:p w14:paraId="7E491983">
      <w:pPr>
        <w:rPr>
          <w:rFonts w:hint="eastAsia"/>
          <w:color w:val="000000" w:themeColor="text1"/>
          <w:highlight w:val="none"/>
        </w:rPr>
      </w:pPr>
      <w:r>
        <w:rPr>
          <w:rFonts w:hint="eastAsia"/>
          <w:color w:val="000000" w:themeColor="text1"/>
          <w:highlight w:val="none"/>
        </w:rPr>
        <w:br w:type="page"/>
      </w:r>
    </w:p>
    <w:p w14:paraId="6F1F376E">
      <w:pPr>
        <w:pStyle w:val="2"/>
        <w:numPr>
          <w:ilvl w:val="0"/>
          <w:numId w:val="0"/>
        </w:numPr>
        <w:spacing w:beforeLines="0"/>
        <w:rPr>
          <w:color w:val="000000" w:themeColor="text1"/>
          <w:highlight w:val="none"/>
        </w:rPr>
      </w:pPr>
      <w:bookmarkStart w:id="1649" w:name="_Toc20709"/>
      <w:r>
        <w:rPr>
          <w:rFonts w:hint="eastAsia"/>
          <w:color w:val="000000" w:themeColor="text1"/>
          <w:highlight w:val="none"/>
        </w:rPr>
        <w:t>第五部分</w:t>
      </w:r>
      <w:bookmarkStart w:id="1650" w:name="_Hlt97188172"/>
      <w:bookmarkEnd w:id="1650"/>
      <w:r>
        <w:rPr>
          <w:rFonts w:hint="eastAsia"/>
          <w:color w:val="000000" w:themeColor="text1"/>
          <w:highlight w:val="none"/>
        </w:rPr>
        <w:t>投标文件格式</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Start w:id="1651" w:name="_Hlt21938933"/>
      <w:bookmarkEnd w:id="1651"/>
    </w:p>
    <w:p w14:paraId="7B326E5F">
      <w:pPr>
        <w:pStyle w:val="3"/>
        <w:numPr>
          <w:ilvl w:val="0"/>
          <w:numId w:val="0"/>
        </w:numPr>
        <w:rPr>
          <w:color w:val="000000" w:themeColor="text1"/>
          <w:sz w:val="24"/>
          <w:highlight w:val="none"/>
        </w:rPr>
      </w:pPr>
      <w:bookmarkStart w:id="1652" w:name="_Toc27208"/>
      <w:bookmarkStart w:id="1653" w:name="_Toc18699"/>
      <w:r>
        <w:rPr>
          <w:rFonts w:hint="eastAsia"/>
          <w:color w:val="000000" w:themeColor="text1"/>
          <w:sz w:val="24"/>
          <w:highlight w:val="none"/>
        </w:rPr>
        <w:t>资格审查封面格式</w:t>
      </w:r>
      <w:bookmarkEnd w:id="1652"/>
      <w:bookmarkEnd w:id="1653"/>
    </w:p>
    <w:p w14:paraId="39137E7D">
      <w:pPr>
        <w:pStyle w:val="5"/>
        <w:rPr>
          <w:rFonts w:hAnsi="宋体"/>
          <w:bCs/>
          <w:color w:val="000000" w:themeColor="text1"/>
          <w:sz w:val="21"/>
          <w:highlight w:val="none"/>
        </w:rPr>
      </w:pPr>
    </w:p>
    <w:p w14:paraId="760E15E6">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 xml:space="preserve">1、投标内容应当编有目录、页码，按页码排序并装订成册。  </w:t>
      </w:r>
    </w:p>
    <w:p w14:paraId="6F7A55ED">
      <w:pPr>
        <w:pStyle w:val="5"/>
        <w:spacing w:line="360" w:lineRule="auto"/>
        <w:rPr>
          <w:rFonts w:hAnsi="宋体"/>
          <w:b/>
          <w:color w:val="000000" w:themeColor="text1"/>
          <w:sz w:val="21"/>
          <w:szCs w:val="21"/>
          <w:highlight w:val="none"/>
        </w:rPr>
      </w:pPr>
      <w:r>
        <w:rPr>
          <w:rFonts w:hAnsi="宋体"/>
          <w:bCs/>
          <w:color w:val="000000" w:themeColor="text1"/>
          <w:sz w:val="21"/>
          <w:highlight w:val="none"/>
        </w:rPr>
        <w:t>2</w:t>
      </w:r>
      <w:r>
        <w:rPr>
          <w:rFonts w:hint="eastAsia" w:hAnsi="宋体"/>
          <w:bCs/>
          <w:color w:val="000000" w:themeColor="text1"/>
          <w:sz w:val="21"/>
          <w:highlight w:val="none"/>
        </w:rPr>
        <w:t>、文件的封面格式由投</w:t>
      </w:r>
      <w:r>
        <w:rPr>
          <w:rFonts w:hint="eastAsia" w:hAnsi="宋体"/>
          <w:bCs/>
          <w:color w:val="000000" w:themeColor="text1"/>
          <w:sz w:val="21"/>
          <w:szCs w:val="21"/>
          <w:highlight w:val="none"/>
        </w:rPr>
        <w:t>标人自拟</w:t>
      </w:r>
      <w:r>
        <w:rPr>
          <w:rFonts w:hint="eastAsia" w:hAnsi="宋体"/>
          <w:bCs/>
          <w:color w:val="000000" w:themeColor="text1"/>
          <w:sz w:val="21"/>
          <w:highlight w:val="none"/>
        </w:rPr>
        <w:t>，并应注明“投标文件、项目编号、项目名称、投标人名称及地址、法定代表人（负责人）或授权代理人、联系电话、传真、邮编，并加盖投标人公章。</w:t>
      </w:r>
    </w:p>
    <w:p w14:paraId="7A60A8F3">
      <w:pPr>
        <w:pStyle w:val="5"/>
        <w:rPr>
          <w:rFonts w:hAnsi="宋体"/>
          <w:bCs/>
          <w:color w:val="000000" w:themeColor="text1"/>
          <w:sz w:val="21"/>
          <w:highlight w:val="none"/>
        </w:rPr>
      </w:pPr>
    </w:p>
    <w:p w14:paraId="77A540A2">
      <w:pPr>
        <w:pStyle w:val="5"/>
        <w:rPr>
          <w:rFonts w:hAnsi="宋体"/>
          <w:bCs/>
          <w:color w:val="000000" w:themeColor="text1"/>
          <w:sz w:val="21"/>
          <w:highlight w:val="none"/>
        </w:rPr>
      </w:pPr>
    </w:p>
    <w:p w14:paraId="41D481A0">
      <w:pPr>
        <w:pStyle w:val="5"/>
        <w:rPr>
          <w:rFonts w:hAnsi="宋体"/>
          <w:bCs/>
          <w:color w:val="000000" w:themeColor="text1"/>
          <w:sz w:val="21"/>
          <w:highlight w:val="none"/>
        </w:rPr>
      </w:pPr>
    </w:p>
    <w:p w14:paraId="06EC0075">
      <w:pPr>
        <w:pStyle w:val="5"/>
        <w:rPr>
          <w:rFonts w:hAnsi="宋体"/>
          <w:bCs/>
          <w:color w:val="000000" w:themeColor="text1"/>
          <w:sz w:val="21"/>
          <w:highlight w:val="none"/>
        </w:rPr>
      </w:pPr>
    </w:p>
    <w:p w14:paraId="207DA1A3">
      <w:pPr>
        <w:pStyle w:val="5"/>
        <w:rPr>
          <w:rFonts w:hAnsi="宋体"/>
          <w:bCs/>
          <w:color w:val="000000" w:themeColor="text1"/>
          <w:sz w:val="21"/>
          <w:highlight w:val="none"/>
        </w:rPr>
      </w:pPr>
    </w:p>
    <w:p w14:paraId="0672BCD7">
      <w:pPr>
        <w:pStyle w:val="5"/>
        <w:rPr>
          <w:rFonts w:hAnsi="宋体"/>
          <w:bCs/>
          <w:color w:val="000000" w:themeColor="text1"/>
          <w:sz w:val="21"/>
          <w:highlight w:val="none"/>
        </w:rPr>
      </w:pPr>
    </w:p>
    <w:p w14:paraId="65EE178B">
      <w:pPr>
        <w:pStyle w:val="5"/>
        <w:rPr>
          <w:rFonts w:hAnsi="宋体"/>
          <w:bCs/>
          <w:color w:val="000000" w:themeColor="text1"/>
          <w:sz w:val="21"/>
          <w:highlight w:val="none"/>
        </w:rPr>
      </w:pPr>
    </w:p>
    <w:p w14:paraId="23198B60">
      <w:pPr>
        <w:pStyle w:val="5"/>
        <w:rPr>
          <w:rFonts w:hAnsi="宋体"/>
          <w:bCs/>
          <w:color w:val="000000" w:themeColor="text1"/>
          <w:sz w:val="21"/>
          <w:highlight w:val="none"/>
        </w:rPr>
      </w:pPr>
    </w:p>
    <w:p w14:paraId="022C2FF2">
      <w:pPr>
        <w:pStyle w:val="5"/>
        <w:rPr>
          <w:rFonts w:hAnsi="宋体"/>
          <w:bCs/>
          <w:color w:val="000000" w:themeColor="text1"/>
          <w:sz w:val="21"/>
          <w:highlight w:val="none"/>
        </w:rPr>
      </w:pPr>
    </w:p>
    <w:p w14:paraId="49B9F73A">
      <w:pPr>
        <w:pStyle w:val="5"/>
        <w:rPr>
          <w:rFonts w:hAnsi="宋体"/>
          <w:bCs/>
          <w:color w:val="000000" w:themeColor="text1"/>
          <w:sz w:val="21"/>
          <w:highlight w:val="none"/>
        </w:rPr>
      </w:pPr>
    </w:p>
    <w:p w14:paraId="3764377A">
      <w:pPr>
        <w:pStyle w:val="5"/>
        <w:rPr>
          <w:rFonts w:hAnsi="宋体"/>
          <w:bCs/>
          <w:color w:val="000000" w:themeColor="text1"/>
          <w:sz w:val="21"/>
          <w:highlight w:val="none"/>
        </w:rPr>
      </w:pPr>
    </w:p>
    <w:p w14:paraId="26CD916F">
      <w:pPr>
        <w:pStyle w:val="5"/>
        <w:rPr>
          <w:rFonts w:hAnsi="宋体"/>
          <w:bCs/>
          <w:color w:val="000000" w:themeColor="text1"/>
          <w:sz w:val="21"/>
          <w:highlight w:val="none"/>
        </w:rPr>
      </w:pPr>
    </w:p>
    <w:p w14:paraId="7F43B27D">
      <w:pPr>
        <w:pStyle w:val="5"/>
        <w:rPr>
          <w:rFonts w:hAnsi="宋体"/>
          <w:bCs/>
          <w:color w:val="000000" w:themeColor="text1"/>
          <w:sz w:val="21"/>
          <w:highlight w:val="none"/>
        </w:rPr>
      </w:pPr>
    </w:p>
    <w:p w14:paraId="37F0B009">
      <w:pPr>
        <w:pStyle w:val="5"/>
        <w:rPr>
          <w:rFonts w:hAnsi="宋体"/>
          <w:bCs/>
          <w:color w:val="000000" w:themeColor="text1"/>
          <w:sz w:val="21"/>
          <w:highlight w:val="none"/>
        </w:rPr>
      </w:pPr>
    </w:p>
    <w:p w14:paraId="59693E1B">
      <w:pPr>
        <w:pStyle w:val="5"/>
        <w:rPr>
          <w:rFonts w:hAnsi="宋体"/>
          <w:bCs/>
          <w:color w:val="000000" w:themeColor="text1"/>
          <w:sz w:val="21"/>
          <w:highlight w:val="none"/>
        </w:rPr>
      </w:pPr>
    </w:p>
    <w:p w14:paraId="5784D30F">
      <w:pPr>
        <w:pStyle w:val="5"/>
        <w:rPr>
          <w:rFonts w:hAnsi="宋体"/>
          <w:bCs/>
          <w:color w:val="000000" w:themeColor="text1"/>
          <w:sz w:val="21"/>
          <w:highlight w:val="none"/>
        </w:rPr>
      </w:pPr>
    </w:p>
    <w:p w14:paraId="779E7FA7">
      <w:pPr>
        <w:pStyle w:val="5"/>
        <w:rPr>
          <w:rFonts w:hAnsi="宋体"/>
          <w:bCs/>
          <w:color w:val="000000" w:themeColor="text1"/>
          <w:sz w:val="21"/>
          <w:highlight w:val="none"/>
        </w:rPr>
      </w:pPr>
    </w:p>
    <w:p w14:paraId="72457B10">
      <w:pPr>
        <w:pStyle w:val="5"/>
        <w:rPr>
          <w:rFonts w:hAnsi="宋体"/>
          <w:bCs/>
          <w:color w:val="000000" w:themeColor="text1"/>
          <w:sz w:val="21"/>
          <w:highlight w:val="none"/>
        </w:rPr>
      </w:pPr>
    </w:p>
    <w:p w14:paraId="0A63CBAE">
      <w:pPr>
        <w:pStyle w:val="5"/>
        <w:rPr>
          <w:rFonts w:hAnsi="宋体"/>
          <w:bCs/>
          <w:color w:val="000000" w:themeColor="text1"/>
          <w:sz w:val="21"/>
          <w:highlight w:val="none"/>
        </w:rPr>
      </w:pPr>
    </w:p>
    <w:p w14:paraId="37A39E1D">
      <w:pPr>
        <w:pStyle w:val="5"/>
        <w:rPr>
          <w:rFonts w:hAnsi="宋体"/>
          <w:bCs/>
          <w:color w:val="000000" w:themeColor="text1"/>
          <w:sz w:val="21"/>
          <w:highlight w:val="none"/>
        </w:rPr>
      </w:pPr>
    </w:p>
    <w:p w14:paraId="6E9C52D5">
      <w:pPr>
        <w:pStyle w:val="5"/>
        <w:rPr>
          <w:rFonts w:hAnsi="宋体"/>
          <w:bCs/>
          <w:color w:val="000000" w:themeColor="text1"/>
          <w:sz w:val="21"/>
          <w:highlight w:val="none"/>
        </w:rPr>
      </w:pPr>
    </w:p>
    <w:p w14:paraId="7620B5E8">
      <w:pPr>
        <w:pStyle w:val="5"/>
        <w:rPr>
          <w:rFonts w:hAnsi="宋体"/>
          <w:bCs/>
          <w:color w:val="000000" w:themeColor="text1"/>
          <w:sz w:val="21"/>
          <w:highlight w:val="none"/>
        </w:rPr>
      </w:pPr>
    </w:p>
    <w:p w14:paraId="49F0AE00">
      <w:pPr>
        <w:pStyle w:val="5"/>
        <w:rPr>
          <w:rFonts w:hAnsi="宋体"/>
          <w:bCs/>
          <w:color w:val="000000" w:themeColor="text1"/>
          <w:sz w:val="21"/>
          <w:highlight w:val="none"/>
        </w:rPr>
      </w:pPr>
    </w:p>
    <w:p w14:paraId="52F87D21">
      <w:pPr>
        <w:pStyle w:val="5"/>
        <w:rPr>
          <w:rFonts w:hAnsi="宋体"/>
          <w:bCs/>
          <w:color w:val="000000" w:themeColor="text1"/>
          <w:sz w:val="21"/>
          <w:highlight w:val="none"/>
        </w:rPr>
      </w:pPr>
    </w:p>
    <w:p w14:paraId="148DD08D">
      <w:pPr>
        <w:pStyle w:val="5"/>
        <w:rPr>
          <w:rFonts w:hAnsi="宋体"/>
          <w:bCs/>
          <w:color w:val="000000" w:themeColor="text1"/>
          <w:sz w:val="21"/>
          <w:highlight w:val="none"/>
        </w:rPr>
      </w:pPr>
    </w:p>
    <w:p w14:paraId="34572BEC">
      <w:pPr>
        <w:pStyle w:val="5"/>
        <w:rPr>
          <w:rFonts w:hAnsi="宋体"/>
          <w:bCs/>
          <w:color w:val="000000" w:themeColor="text1"/>
          <w:sz w:val="21"/>
          <w:highlight w:val="none"/>
        </w:rPr>
      </w:pPr>
    </w:p>
    <w:p w14:paraId="3158258F">
      <w:pPr>
        <w:pStyle w:val="5"/>
        <w:rPr>
          <w:rFonts w:hAnsi="宋体"/>
          <w:bCs/>
          <w:color w:val="000000" w:themeColor="text1"/>
          <w:sz w:val="21"/>
          <w:highlight w:val="none"/>
        </w:rPr>
      </w:pPr>
    </w:p>
    <w:p w14:paraId="6D3A5CE5">
      <w:pPr>
        <w:pStyle w:val="5"/>
        <w:rPr>
          <w:rFonts w:hAnsi="宋体"/>
          <w:bCs/>
          <w:color w:val="000000" w:themeColor="text1"/>
          <w:sz w:val="21"/>
          <w:highlight w:val="none"/>
        </w:rPr>
      </w:pPr>
    </w:p>
    <w:p w14:paraId="1AA79FD7">
      <w:pPr>
        <w:pStyle w:val="5"/>
        <w:rPr>
          <w:rFonts w:hAnsi="宋体"/>
          <w:bCs/>
          <w:color w:val="000000" w:themeColor="text1"/>
          <w:sz w:val="21"/>
          <w:highlight w:val="none"/>
        </w:rPr>
      </w:pPr>
    </w:p>
    <w:p w14:paraId="7504386D">
      <w:pPr>
        <w:pStyle w:val="5"/>
        <w:rPr>
          <w:rFonts w:hAnsi="宋体"/>
          <w:bCs/>
          <w:color w:val="000000" w:themeColor="text1"/>
          <w:sz w:val="21"/>
          <w:highlight w:val="none"/>
        </w:rPr>
      </w:pPr>
    </w:p>
    <w:p w14:paraId="212F3D7C">
      <w:pPr>
        <w:pStyle w:val="5"/>
        <w:rPr>
          <w:rFonts w:hAnsi="宋体"/>
          <w:bCs/>
          <w:color w:val="000000" w:themeColor="text1"/>
          <w:sz w:val="21"/>
          <w:highlight w:val="none"/>
        </w:rPr>
      </w:pPr>
    </w:p>
    <w:p w14:paraId="792E0CEE">
      <w:pPr>
        <w:pStyle w:val="5"/>
        <w:rPr>
          <w:rFonts w:hAnsi="宋体"/>
          <w:bCs/>
          <w:color w:val="000000" w:themeColor="text1"/>
          <w:sz w:val="21"/>
          <w:highlight w:val="none"/>
        </w:rPr>
      </w:pPr>
    </w:p>
    <w:p w14:paraId="78851E37">
      <w:pPr>
        <w:pStyle w:val="5"/>
        <w:rPr>
          <w:rFonts w:hAnsi="宋体"/>
          <w:bCs/>
          <w:color w:val="000000" w:themeColor="text1"/>
          <w:sz w:val="21"/>
          <w:highlight w:val="none"/>
        </w:rPr>
      </w:pPr>
    </w:p>
    <w:p w14:paraId="0A890A0F">
      <w:pPr>
        <w:pStyle w:val="5"/>
        <w:rPr>
          <w:rFonts w:hAnsi="宋体"/>
          <w:bCs/>
          <w:color w:val="000000" w:themeColor="text1"/>
          <w:sz w:val="21"/>
          <w:highlight w:val="none"/>
        </w:rPr>
      </w:pPr>
    </w:p>
    <w:p w14:paraId="0D586A23">
      <w:pPr>
        <w:pStyle w:val="5"/>
        <w:rPr>
          <w:rFonts w:hAnsi="宋体"/>
          <w:bCs/>
          <w:color w:val="000000" w:themeColor="text1"/>
          <w:sz w:val="21"/>
          <w:highlight w:val="none"/>
        </w:rPr>
      </w:pPr>
    </w:p>
    <w:p w14:paraId="23BCC2F4">
      <w:pPr>
        <w:pStyle w:val="5"/>
        <w:spacing w:line="440" w:lineRule="exact"/>
        <w:jc w:val="center"/>
        <w:rPr>
          <w:rFonts w:hAnsi="宋体"/>
          <w:bCs/>
          <w:color w:val="000000" w:themeColor="text1"/>
          <w:sz w:val="21"/>
          <w:highlight w:val="none"/>
        </w:rPr>
      </w:pPr>
    </w:p>
    <w:p w14:paraId="2151CF7D">
      <w:pPr>
        <w:pStyle w:val="5"/>
        <w:spacing w:line="440" w:lineRule="exact"/>
        <w:jc w:val="center"/>
        <w:rPr>
          <w:rFonts w:hAnsi="宋体"/>
          <w:bCs/>
          <w:color w:val="000000" w:themeColor="text1"/>
          <w:sz w:val="21"/>
          <w:highlight w:val="none"/>
        </w:rPr>
      </w:pPr>
    </w:p>
    <w:p w14:paraId="53E6421B">
      <w:pPr>
        <w:pStyle w:val="5"/>
        <w:spacing w:line="440" w:lineRule="exact"/>
        <w:jc w:val="center"/>
        <w:rPr>
          <w:rFonts w:hAnsi="宋体"/>
          <w:bCs/>
          <w:color w:val="000000" w:themeColor="text1"/>
          <w:sz w:val="21"/>
          <w:highlight w:val="none"/>
        </w:rPr>
      </w:pPr>
    </w:p>
    <w:p w14:paraId="3194B8D6">
      <w:pPr>
        <w:pStyle w:val="5"/>
        <w:spacing w:line="440" w:lineRule="exact"/>
        <w:jc w:val="center"/>
        <w:rPr>
          <w:rFonts w:hAnsi="宋体"/>
          <w:bCs/>
          <w:color w:val="000000" w:themeColor="text1"/>
          <w:sz w:val="21"/>
          <w:highlight w:val="none"/>
        </w:rPr>
      </w:pPr>
    </w:p>
    <w:p w14:paraId="33253AFD">
      <w:pPr>
        <w:pStyle w:val="5"/>
        <w:spacing w:line="360" w:lineRule="auto"/>
        <w:jc w:val="center"/>
        <w:rPr>
          <w:rFonts w:hAnsi="宋体"/>
          <w:bCs/>
          <w:color w:val="000000" w:themeColor="text1"/>
          <w:sz w:val="52"/>
          <w:szCs w:val="52"/>
          <w:highlight w:val="none"/>
        </w:rPr>
      </w:pPr>
      <w:r>
        <w:rPr>
          <w:rFonts w:hint="eastAsia" w:hAnsi="宋体"/>
          <w:b/>
          <w:bCs/>
          <w:color w:val="000000" w:themeColor="text1"/>
          <w:sz w:val="52"/>
          <w:szCs w:val="52"/>
          <w:highlight w:val="none"/>
        </w:rPr>
        <w:t>投标文件（□正本、□副本</w:t>
      </w:r>
      <w:r>
        <w:rPr>
          <w:rFonts w:hint="eastAsia" w:hAnsi="宋体"/>
          <w:bCs/>
          <w:color w:val="000000" w:themeColor="text1"/>
          <w:sz w:val="52"/>
          <w:szCs w:val="52"/>
          <w:highlight w:val="none"/>
        </w:rPr>
        <w:t>）</w:t>
      </w:r>
    </w:p>
    <w:p w14:paraId="35C6E922">
      <w:pPr>
        <w:pStyle w:val="5"/>
        <w:spacing w:line="360" w:lineRule="auto"/>
        <w:jc w:val="center"/>
        <w:rPr>
          <w:rFonts w:hAnsi="宋体"/>
          <w:bCs/>
          <w:color w:val="000000" w:themeColor="text1"/>
          <w:sz w:val="52"/>
          <w:szCs w:val="52"/>
          <w:highlight w:val="none"/>
        </w:rPr>
      </w:pPr>
      <w:r>
        <w:rPr>
          <w:rFonts w:hint="eastAsia" w:hAnsi="宋体"/>
          <w:b/>
          <w:color w:val="000000" w:themeColor="text1"/>
          <w:sz w:val="44"/>
          <w:szCs w:val="44"/>
          <w:highlight w:val="none"/>
        </w:rPr>
        <w:t>（资格审查文件）</w:t>
      </w:r>
    </w:p>
    <w:p w14:paraId="3295F2D7">
      <w:pPr>
        <w:pStyle w:val="5"/>
        <w:spacing w:line="360" w:lineRule="auto"/>
        <w:jc w:val="center"/>
        <w:rPr>
          <w:rFonts w:hAnsi="宋体"/>
          <w:bCs/>
          <w:color w:val="000000" w:themeColor="text1"/>
          <w:sz w:val="52"/>
          <w:szCs w:val="52"/>
          <w:highlight w:val="none"/>
        </w:rPr>
      </w:pPr>
    </w:p>
    <w:p w14:paraId="087E86DB">
      <w:pPr>
        <w:pStyle w:val="5"/>
        <w:spacing w:line="360" w:lineRule="auto"/>
        <w:jc w:val="center"/>
        <w:rPr>
          <w:rFonts w:hAnsi="宋体"/>
          <w:bCs/>
          <w:color w:val="000000" w:themeColor="text1"/>
          <w:sz w:val="52"/>
          <w:szCs w:val="52"/>
          <w:highlight w:val="none"/>
        </w:rPr>
      </w:pPr>
    </w:p>
    <w:p w14:paraId="41919D73">
      <w:pPr>
        <w:pStyle w:val="5"/>
        <w:spacing w:line="360" w:lineRule="auto"/>
        <w:jc w:val="center"/>
        <w:rPr>
          <w:rFonts w:hAnsi="宋体"/>
          <w:bCs/>
          <w:color w:val="000000" w:themeColor="text1"/>
          <w:sz w:val="52"/>
          <w:szCs w:val="52"/>
          <w:highlight w:val="none"/>
        </w:rPr>
      </w:pPr>
    </w:p>
    <w:p w14:paraId="4C2C753F">
      <w:pPr>
        <w:pStyle w:val="5"/>
        <w:spacing w:line="360" w:lineRule="auto"/>
        <w:jc w:val="center"/>
        <w:rPr>
          <w:rFonts w:hAnsi="宋体"/>
          <w:bCs/>
          <w:color w:val="000000" w:themeColor="text1"/>
          <w:sz w:val="52"/>
          <w:szCs w:val="52"/>
          <w:highlight w:val="none"/>
        </w:rPr>
      </w:pPr>
    </w:p>
    <w:p w14:paraId="792BBD03">
      <w:pPr>
        <w:pStyle w:val="5"/>
        <w:spacing w:line="360" w:lineRule="auto"/>
        <w:jc w:val="center"/>
        <w:rPr>
          <w:rFonts w:hAnsi="宋体"/>
          <w:bCs/>
          <w:color w:val="000000" w:themeColor="text1"/>
          <w:sz w:val="52"/>
          <w:szCs w:val="52"/>
          <w:highlight w:val="none"/>
        </w:rPr>
      </w:pPr>
    </w:p>
    <w:p w14:paraId="72DF0A4B">
      <w:pPr>
        <w:pStyle w:val="5"/>
        <w:spacing w:line="440" w:lineRule="exact"/>
        <w:jc w:val="center"/>
        <w:rPr>
          <w:rFonts w:hAnsi="宋体"/>
          <w:bCs/>
          <w:color w:val="000000" w:themeColor="text1"/>
          <w:sz w:val="21"/>
          <w:highlight w:val="none"/>
        </w:rPr>
      </w:pPr>
    </w:p>
    <w:p w14:paraId="41193B37">
      <w:pPr>
        <w:pStyle w:val="5"/>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 xml:space="preserve">             </w:t>
      </w:r>
    </w:p>
    <w:p w14:paraId="34D4A27D">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采购项目名称，由投标人填写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14:paraId="76DFAF7F">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投标人名称（公章）：</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val="en-US" w:eastAsia="zh-CN"/>
        </w:rPr>
        <w:t xml:space="preserve">   </w:t>
      </w:r>
      <w:r>
        <w:rPr>
          <w:rFonts w:hint="eastAsia" w:hAnsi="宋体"/>
          <w:bCs/>
          <w:color w:val="000000" w:themeColor="text1"/>
          <w:sz w:val="21"/>
          <w:highlight w:val="none"/>
          <w:u w:val="single"/>
        </w:rPr>
        <w:t xml:space="preserve">     </w:t>
      </w:r>
    </w:p>
    <w:p w14:paraId="7D34FEDC">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投标人地址：</w:t>
      </w:r>
      <w:r>
        <w:rPr>
          <w:rFonts w:hint="eastAsia" w:hAnsi="宋体"/>
          <w:bCs/>
          <w:color w:val="000000" w:themeColor="text1"/>
          <w:sz w:val="21"/>
          <w:highlight w:val="none"/>
          <w:u w:val="single"/>
        </w:rPr>
        <w:t xml:space="preserve">                                                              </w:t>
      </w:r>
    </w:p>
    <w:p w14:paraId="3196B4A0">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val="en-US" w:eastAsia="zh-CN"/>
        </w:rPr>
        <w:t xml:space="preserve">   </w:t>
      </w:r>
      <w:r>
        <w:rPr>
          <w:rFonts w:hint="eastAsia" w:hAnsi="宋体"/>
          <w:bCs/>
          <w:color w:val="000000" w:themeColor="text1"/>
          <w:sz w:val="21"/>
          <w:highlight w:val="none"/>
          <w:u w:val="single"/>
        </w:rPr>
        <w:t xml:space="preserve">    </w:t>
      </w:r>
    </w:p>
    <w:p w14:paraId="36A94D13">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14:paraId="7FF3DC27">
      <w:pPr>
        <w:pStyle w:val="5"/>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14:paraId="5F654C6F">
      <w:pPr>
        <w:pStyle w:val="5"/>
        <w:spacing w:line="440" w:lineRule="exact"/>
        <w:rPr>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14:paraId="50DD8C20">
      <w:pPr>
        <w:tabs>
          <w:tab w:val="left" w:pos="1004"/>
          <w:tab w:val="left" w:pos="4267"/>
        </w:tabs>
        <w:spacing w:line="400" w:lineRule="exact"/>
        <w:rPr>
          <w:rFonts w:ascii="宋体" w:hAnsi="宋体"/>
          <w:bCs/>
          <w:color w:val="000000" w:themeColor="text1"/>
          <w:highlight w:val="none"/>
        </w:rPr>
      </w:pPr>
    </w:p>
    <w:p w14:paraId="750146FD">
      <w:pPr>
        <w:tabs>
          <w:tab w:val="left" w:pos="1004"/>
          <w:tab w:val="left" w:pos="4267"/>
        </w:tabs>
        <w:spacing w:line="400" w:lineRule="exact"/>
        <w:rPr>
          <w:rFonts w:ascii="宋体" w:hAnsi="宋体"/>
          <w:bCs/>
          <w:color w:val="000000" w:themeColor="text1"/>
          <w:highlight w:val="none"/>
        </w:rPr>
      </w:pPr>
    </w:p>
    <w:p w14:paraId="0FA2A473">
      <w:pPr>
        <w:tabs>
          <w:tab w:val="left" w:pos="1004"/>
          <w:tab w:val="left" w:pos="4267"/>
        </w:tabs>
        <w:spacing w:line="400" w:lineRule="exact"/>
        <w:rPr>
          <w:rFonts w:ascii="宋体" w:hAnsi="宋体"/>
          <w:bCs/>
          <w:color w:val="000000" w:themeColor="text1"/>
          <w:highlight w:val="none"/>
        </w:rPr>
      </w:pPr>
    </w:p>
    <w:p w14:paraId="6813715E">
      <w:pPr>
        <w:pStyle w:val="3"/>
        <w:numPr>
          <w:ilvl w:val="7"/>
          <w:numId w:val="6"/>
        </w:numPr>
        <w:tabs>
          <w:tab w:val="clear" w:pos="720"/>
        </w:tabs>
        <w:spacing w:before="240" w:after="240" w:line="360" w:lineRule="exact"/>
        <w:ind w:left="0" w:firstLine="0"/>
        <w:rPr>
          <w:color w:val="000000" w:themeColor="text1"/>
          <w:sz w:val="24"/>
          <w:highlight w:val="none"/>
        </w:rPr>
      </w:pPr>
      <w:r>
        <w:rPr>
          <w:rFonts w:hint="eastAsia"/>
          <w:color w:val="000000" w:themeColor="text1"/>
          <w:sz w:val="24"/>
          <w:highlight w:val="none"/>
        </w:rPr>
        <w:t xml:space="preserve">  </w:t>
      </w:r>
      <w:bookmarkStart w:id="1654" w:name="_Toc27190"/>
      <w:bookmarkStart w:id="1655" w:name="_Toc31809"/>
      <w:r>
        <w:rPr>
          <w:rFonts w:hint="eastAsia"/>
          <w:color w:val="000000" w:themeColor="text1"/>
          <w:sz w:val="24"/>
          <w:highlight w:val="none"/>
        </w:rPr>
        <w:t>自查表</w:t>
      </w:r>
      <w:bookmarkEnd w:id="1654"/>
      <w:bookmarkEnd w:id="1655"/>
    </w:p>
    <w:p w14:paraId="1B89F17A">
      <w:pPr>
        <w:pStyle w:val="3"/>
        <w:keepLines w:val="0"/>
        <w:numPr>
          <w:ilvl w:val="0"/>
          <w:numId w:val="0"/>
        </w:numPr>
        <w:tabs>
          <w:tab w:val="left" w:pos="4320"/>
        </w:tabs>
        <w:spacing w:before="240" w:after="60" w:line="360" w:lineRule="auto"/>
        <w:rPr>
          <w:rFonts w:ascii="宋体"/>
          <w:b/>
          <w:bCs w:val="0"/>
          <w:color w:val="000000" w:themeColor="text1"/>
          <w:szCs w:val="21"/>
          <w:highlight w:val="none"/>
        </w:rPr>
      </w:pPr>
      <w:bookmarkStart w:id="1656" w:name="_Toc15898"/>
      <w:r>
        <w:rPr>
          <w:rFonts w:hint="eastAsia" w:ascii="宋体"/>
          <w:b/>
          <w:bCs w:val="0"/>
          <w:color w:val="000000" w:themeColor="text1"/>
          <w:szCs w:val="21"/>
          <w:highlight w:val="none"/>
        </w:rPr>
        <w:t xml:space="preserve"> </w:t>
      </w:r>
      <w:bookmarkStart w:id="1657" w:name="_Toc11416"/>
      <w:r>
        <w:rPr>
          <w:rFonts w:hint="eastAsia" w:ascii="宋体"/>
          <w:b/>
          <w:bCs w:val="0"/>
          <w:color w:val="000000" w:themeColor="text1"/>
          <w:szCs w:val="21"/>
          <w:highlight w:val="none"/>
        </w:rPr>
        <w:t>资格性自查表</w:t>
      </w:r>
      <w:bookmarkEnd w:id="1656"/>
      <w:bookmarkEnd w:id="1657"/>
    </w:p>
    <w:tbl>
      <w:tblPr>
        <w:tblStyle w:val="46"/>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25"/>
        <w:gridCol w:w="3886"/>
        <w:gridCol w:w="1785"/>
        <w:gridCol w:w="2421"/>
      </w:tblGrid>
      <w:tr w14:paraId="7715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4" w:type="dxa"/>
            <w:gridSpan w:val="2"/>
            <w:vAlign w:val="center"/>
          </w:tcPr>
          <w:p w14:paraId="6343E1FC">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3886" w:type="dxa"/>
            <w:vAlign w:val="center"/>
          </w:tcPr>
          <w:p w14:paraId="192CBCEC">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b/>
                <w:bCs/>
                <w:color w:val="000000" w:themeColor="text1"/>
                <w:szCs w:val="21"/>
                <w:highlight w:val="none"/>
              </w:rPr>
            </w:pPr>
            <w:r>
              <w:rPr>
                <w:rFonts w:hint="eastAsia" w:ascii="宋体" w:hAnsi="宋体"/>
                <w:b/>
                <w:bCs/>
                <w:color w:val="000000" w:themeColor="text1"/>
                <w:szCs w:val="21"/>
                <w:highlight w:val="none"/>
              </w:rPr>
              <w:t>招标文件要求</w:t>
            </w:r>
          </w:p>
        </w:tc>
        <w:tc>
          <w:tcPr>
            <w:tcW w:w="1785" w:type="dxa"/>
            <w:vAlign w:val="center"/>
          </w:tcPr>
          <w:p w14:paraId="35C6407E">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14:paraId="20F9ECEA">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2421" w:type="dxa"/>
            <w:vAlign w:val="center"/>
          </w:tcPr>
          <w:p w14:paraId="0E155D3E">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14:paraId="3325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709" w:type="dxa"/>
            <w:vMerge w:val="restart"/>
            <w:vAlign w:val="center"/>
          </w:tcPr>
          <w:p w14:paraId="378468B8">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themeColor="text1"/>
                <w:highlight w:val="none"/>
              </w:rPr>
            </w:pPr>
            <w:r>
              <w:rPr>
                <w:rFonts w:hint="eastAsia"/>
                <w:color w:val="000000" w:themeColor="text1"/>
                <w:highlight w:val="none"/>
              </w:rPr>
              <w:t>资格性检查</w:t>
            </w:r>
          </w:p>
        </w:tc>
        <w:tc>
          <w:tcPr>
            <w:tcW w:w="1125" w:type="dxa"/>
            <w:vMerge w:val="restart"/>
            <w:vAlign w:val="center"/>
          </w:tcPr>
          <w:p w14:paraId="7F9CFC01">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themeColor="text1"/>
                <w:highlight w:val="none"/>
              </w:rPr>
            </w:pPr>
            <w:r>
              <w:rPr>
                <w:rFonts w:hint="eastAsia"/>
                <w:color w:val="000000" w:themeColor="text1"/>
                <w:highlight w:val="none"/>
              </w:rPr>
              <w:t>投标人资格要求</w:t>
            </w:r>
          </w:p>
        </w:tc>
        <w:tc>
          <w:tcPr>
            <w:tcW w:w="3886" w:type="dxa"/>
            <w:vAlign w:val="center"/>
          </w:tcPr>
          <w:p w14:paraId="236B09DA">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hAnsi="宋体"/>
                <w:color w:val="000000" w:themeColor="text1"/>
                <w:szCs w:val="21"/>
                <w:highlight w:val="none"/>
              </w:rPr>
            </w:pPr>
            <w:r>
              <w:rPr>
                <w:rFonts w:hint="eastAsia" w:ascii="宋体" w:hAnsi="宋体"/>
                <w:color w:val="000000" w:themeColor="text1"/>
                <w:szCs w:val="21"/>
                <w:highlight w:val="none"/>
              </w:rPr>
              <w:t>投标人应具备《中华人民共和国政府采购法》第二十二条规定的条件</w:t>
            </w:r>
          </w:p>
          <w:p w14:paraId="23F5DE54">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hAnsi="宋体"/>
                <w:b/>
                <w:bCs/>
                <w:color w:val="000000" w:themeColor="text1"/>
                <w:szCs w:val="21"/>
                <w:highlight w:val="none"/>
              </w:rPr>
            </w:pPr>
          </w:p>
        </w:tc>
        <w:tc>
          <w:tcPr>
            <w:tcW w:w="1785" w:type="dxa"/>
            <w:vAlign w:val="center"/>
          </w:tcPr>
          <w:p w14:paraId="3DB0C18E">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b/>
                <w:bCs/>
                <w:color w:val="000000" w:themeColor="text1"/>
                <w:szCs w:val="21"/>
                <w:highlight w:val="none"/>
              </w:rPr>
            </w:pPr>
          </w:p>
        </w:tc>
        <w:tc>
          <w:tcPr>
            <w:tcW w:w="2421" w:type="dxa"/>
            <w:vAlign w:val="center"/>
          </w:tcPr>
          <w:p w14:paraId="7324109C">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b/>
                <w:color w:val="000000" w:themeColor="text1"/>
                <w:szCs w:val="21"/>
                <w:highlight w:val="none"/>
              </w:rPr>
            </w:pPr>
            <w:r>
              <w:rPr>
                <w:rFonts w:hint="eastAsia" w:ascii="宋体" w:hAnsi="宋体"/>
                <w:b/>
                <w:color w:val="000000" w:themeColor="text1"/>
                <w:szCs w:val="21"/>
                <w:highlight w:val="none"/>
              </w:rPr>
              <w:t>见投标文件</w:t>
            </w:r>
          </w:p>
          <w:p w14:paraId="56174CCE">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b/>
                <w:color w:val="000000" w:themeColor="text1"/>
                <w:szCs w:val="21"/>
                <w:highlight w:val="none"/>
              </w:rPr>
            </w:pPr>
            <w:r>
              <w:rPr>
                <w:rFonts w:hint="eastAsia" w:ascii="宋体" w:hAnsi="宋体"/>
                <w:b/>
                <w:color w:val="000000" w:themeColor="text1"/>
                <w:szCs w:val="21"/>
                <w:highlight w:val="none"/>
              </w:rPr>
              <w:t>第（  ）页</w:t>
            </w:r>
          </w:p>
          <w:p w14:paraId="58D3AEF8">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b/>
                <w:bCs/>
                <w:color w:val="000000" w:themeColor="text1"/>
                <w:szCs w:val="21"/>
                <w:highlight w:val="none"/>
              </w:rPr>
            </w:pPr>
            <w:r>
              <w:rPr>
                <w:rFonts w:hint="eastAsia" w:ascii="宋体" w:hAnsi="宋体"/>
                <w:color w:val="000000" w:themeColor="text1"/>
                <w:szCs w:val="21"/>
                <w:highlight w:val="none"/>
              </w:rPr>
              <w:t>要求：提交合法有效的营业执照复印件加盖公章、</w:t>
            </w:r>
            <w:r>
              <w:rPr>
                <w:rFonts w:hint="eastAsia" w:ascii="宋体" w:hAnsi="宋体"/>
                <w:color w:val="000000" w:themeColor="text1"/>
                <w:kern w:val="0"/>
                <w:szCs w:val="21"/>
                <w:highlight w:val="none"/>
              </w:rPr>
              <w:t>财务报表</w:t>
            </w:r>
            <w:r>
              <w:rPr>
                <w:rFonts w:hint="eastAsia" w:ascii="宋体" w:hAnsi="宋体"/>
                <w:color w:val="000000" w:themeColor="text1"/>
                <w:szCs w:val="21"/>
                <w:highlight w:val="none"/>
              </w:rPr>
              <w:t>复印件加盖公章、缴税证明复印件加盖公章、社会保险证明复印件加盖公章、无重大违法记录声明函原件</w:t>
            </w:r>
          </w:p>
        </w:tc>
      </w:tr>
      <w:tr w14:paraId="6E7C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09" w:type="dxa"/>
            <w:vMerge w:val="continue"/>
            <w:vAlign w:val="center"/>
          </w:tcPr>
          <w:p w14:paraId="2819A6D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000000" w:themeColor="text1"/>
                <w:highlight w:val="none"/>
              </w:rPr>
            </w:pPr>
          </w:p>
        </w:tc>
        <w:tc>
          <w:tcPr>
            <w:tcW w:w="1125" w:type="dxa"/>
            <w:vMerge w:val="continue"/>
            <w:vAlign w:val="center"/>
          </w:tcPr>
          <w:p w14:paraId="79C261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000000" w:themeColor="text1"/>
                <w:highlight w:val="none"/>
              </w:rPr>
            </w:pPr>
          </w:p>
        </w:tc>
        <w:tc>
          <w:tcPr>
            <w:tcW w:w="3886" w:type="dxa"/>
            <w:vAlign w:val="center"/>
          </w:tcPr>
          <w:p w14:paraId="33ADE890">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hAnsi="宋体"/>
                <w:b/>
                <w:bCs/>
                <w:color w:val="000000" w:themeColor="text1"/>
                <w:szCs w:val="21"/>
                <w:highlight w:val="none"/>
              </w:rPr>
            </w:pPr>
            <w:r>
              <w:rPr>
                <w:rFonts w:hint="eastAsia" w:ascii="宋体" w:hAnsi="宋体"/>
                <w:b w:val="0"/>
                <w:bCs w:val="0"/>
                <w:color w:val="000000" w:themeColor="text1"/>
                <w:szCs w:val="21"/>
                <w:highlight w:val="none"/>
              </w:rPr>
              <w:t>为采购项目提供整体设计、规范编制或者项目管理、监理、检测等服务的供应商，不得再参加该采购项目的其他采购活动</w:t>
            </w:r>
            <w:r>
              <w:rPr>
                <w:rFonts w:hint="eastAsia" w:ascii="宋体" w:hAnsi="宋体"/>
                <w:b w:val="0"/>
                <w:bCs w:val="0"/>
                <w:color w:val="000000" w:themeColor="text1"/>
                <w:szCs w:val="21"/>
                <w:highlight w:val="none"/>
                <w:lang w:val="en-US" w:eastAsia="zh-CN"/>
              </w:rPr>
              <w:t>；</w:t>
            </w:r>
            <w:r>
              <w:rPr>
                <w:rFonts w:hint="eastAsia" w:ascii="宋体" w:hAnsi="宋体"/>
                <w:b w:val="0"/>
                <w:bCs w:val="0"/>
                <w:color w:val="000000" w:themeColor="text1"/>
                <w:szCs w:val="21"/>
                <w:highlight w:val="none"/>
                <w:lang w:eastAsia="zh-CN"/>
              </w:rPr>
              <w:t>（</w:t>
            </w:r>
            <w:r>
              <w:rPr>
                <w:rFonts w:hint="eastAsia" w:ascii="宋体" w:hAnsi="宋体"/>
                <w:b w:val="0"/>
                <w:bCs w:val="0"/>
                <w:color w:val="000000" w:themeColor="text1"/>
                <w:szCs w:val="21"/>
                <w:highlight w:val="none"/>
                <w:lang w:val="en-US" w:eastAsia="zh-CN"/>
              </w:rPr>
              <w:t>提供《投标函》承诺</w:t>
            </w:r>
            <w:r>
              <w:rPr>
                <w:rFonts w:hint="eastAsia" w:ascii="宋体" w:hAnsi="宋体"/>
                <w:b w:val="0"/>
                <w:bCs w:val="0"/>
                <w:color w:val="000000" w:themeColor="text1"/>
                <w:szCs w:val="21"/>
                <w:highlight w:val="none"/>
                <w:lang w:eastAsia="zh-CN"/>
              </w:rPr>
              <w:t>）</w:t>
            </w:r>
          </w:p>
        </w:tc>
        <w:tc>
          <w:tcPr>
            <w:tcW w:w="1785" w:type="dxa"/>
            <w:vAlign w:val="center"/>
          </w:tcPr>
          <w:p w14:paraId="0AD966AF">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b/>
                <w:bCs/>
                <w:color w:val="000000" w:themeColor="text1"/>
                <w:szCs w:val="21"/>
                <w:highlight w:val="none"/>
              </w:rPr>
            </w:pPr>
          </w:p>
        </w:tc>
        <w:tc>
          <w:tcPr>
            <w:tcW w:w="2421" w:type="dxa"/>
            <w:vAlign w:val="center"/>
          </w:tcPr>
          <w:p w14:paraId="534C029C">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7CC729AE">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14:paraId="654B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09" w:type="dxa"/>
            <w:vMerge w:val="continue"/>
            <w:vAlign w:val="center"/>
          </w:tcPr>
          <w:p w14:paraId="1542A1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000000" w:themeColor="text1"/>
                <w:highlight w:val="none"/>
              </w:rPr>
            </w:pPr>
          </w:p>
        </w:tc>
        <w:tc>
          <w:tcPr>
            <w:tcW w:w="1125" w:type="dxa"/>
            <w:vMerge w:val="continue"/>
            <w:vAlign w:val="center"/>
          </w:tcPr>
          <w:p w14:paraId="239D2C0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000000" w:themeColor="text1"/>
                <w:highlight w:val="none"/>
              </w:rPr>
            </w:pPr>
          </w:p>
        </w:tc>
        <w:tc>
          <w:tcPr>
            <w:tcW w:w="3886" w:type="dxa"/>
            <w:vAlign w:val="center"/>
          </w:tcPr>
          <w:p w14:paraId="4B5A67BB">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hAnsi="宋体"/>
                <w:b w:val="0"/>
                <w:bCs w:val="0"/>
                <w:color w:val="000000" w:themeColor="text1"/>
                <w:szCs w:val="21"/>
                <w:highlight w:val="none"/>
              </w:rPr>
            </w:pPr>
            <w:r>
              <w:rPr>
                <w:rFonts w:hint="eastAsia" w:ascii="宋体" w:hAnsi="宋体"/>
                <w:b w:val="0"/>
                <w:bCs w:val="0"/>
                <w:color w:val="000000" w:themeColor="text1"/>
                <w:szCs w:val="21"/>
                <w:highlight w:val="none"/>
              </w:rPr>
              <w:t>单位负责人为同一人或者存在直接控股、管理关系的不同供应商，不得参加同一合同项下的政府采购活动</w:t>
            </w:r>
            <w:r>
              <w:rPr>
                <w:rFonts w:hint="eastAsia" w:ascii="宋体" w:hAnsi="宋体"/>
                <w:b w:val="0"/>
                <w:bCs w:val="0"/>
                <w:color w:val="000000" w:themeColor="text1"/>
                <w:szCs w:val="21"/>
                <w:highlight w:val="none"/>
                <w:lang w:val="en-US" w:eastAsia="zh-CN"/>
              </w:rPr>
              <w:t>；</w:t>
            </w:r>
            <w:r>
              <w:rPr>
                <w:rFonts w:hint="eastAsia" w:ascii="宋体" w:hAnsi="宋体"/>
                <w:b w:val="0"/>
                <w:bCs w:val="0"/>
                <w:color w:val="000000" w:themeColor="text1"/>
                <w:szCs w:val="21"/>
                <w:highlight w:val="none"/>
                <w:lang w:eastAsia="zh-CN"/>
              </w:rPr>
              <w:t>（</w:t>
            </w:r>
            <w:r>
              <w:rPr>
                <w:rFonts w:hint="eastAsia" w:ascii="宋体" w:hAnsi="宋体"/>
                <w:b w:val="0"/>
                <w:bCs w:val="0"/>
                <w:color w:val="000000" w:themeColor="text1"/>
                <w:szCs w:val="21"/>
                <w:highlight w:val="none"/>
                <w:lang w:val="en-US" w:eastAsia="zh-CN"/>
              </w:rPr>
              <w:t>提供《投标函》承诺</w:t>
            </w:r>
            <w:r>
              <w:rPr>
                <w:rFonts w:hint="eastAsia" w:ascii="宋体" w:hAnsi="宋体"/>
                <w:b w:val="0"/>
                <w:bCs w:val="0"/>
                <w:color w:val="000000" w:themeColor="text1"/>
                <w:szCs w:val="21"/>
                <w:highlight w:val="none"/>
                <w:lang w:eastAsia="zh-CN"/>
              </w:rPr>
              <w:t>）</w:t>
            </w:r>
          </w:p>
        </w:tc>
        <w:tc>
          <w:tcPr>
            <w:tcW w:w="1785" w:type="dxa"/>
            <w:vAlign w:val="center"/>
          </w:tcPr>
          <w:p w14:paraId="6ED1B842">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b w:val="0"/>
                <w:bCs w:val="0"/>
                <w:color w:val="000000" w:themeColor="text1"/>
                <w:szCs w:val="21"/>
                <w:highlight w:val="none"/>
              </w:rPr>
            </w:pPr>
          </w:p>
        </w:tc>
        <w:tc>
          <w:tcPr>
            <w:tcW w:w="2421" w:type="dxa"/>
            <w:vAlign w:val="center"/>
          </w:tcPr>
          <w:p w14:paraId="0EAB2969">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294F4A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14:paraId="6EED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9" w:type="dxa"/>
            <w:vMerge w:val="continue"/>
            <w:vAlign w:val="center"/>
          </w:tcPr>
          <w:p w14:paraId="783F0945">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color w:val="000000" w:themeColor="text1"/>
                <w:szCs w:val="21"/>
                <w:highlight w:val="none"/>
              </w:rPr>
            </w:pPr>
          </w:p>
        </w:tc>
        <w:tc>
          <w:tcPr>
            <w:tcW w:w="1125" w:type="dxa"/>
            <w:vMerge w:val="continue"/>
            <w:vAlign w:val="center"/>
          </w:tcPr>
          <w:p w14:paraId="6A024B20">
            <w:pPr>
              <w:keepNext w:val="0"/>
              <w:keepLines w:val="0"/>
              <w:pageBreakBefore w:val="0"/>
              <w:widowControl w:val="0"/>
              <w:tabs>
                <w:tab w:val="left" w:pos="146"/>
              </w:tabs>
              <w:kinsoku/>
              <w:wordWrap/>
              <w:overflowPunct/>
              <w:topLinePunct w:val="0"/>
              <w:autoSpaceDE/>
              <w:autoSpaceDN/>
              <w:bidi w:val="0"/>
              <w:adjustRightInd/>
              <w:snapToGrid/>
              <w:spacing w:line="320" w:lineRule="exact"/>
              <w:ind w:left="146"/>
              <w:textAlignment w:val="auto"/>
              <w:rPr>
                <w:rFonts w:ascii="宋体" w:hAnsi="宋体"/>
                <w:color w:val="000000" w:themeColor="text1"/>
                <w:szCs w:val="21"/>
                <w:highlight w:val="none"/>
              </w:rPr>
            </w:pPr>
          </w:p>
        </w:tc>
        <w:tc>
          <w:tcPr>
            <w:tcW w:w="3886" w:type="dxa"/>
            <w:vAlign w:val="center"/>
          </w:tcPr>
          <w:p w14:paraId="45536E2E">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hAnsi="宋体"/>
                <w:color w:val="000000" w:themeColor="text1"/>
                <w:szCs w:val="21"/>
                <w:highlight w:val="none"/>
              </w:rPr>
            </w:pPr>
            <w:r>
              <w:rPr>
                <w:rFonts w:hint="eastAsia" w:ascii="宋体" w:hAnsi="宋体"/>
                <w:color w:val="000000" w:themeColor="text1"/>
                <w:szCs w:val="21"/>
                <w:highlight w:val="none"/>
                <w:lang w:val="en-US" w:eastAsia="zh-CN"/>
              </w:rPr>
              <w:t>投标人</w:t>
            </w:r>
            <w:r>
              <w:rPr>
                <w:rFonts w:hint="eastAsia" w:ascii="宋体" w:hAnsi="宋体"/>
                <w:color w:val="000000" w:themeColor="text1"/>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785" w:type="dxa"/>
            <w:vAlign w:val="center"/>
          </w:tcPr>
          <w:p w14:paraId="48AF0DDB">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color w:val="000000" w:themeColor="text1"/>
                <w:szCs w:val="21"/>
                <w:highlight w:val="none"/>
              </w:rPr>
            </w:pPr>
          </w:p>
        </w:tc>
        <w:tc>
          <w:tcPr>
            <w:tcW w:w="2421" w:type="dxa"/>
            <w:vAlign w:val="center"/>
          </w:tcPr>
          <w:p w14:paraId="23D2D5BE">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35206F3C">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rPr>
            </w:pPr>
            <w:r>
              <w:rPr>
                <w:rFonts w:hint="eastAsia" w:ascii="宋体" w:hAnsi="宋体"/>
                <w:color w:val="000000" w:themeColor="text1"/>
                <w:szCs w:val="21"/>
                <w:highlight w:val="none"/>
              </w:rPr>
              <w:t>第（  ）页</w:t>
            </w:r>
          </w:p>
        </w:tc>
      </w:tr>
      <w:tr w14:paraId="60BB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09" w:type="dxa"/>
            <w:vMerge w:val="continue"/>
            <w:vAlign w:val="center"/>
          </w:tcPr>
          <w:p w14:paraId="78B32E5E">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color w:val="000000" w:themeColor="text1"/>
                <w:szCs w:val="21"/>
                <w:highlight w:val="none"/>
              </w:rPr>
            </w:pPr>
          </w:p>
        </w:tc>
        <w:tc>
          <w:tcPr>
            <w:tcW w:w="1125" w:type="dxa"/>
            <w:vMerge w:val="continue"/>
            <w:vAlign w:val="center"/>
          </w:tcPr>
          <w:p w14:paraId="17E07846">
            <w:pPr>
              <w:keepNext w:val="0"/>
              <w:keepLines w:val="0"/>
              <w:pageBreakBefore w:val="0"/>
              <w:widowControl w:val="0"/>
              <w:tabs>
                <w:tab w:val="left" w:pos="146"/>
              </w:tabs>
              <w:kinsoku/>
              <w:wordWrap/>
              <w:overflowPunct/>
              <w:topLinePunct w:val="0"/>
              <w:autoSpaceDE/>
              <w:autoSpaceDN/>
              <w:bidi w:val="0"/>
              <w:adjustRightInd/>
              <w:snapToGrid/>
              <w:spacing w:line="320" w:lineRule="exact"/>
              <w:ind w:left="146"/>
              <w:textAlignment w:val="auto"/>
              <w:rPr>
                <w:rFonts w:ascii="宋体" w:hAnsi="宋体"/>
                <w:color w:val="000000" w:themeColor="text1"/>
                <w:szCs w:val="21"/>
                <w:highlight w:val="none"/>
              </w:rPr>
            </w:pPr>
          </w:p>
        </w:tc>
        <w:tc>
          <w:tcPr>
            <w:tcW w:w="3886" w:type="dxa"/>
            <w:vAlign w:val="center"/>
          </w:tcPr>
          <w:p w14:paraId="6D3240CA">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投标人必须具备有效的《食品经营许可证》（提供复印件加盖投标人公章）。</w:t>
            </w:r>
          </w:p>
        </w:tc>
        <w:tc>
          <w:tcPr>
            <w:tcW w:w="1785" w:type="dxa"/>
            <w:vAlign w:val="center"/>
          </w:tcPr>
          <w:p w14:paraId="7B75662E">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color w:val="000000" w:themeColor="text1"/>
                <w:szCs w:val="21"/>
                <w:highlight w:val="none"/>
              </w:rPr>
            </w:pPr>
          </w:p>
        </w:tc>
        <w:tc>
          <w:tcPr>
            <w:tcW w:w="2421" w:type="dxa"/>
            <w:vAlign w:val="center"/>
          </w:tcPr>
          <w:p w14:paraId="437C0992">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7D0BD5AD">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14:paraId="4ECD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09" w:type="dxa"/>
            <w:vMerge w:val="continue"/>
            <w:vAlign w:val="center"/>
          </w:tcPr>
          <w:p w14:paraId="442AAB74">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color w:val="000000" w:themeColor="text1"/>
                <w:szCs w:val="21"/>
                <w:highlight w:val="none"/>
              </w:rPr>
            </w:pPr>
          </w:p>
        </w:tc>
        <w:tc>
          <w:tcPr>
            <w:tcW w:w="1125" w:type="dxa"/>
            <w:vMerge w:val="continue"/>
            <w:vAlign w:val="center"/>
          </w:tcPr>
          <w:p w14:paraId="234C79AA">
            <w:pPr>
              <w:keepNext w:val="0"/>
              <w:keepLines w:val="0"/>
              <w:pageBreakBefore w:val="0"/>
              <w:widowControl w:val="0"/>
              <w:tabs>
                <w:tab w:val="left" w:pos="146"/>
              </w:tabs>
              <w:kinsoku/>
              <w:wordWrap/>
              <w:overflowPunct/>
              <w:topLinePunct w:val="0"/>
              <w:autoSpaceDE/>
              <w:autoSpaceDN/>
              <w:bidi w:val="0"/>
              <w:adjustRightInd/>
              <w:snapToGrid/>
              <w:spacing w:line="320" w:lineRule="exact"/>
              <w:ind w:left="146"/>
              <w:textAlignment w:val="auto"/>
              <w:rPr>
                <w:rFonts w:ascii="宋体" w:hAnsi="宋体"/>
                <w:color w:val="000000" w:themeColor="text1"/>
                <w:szCs w:val="21"/>
                <w:highlight w:val="none"/>
              </w:rPr>
            </w:pPr>
          </w:p>
        </w:tc>
        <w:tc>
          <w:tcPr>
            <w:tcW w:w="3886" w:type="dxa"/>
            <w:vAlign w:val="center"/>
          </w:tcPr>
          <w:p w14:paraId="17BE2B9A">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hint="eastAsia" w:ascii="宋体" w:hAnsi="宋体"/>
                <w:color w:val="000000" w:themeColor="text1"/>
                <w:highlight w:val="none"/>
              </w:rPr>
            </w:pPr>
            <w:r>
              <w:rPr>
                <w:rFonts w:hint="eastAsia" w:ascii="宋体" w:hAnsi="宋体"/>
                <w:color w:val="000000" w:themeColor="text1"/>
                <w:highlight w:val="none"/>
                <w:lang w:val="en-US" w:eastAsia="zh-CN"/>
              </w:rPr>
              <w:t>经营场所、仓库距离粪坑、污水池、暴露垃圾场（站）、旱厕等污染源25米以上，不得设置在粉尘、有害气体、放射性物质和其他扩散性污染源的影响范围之内。（提供承诺函，格式自拟）</w:t>
            </w:r>
          </w:p>
        </w:tc>
        <w:tc>
          <w:tcPr>
            <w:tcW w:w="1785" w:type="dxa"/>
            <w:vAlign w:val="center"/>
          </w:tcPr>
          <w:p w14:paraId="0078C1DD">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color w:val="000000" w:themeColor="text1"/>
                <w:szCs w:val="21"/>
                <w:highlight w:val="none"/>
              </w:rPr>
            </w:pPr>
          </w:p>
        </w:tc>
        <w:tc>
          <w:tcPr>
            <w:tcW w:w="2421" w:type="dxa"/>
            <w:vAlign w:val="center"/>
          </w:tcPr>
          <w:p w14:paraId="63062CDC">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2DEA3B7F">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14:paraId="0934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09" w:type="dxa"/>
            <w:vMerge w:val="continue"/>
            <w:vAlign w:val="center"/>
          </w:tcPr>
          <w:p w14:paraId="4C20F33D">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color w:val="000000" w:themeColor="text1"/>
                <w:szCs w:val="21"/>
                <w:highlight w:val="none"/>
              </w:rPr>
            </w:pPr>
          </w:p>
        </w:tc>
        <w:tc>
          <w:tcPr>
            <w:tcW w:w="1125" w:type="dxa"/>
            <w:vMerge w:val="continue"/>
            <w:vAlign w:val="center"/>
          </w:tcPr>
          <w:p w14:paraId="119FF634">
            <w:pPr>
              <w:keepNext w:val="0"/>
              <w:keepLines w:val="0"/>
              <w:pageBreakBefore w:val="0"/>
              <w:widowControl w:val="0"/>
              <w:tabs>
                <w:tab w:val="left" w:pos="146"/>
              </w:tabs>
              <w:kinsoku/>
              <w:wordWrap/>
              <w:overflowPunct/>
              <w:topLinePunct w:val="0"/>
              <w:autoSpaceDE/>
              <w:autoSpaceDN/>
              <w:bidi w:val="0"/>
              <w:adjustRightInd/>
              <w:snapToGrid/>
              <w:spacing w:line="320" w:lineRule="exact"/>
              <w:ind w:left="146"/>
              <w:textAlignment w:val="auto"/>
              <w:rPr>
                <w:rFonts w:ascii="宋体" w:hAnsi="宋体"/>
                <w:color w:val="000000" w:themeColor="text1"/>
                <w:szCs w:val="21"/>
                <w:highlight w:val="none"/>
              </w:rPr>
            </w:pPr>
          </w:p>
        </w:tc>
        <w:tc>
          <w:tcPr>
            <w:tcW w:w="3886" w:type="dxa"/>
            <w:vAlign w:val="center"/>
          </w:tcPr>
          <w:p w14:paraId="1574CAF9">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hint="eastAsia" w:ascii="宋体" w:hAnsi="宋体"/>
                <w:color w:val="000000" w:themeColor="text1"/>
                <w:highlight w:val="none"/>
                <w:lang w:val="en-US" w:eastAsia="zh-CN"/>
              </w:rPr>
            </w:pPr>
            <w:r>
              <w:rPr>
                <w:rFonts w:hint="eastAsia" w:ascii="宋体" w:hAnsi="宋体"/>
                <w:color w:val="000000" w:themeColor="text1"/>
                <w:highlight w:val="none"/>
                <w:lang w:val="en-US" w:eastAsia="zh-CN"/>
              </w:rPr>
              <w:t>建立良好的食品安全管理体系，建立食品安全管理架构和相关食品安全管理制度，建立“日管控、周排查、月调度”食品安全自查制度，食品采购、贮存、加工、运输符合相关法律法规要求。（提供《承诺函》，格式自拟）</w:t>
            </w:r>
          </w:p>
        </w:tc>
        <w:tc>
          <w:tcPr>
            <w:tcW w:w="1785" w:type="dxa"/>
            <w:vAlign w:val="center"/>
          </w:tcPr>
          <w:p w14:paraId="5345A8DB">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color w:val="000000" w:themeColor="text1"/>
                <w:szCs w:val="21"/>
                <w:highlight w:val="none"/>
              </w:rPr>
            </w:pPr>
          </w:p>
        </w:tc>
        <w:tc>
          <w:tcPr>
            <w:tcW w:w="2421" w:type="dxa"/>
            <w:vAlign w:val="center"/>
          </w:tcPr>
          <w:p w14:paraId="7EC2AC57">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2F0270CA">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14:paraId="2A3A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09" w:type="dxa"/>
            <w:vMerge w:val="continue"/>
            <w:vAlign w:val="center"/>
          </w:tcPr>
          <w:p w14:paraId="66DB55EC">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color w:val="000000" w:themeColor="text1"/>
                <w:szCs w:val="21"/>
                <w:highlight w:val="none"/>
              </w:rPr>
            </w:pPr>
          </w:p>
        </w:tc>
        <w:tc>
          <w:tcPr>
            <w:tcW w:w="1125" w:type="dxa"/>
            <w:vMerge w:val="continue"/>
            <w:vAlign w:val="center"/>
          </w:tcPr>
          <w:p w14:paraId="4C2F8A07">
            <w:pPr>
              <w:keepNext w:val="0"/>
              <w:keepLines w:val="0"/>
              <w:pageBreakBefore w:val="0"/>
              <w:widowControl w:val="0"/>
              <w:tabs>
                <w:tab w:val="left" w:pos="146"/>
              </w:tabs>
              <w:kinsoku/>
              <w:wordWrap/>
              <w:overflowPunct/>
              <w:topLinePunct w:val="0"/>
              <w:autoSpaceDE/>
              <w:autoSpaceDN/>
              <w:bidi w:val="0"/>
              <w:adjustRightInd/>
              <w:snapToGrid/>
              <w:spacing w:line="320" w:lineRule="exact"/>
              <w:ind w:left="146"/>
              <w:textAlignment w:val="auto"/>
              <w:rPr>
                <w:rFonts w:ascii="宋体" w:hAnsi="宋体"/>
                <w:color w:val="000000" w:themeColor="text1"/>
                <w:szCs w:val="21"/>
                <w:highlight w:val="none"/>
              </w:rPr>
            </w:pPr>
          </w:p>
        </w:tc>
        <w:tc>
          <w:tcPr>
            <w:tcW w:w="3886" w:type="dxa"/>
            <w:vAlign w:val="center"/>
          </w:tcPr>
          <w:p w14:paraId="0BF8CA06">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hint="eastAsia" w:ascii="宋体" w:hAnsi="宋体"/>
                <w:color w:val="000000" w:themeColor="text1"/>
                <w:highlight w:val="none"/>
                <w:lang w:val="en-US" w:eastAsia="zh-CN"/>
              </w:rPr>
            </w:pPr>
            <w:r>
              <w:rPr>
                <w:rFonts w:hint="eastAsia" w:ascii="宋体" w:hAnsi="宋体"/>
                <w:color w:val="000000" w:themeColor="text1"/>
                <w:highlight w:val="none"/>
                <w:lang w:val="en-US" w:eastAsia="zh-CN"/>
              </w:rPr>
              <w:t>建有监控系统，能够保存15天或以上的食品贮存、加工过程视频监控。（提供承诺函，格式自拟）</w:t>
            </w:r>
          </w:p>
        </w:tc>
        <w:tc>
          <w:tcPr>
            <w:tcW w:w="1785" w:type="dxa"/>
            <w:vAlign w:val="center"/>
          </w:tcPr>
          <w:p w14:paraId="25FB6A74">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color w:val="000000" w:themeColor="text1"/>
                <w:szCs w:val="21"/>
                <w:highlight w:val="none"/>
              </w:rPr>
            </w:pPr>
          </w:p>
        </w:tc>
        <w:tc>
          <w:tcPr>
            <w:tcW w:w="2421" w:type="dxa"/>
            <w:vAlign w:val="center"/>
          </w:tcPr>
          <w:p w14:paraId="1809EF60">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5287FBA3">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14:paraId="703F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9" w:type="dxa"/>
            <w:vMerge w:val="continue"/>
            <w:vAlign w:val="center"/>
          </w:tcPr>
          <w:p w14:paraId="21C24768">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color w:val="000000" w:themeColor="text1"/>
                <w:szCs w:val="21"/>
                <w:highlight w:val="none"/>
              </w:rPr>
            </w:pPr>
          </w:p>
        </w:tc>
        <w:tc>
          <w:tcPr>
            <w:tcW w:w="1125" w:type="dxa"/>
            <w:vMerge w:val="continue"/>
            <w:vAlign w:val="center"/>
          </w:tcPr>
          <w:p w14:paraId="5F748810">
            <w:pPr>
              <w:keepNext w:val="0"/>
              <w:keepLines w:val="0"/>
              <w:pageBreakBefore w:val="0"/>
              <w:widowControl w:val="0"/>
              <w:tabs>
                <w:tab w:val="left" w:pos="146"/>
              </w:tabs>
              <w:kinsoku/>
              <w:wordWrap/>
              <w:overflowPunct/>
              <w:topLinePunct w:val="0"/>
              <w:autoSpaceDE/>
              <w:autoSpaceDN/>
              <w:bidi w:val="0"/>
              <w:adjustRightInd/>
              <w:snapToGrid/>
              <w:spacing w:line="320" w:lineRule="exact"/>
              <w:ind w:left="146"/>
              <w:textAlignment w:val="auto"/>
              <w:rPr>
                <w:rFonts w:ascii="宋体" w:hAnsi="宋体"/>
                <w:color w:val="000000" w:themeColor="text1"/>
                <w:szCs w:val="21"/>
                <w:highlight w:val="none"/>
              </w:rPr>
            </w:pPr>
          </w:p>
        </w:tc>
        <w:tc>
          <w:tcPr>
            <w:tcW w:w="3886" w:type="dxa"/>
            <w:vAlign w:val="center"/>
          </w:tcPr>
          <w:p w14:paraId="5D8D88FB">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本项目整体专门面向中小企业采购（本项目所属行业：批发业）</w:t>
            </w:r>
          </w:p>
        </w:tc>
        <w:tc>
          <w:tcPr>
            <w:tcW w:w="1785" w:type="dxa"/>
            <w:vAlign w:val="center"/>
          </w:tcPr>
          <w:p w14:paraId="61E589D2">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color w:val="000000" w:themeColor="text1"/>
                <w:szCs w:val="21"/>
                <w:highlight w:val="none"/>
              </w:rPr>
            </w:pPr>
          </w:p>
        </w:tc>
        <w:tc>
          <w:tcPr>
            <w:tcW w:w="2421" w:type="dxa"/>
            <w:vAlign w:val="center"/>
          </w:tcPr>
          <w:p w14:paraId="5643A7B8">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43003629">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14:paraId="678E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9" w:type="dxa"/>
            <w:vMerge w:val="continue"/>
            <w:vAlign w:val="center"/>
          </w:tcPr>
          <w:p w14:paraId="35E50E46">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color w:val="000000" w:themeColor="text1"/>
                <w:szCs w:val="21"/>
                <w:highlight w:val="none"/>
              </w:rPr>
            </w:pPr>
          </w:p>
        </w:tc>
        <w:tc>
          <w:tcPr>
            <w:tcW w:w="1125" w:type="dxa"/>
            <w:vAlign w:val="center"/>
          </w:tcPr>
          <w:p w14:paraId="3D33EE9C">
            <w:pPr>
              <w:keepNext w:val="0"/>
              <w:keepLines w:val="0"/>
              <w:pageBreakBefore w:val="0"/>
              <w:widowControl w:val="0"/>
              <w:tabs>
                <w:tab w:val="left" w:pos="146"/>
              </w:tabs>
              <w:kinsoku/>
              <w:wordWrap/>
              <w:overflowPunct/>
              <w:topLinePunct w:val="0"/>
              <w:autoSpaceDE/>
              <w:autoSpaceDN/>
              <w:bidi w:val="0"/>
              <w:adjustRightInd/>
              <w:snapToGrid/>
              <w:spacing w:line="320" w:lineRule="exact"/>
              <w:textAlignment w:val="auto"/>
              <w:rPr>
                <w:rFonts w:ascii="宋体" w:hAnsi="宋体"/>
                <w:b/>
                <w:bCs/>
                <w:color w:val="000000" w:themeColor="text1"/>
                <w:szCs w:val="21"/>
                <w:highlight w:val="none"/>
              </w:rPr>
            </w:pPr>
            <w:r>
              <w:rPr>
                <w:rFonts w:hint="eastAsia" w:ascii="宋体" w:hAnsi="宋体"/>
                <w:color w:val="000000" w:themeColor="text1"/>
                <w:szCs w:val="21"/>
                <w:highlight w:val="none"/>
              </w:rPr>
              <w:t>不接受联合体投标</w:t>
            </w:r>
          </w:p>
        </w:tc>
        <w:tc>
          <w:tcPr>
            <w:tcW w:w="3886" w:type="dxa"/>
            <w:vAlign w:val="center"/>
          </w:tcPr>
          <w:p w14:paraId="540B52FE">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hAnsi="宋体"/>
                <w:b/>
                <w:bCs/>
                <w:color w:val="000000" w:themeColor="text1"/>
                <w:szCs w:val="21"/>
                <w:highlight w:val="none"/>
              </w:rPr>
            </w:pPr>
            <w:r>
              <w:rPr>
                <w:rFonts w:hint="eastAsia" w:ascii="宋体" w:hAnsi="宋体"/>
                <w:color w:val="000000" w:themeColor="text1"/>
                <w:szCs w:val="21"/>
                <w:highlight w:val="none"/>
              </w:rPr>
              <w:t>按招标文件要求</w:t>
            </w:r>
          </w:p>
        </w:tc>
        <w:tc>
          <w:tcPr>
            <w:tcW w:w="1785" w:type="dxa"/>
            <w:vAlign w:val="center"/>
          </w:tcPr>
          <w:p w14:paraId="35C61D2A">
            <w:pPr>
              <w:keepNext w:val="0"/>
              <w:keepLines w:val="0"/>
              <w:pageBreakBefore w:val="0"/>
              <w:widowControl w:val="0"/>
              <w:tabs>
                <w:tab w:val="left" w:pos="480"/>
              </w:tabs>
              <w:kinsoku/>
              <w:wordWrap/>
              <w:overflowPunct/>
              <w:topLinePunct w:val="0"/>
              <w:autoSpaceDE/>
              <w:autoSpaceDN/>
              <w:bidi w:val="0"/>
              <w:adjustRightInd/>
              <w:snapToGrid/>
              <w:spacing w:line="320" w:lineRule="exact"/>
              <w:ind w:left="-107" w:leftChars="-51" w:firstLine="106"/>
              <w:textAlignment w:val="auto"/>
              <w:rPr>
                <w:rFonts w:ascii="宋体" w:hAnsi="宋体"/>
                <w:b/>
                <w:bCs/>
                <w:color w:val="000000" w:themeColor="text1"/>
                <w:szCs w:val="21"/>
                <w:highlight w:val="none"/>
              </w:rPr>
            </w:pPr>
          </w:p>
        </w:tc>
        <w:tc>
          <w:tcPr>
            <w:tcW w:w="2421" w:type="dxa"/>
            <w:vAlign w:val="center"/>
          </w:tcPr>
          <w:p w14:paraId="04612196">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358B589E">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bl>
    <w:p w14:paraId="63873C90">
      <w:pPr>
        <w:tabs>
          <w:tab w:val="center" w:pos="4483"/>
        </w:tabs>
        <w:rPr>
          <w:rFonts w:ascii="宋体" w:hAnsi="宋体"/>
          <w:color w:val="000000" w:themeColor="text1"/>
          <w:szCs w:val="21"/>
          <w:highlight w:val="none"/>
        </w:rPr>
      </w:pPr>
      <w:r>
        <w:rPr>
          <w:rFonts w:hint="eastAsia" w:ascii="宋体" w:hAnsi="宋体"/>
          <w:color w:val="000000" w:themeColor="text1"/>
          <w:szCs w:val="21"/>
          <w:highlight w:val="none"/>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将会直接导致无效投标。</w:t>
      </w:r>
      <w:r>
        <w:rPr>
          <w:rFonts w:hint="eastAsia" w:ascii="宋体" w:hAnsi="宋体"/>
          <w:bCs/>
          <w:color w:val="000000" w:themeColor="text1"/>
          <w:szCs w:val="21"/>
          <w:highlight w:val="none"/>
        </w:rPr>
        <w:t>不能继续参与后续评标，有效投标人少于3家的将导致废标。废标后，除采购任务取消情形外，应当重新组织采购。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14:paraId="4A8B5C88">
      <w:pPr>
        <w:tabs>
          <w:tab w:val="center" w:pos="4483"/>
        </w:tabs>
        <w:ind w:left="525" w:leftChars="50" w:hanging="420" w:hangingChars="200"/>
        <w:rPr>
          <w:color w:val="000000" w:themeColor="text1"/>
          <w:szCs w:val="21"/>
          <w:highlight w:val="none"/>
        </w:rPr>
      </w:pPr>
      <w:r>
        <w:rPr>
          <w:rFonts w:ascii="宋体" w:hAnsi="宋体"/>
          <w:bCs/>
          <w:color w:val="000000" w:themeColor="text1"/>
          <w:szCs w:val="21"/>
          <w:highlight w:val="none"/>
        </w:rPr>
        <w:t xml:space="preserve">   </w:t>
      </w:r>
    </w:p>
    <w:p w14:paraId="5A575E60">
      <w:pPr>
        <w:adjustRightInd w:val="0"/>
        <w:snapToGrid w:val="0"/>
        <w:spacing w:line="300" w:lineRule="auto"/>
        <w:rPr>
          <w:rFonts w:hint="eastAsia"/>
          <w:color w:val="000000" w:themeColor="text1"/>
          <w:szCs w:val="21"/>
          <w:highlight w:val="none"/>
        </w:rPr>
      </w:pPr>
    </w:p>
    <w:p w14:paraId="7D518098">
      <w:pPr>
        <w:adjustRightInd w:val="0"/>
        <w:snapToGrid w:val="0"/>
        <w:spacing w:line="300" w:lineRule="auto"/>
        <w:rPr>
          <w:rFonts w:ascii="宋体" w:hAnsi="宋体"/>
          <w:color w:val="000000" w:themeColor="text1"/>
          <w:szCs w:val="21"/>
          <w:highlight w:val="none"/>
          <w:u w:val="singl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14:paraId="1C4DAC24">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投标人名称（签章）：</w:t>
      </w:r>
      <w:r>
        <w:rPr>
          <w:rFonts w:hint="eastAsia" w:ascii="宋体" w:hAnsi="宋体"/>
          <w:color w:val="000000" w:themeColor="text1"/>
          <w:szCs w:val="21"/>
          <w:highlight w:val="none"/>
          <w:u w:val="single"/>
        </w:rPr>
        <w:t xml:space="preserve">                            </w:t>
      </w:r>
    </w:p>
    <w:p w14:paraId="6D363DAE">
      <w:pPr>
        <w:adjustRightInd w:val="0"/>
        <w:snapToGrid w:val="0"/>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日期：   年   月   日</w:t>
      </w:r>
    </w:p>
    <w:p w14:paraId="66A4F17E">
      <w:pPr>
        <w:rPr>
          <w:rFonts w:hint="eastAsia"/>
          <w:color w:val="000000" w:themeColor="text1"/>
          <w:highlight w:val="none"/>
        </w:rPr>
      </w:pPr>
      <w:bookmarkStart w:id="1658" w:name="_Toc21470"/>
      <w:r>
        <w:rPr>
          <w:rFonts w:hint="eastAsia"/>
          <w:color w:val="000000" w:themeColor="text1"/>
          <w:highlight w:val="none"/>
        </w:rPr>
        <w:br w:type="page"/>
      </w:r>
    </w:p>
    <w:p w14:paraId="2EA59C1C">
      <w:pPr>
        <w:pStyle w:val="3"/>
        <w:numPr>
          <w:ilvl w:val="0"/>
          <w:numId w:val="0"/>
        </w:numPr>
        <w:rPr>
          <w:color w:val="000000" w:themeColor="text1"/>
          <w:highlight w:val="none"/>
        </w:rPr>
      </w:pPr>
      <w:bookmarkStart w:id="1659" w:name="_Toc27552"/>
      <w:r>
        <w:rPr>
          <w:rFonts w:hint="eastAsia"/>
          <w:color w:val="000000" w:themeColor="text1"/>
          <w:highlight w:val="none"/>
        </w:rPr>
        <w:t>（一）资格审查文件要求提交的有效证明文件</w:t>
      </w:r>
      <w:bookmarkEnd w:id="1658"/>
      <w:bookmarkEnd w:id="1659"/>
    </w:p>
    <w:p w14:paraId="2FF2A758">
      <w:pPr>
        <w:adjustRightInd w:val="0"/>
        <w:snapToGrid w:val="0"/>
        <w:spacing w:line="360" w:lineRule="auto"/>
        <w:jc w:val="left"/>
        <w:rPr>
          <w:rFonts w:ascii="宋体" w:hAnsi="宋体"/>
          <w:b/>
          <w:bCs/>
          <w:cap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14:paraId="50658C02">
      <w:pPr>
        <w:adjustRightInd w:val="0"/>
        <w:snapToGrid w:val="0"/>
        <w:spacing w:line="360" w:lineRule="auto"/>
        <w:ind w:left="1050" w:hanging="1050" w:hangingChars="500"/>
        <w:jc w:val="left"/>
        <w:rPr>
          <w:rFonts w:ascii="宋体" w:hAnsi="宋体"/>
          <w:bC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p>
    <w:p w14:paraId="15C0937F">
      <w:pPr>
        <w:pStyle w:val="5"/>
        <w:rPr>
          <w:color w:val="000000" w:themeColor="text1"/>
          <w:highlight w:val="none"/>
        </w:rPr>
      </w:pPr>
    </w:p>
    <w:p w14:paraId="206D7511">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合法有效的营业执照复印件加盖公章；</w:t>
      </w:r>
    </w:p>
    <w:p w14:paraId="2CED7122">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w:t>
      </w:r>
      <w:r>
        <w:rPr>
          <w:rFonts w:hint="eastAsia" w:ascii="宋体" w:hAnsi="宋体"/>
          <w:color w:val="000000" w:themeColor="text1"/>
          <w:szCs w:val="21"/>
          <w:highlight w:val="none"/>
          <w:lang w:eastAsia="zh-CN"/>
        </w:rPr>
        <w:t>.</w:t>
      </w:r>
      <w:r>
        <w:rPr>
          <w:rFonts w:hint="eastAsia" w:ascii="宋体" w:hAnsi="宋体"/>
          <w:color w:val="000000" w:themeColor="text1"/>
          <w:kern w:val="0"/>
          <w:szCs w:val="21"/>
          <w:highlight w:val="none"/>
        </w:rPr>
        <w:t>财务报表</w:t>
      </w:r>
      <w:r>
        <w:rPr>
          <w:rFonts w:hint="eastAsia" w:ascii="宋体" w:hAnsi="宋体"/>
          <w:color w:val="000000" w:themeColor="text1"/>
          <w:szCs w:val="21"/>
          <w:highlight w:val="none"/>
        </w:rPr>
        <w:t>复印件加盖公章；</w:t>
      </w:r>
    </w:p>
    <w:p w14:paraId="676D0D39">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3</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缴税证明复印件加盖公章；</w:t>
      </w:r>
    </w:p>
    <w:p w14:paraId="23B95234">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4</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社会保险证明复印件加盖公章；</w:t>
      </w:r>
    </w:p>
    <w:p w14:paraId="343A7616">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5</w:t>
      </w:r>
      <w:r>
        <w:rPr>
          <w:rFonts w:hint="eastAsia" w:ascii="宋体" w:hAnsi="宋体"/>
          <w:color w:val="000000" w:themeColor="text1"/>
          <w:szCs w:val="21"/>
          <w:highlight w:val="none"/>
          <w:lang w:eastAsia="zh-CN"/>
        </w:rPr>
        <w:t>.</w:t>
      </w:r>
      <w:r>
        <w:rPr>
          <w:rFonts w:hint="eastAsia" w:hAnsi="黑体"/>
          <w:color w:val="000000" w:themeColor="text1"/>
          <w:szCs w:val="21"/>
          <w:highlight w:val="none"/>
        </w:rPr>
        <w:t>无重大违法记录声明函</w:t>
      </w:r>
      <w:r>
        <w:rPr>
          <w:rFonts w:hint="eastAsia" w:ascii="宋体" w:hAnsi="宋体"/>
          <w:color w:val="000000" w:themeColor="text1"/>
          <w:szCs w:val="21"/>
          <w:highlight w:val="none"/>
        </w:rPr>
        <w:t>；</w:t>
      </w:r>
    </w:p>
    <w:p w14:paraId="37C48569">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6</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相关资质证明文件：</w:t>
      </w:r>
    </w:p>
    <w:p w14:paraId="0BB140E4">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7</w:t>
      </w:r>
      <w:r>
        <w:rPr>
          <w:rFonts w:hint="eastAsia" w:ascii="宋体" w:hAnsi="宋体"/>
          <w:color w:val="000000" w:themeColor="text1"/>
          <w:szCs w:val="21"/>
          <w:highlight w:val="none"/>
          <w:lang w:eastAsia="zh-CN"/>
        </w:rPr>
        <w:t>.</w:t>
      </w:r>
      <w:r>
        <w:rPr>
          <w:rFonts w:ascii="宋体" w:hAnsi="宋体"/>
          <w:color w:val="000000" w:themeColor="text1"/>
          <w:szCs w:val="21"/>
          <w:highlight w:val="none"/>
        </w:rPr>
        <w:t>………</w:t>
      </w:r>
    </w:p>
    <w:p w14:paraId="47E15364">
      <w:pPr>
        <w:pStyle w:val="5"/>
        <w:rPr>
          <w:rFonts w:hAnsi="宋体"/>
          <w:bCs/>
          <w:color w:val="000000" w:themeColor="text1"/>
          <w:sz w:val="21"/>
          <w:szCs w:val="21"/>
          <w:highlight w:val="none"/>
        </w:rPr>
      </w:pPr>
    </w:p>
    <w:p w14:paraId="4B789A76">
      <w:pPr>
        <w:pStyle w:val="5"/>
        <w:rPr>
          <w:rFonts w:hAnsi="宋体"/>
          <w:bCs/>
          <w:color w:val="000000" w:themeColor="text1"/>
          <w:sz w:val="21"/>
          <w:szCs w:val="21"/>
          <w:highlight w:val="none"/>
        </w:rPr>
      </w:pPr>
    </w:p>
    <w:p w14:paraId="0EEE40A5">
      <w:pPr>
        <w:pStyle w:val="5"/>
        <w:rPr>
          <w:rFonts w:hAnsi="宋体"/>
          <w:bCs/>
          <w:color w:val="000000" w:themeColor="text1"/>
          <w:sz w:val="21"/>
          <w:szCs w:val="21"/>
          <w:highlight w:val="none"/>
        </w:rPr>
      </w:pPr>
    </w:p>
    <w:p w14:paraId="28B5733C">
      <w:pPr>
        <w:pStyle w:val="5"/>
        <w:rPr>
          <w:rFonts w:hAnsi="宋体"/>
          <w:bCs/>
          <w:color w:val="000000" w:themeColor="text1"/>
          <w:sz w:val="21"/>
          <w:szCs w:val="21"/>
          <w:highlight w:val="none"/>
        </w:rPr>
      </w:pPr>
    </w:p>
    <w:p w14:paraId="2A871C04">
      <w:pPr>
        <w:pStyle w:val="5"/>
        <w:rPr>
          <w:rFonts w:hAnsi="宋体"/>
          <w:color w:val="000000" w:themeColor="text1"/>
          <w:sz w:val="21"/>
          <w:szCs w:val="21"/>
          <w:highlight w:val="none"/>
        </w:rPr>
      </w:pPr>
      <w:r>
        <w:rPr>
          <w:rFonts w:hint="eastAsia" w:hAnsi="宋体"/>
          <w:bCs/>
          <w:color w:val="000000" w:themeColor="text1"/>
          <w:sz w:val="21"/>
          <w:szCs w:val="21"/>
          <w:highlight w:val="none"/>
        </w:rPr>
        <w:t>提供招标文件要求的资格</w:t>
      </w:r>
      <w:r>
        <w:rPr>
          <w:rFonts w:hint="eastAsia" w:hAnsi="宋体"/>
          <w:color w:val="000000" w:themeColor="text1"/>
          <w:sz w:val="21"/>
          <w:szCs w:val="21"/>
          <w:highlight w:val="none"/>
        </w:rPr>
        <w:t>证明文件复印件加盖公章。</w:t>
      </w:r>
    </w:p>
    <w:p w14:paraId="101440D4">
      <w:pPr>
        <w:pStyle w:val="5"/>
        <w:rPr>
          <w:rFonts w:hAnsi="宋体"/>
          <w:color w:val="000000" w:themeColor="text1"/>
          <w:szCs w:val="21"/>
          <w:highlight w:val="none"/>
        </w:rPr>
      </w:pPr>
    </w:p>
    <w:p w14:paraId="3D35BF80">
      <w:pPr>
        <w:pStyle w:val="5"/>
        <w:rPr>
          <w:rFonts w:hAnsi="宋体"/>
          <w:color w:val="000000" w:themeColor="text1"/>
          <w:szCs w:val="21"/>
          <w:highlight w:val="none"/>
        </w:rPr>
      </w:pPr>
    </w:p>
    <w:p w14:paraId="17CC3D1E">
      <w:pPr>
        <w:pStyle w:val="5"/>
        <w:rPr>
          <w:rFonts w:hAnsi="宋体"/>
          <w:color w:val="000000" w:themeColor="text1"/>
          <w:szCs w:val="21"/>
          <w:highlight w:val="none"/>
        </w:rPr>
      </w:pPr>
    </w:p>
    <w:p w14:paraId="5BCD9FD7">
      <w:pPr>
        <w:pStyle w:val="5"/>
        <w:rPr>
          <w:rFonts w:hAnsi="宋体"/>
          <w:color w:val="000000" w:themeColor="text1"/>
          <w:szCs w:val="21"/>
          <w:highlight w:val="none"/>
        </w:rPr>
      </w:pPr>
    </w:p>
    <w:p w14:paraId="6D8FE529">
      <w:pPr>
        <w:pStyle w:val="5"/>
        <w:rPr>
          <w:rFonts w:hAnsi="宋体"/>
          <w:color w:val="000000" w:themeColor="text1"/>
          <w:szCs w:val="21"/>
          <w:highlight w:val="none"/>
        </w:rPr>
      </w:pPr>
    </w:p>
    <w:p w14:paraId="673D95DC">
      <w:pPr>
        <w:pStyle w:val="5"/>
        <w:rPr>
          <w:rFonts w:hAnsi="宋体"/>
          <w:color w:val="000000" w:themeColor="text1"/>
          <w:szCs w:val="21"/>
          <w:highlight w:val="none"/>
        </w:rPr>
      </w:pPr>
    </w:p>
    <w:p w14:paraId="0608E9AC">
      <w:pPr>
        <w:pStyle w:val="5"/>
        <w:rPr>
          <w:rFonts w:hAnsi="宋体"/>
          <w:color w:val="000000" w:themeColor="text1"/>
          <w:szCs w:val="21"/>
          <w:highlight w:val="none"/>
        </w:rPr>
      </w:pPr>
    </w:p>
    <w:p w14:paraId="0FDCB951">
      <w:pPr>
        <w:pStyle w:val="5"/>
        <w:rPr>
          <w:rFonts w:hAnsi="宋体"/>
          <w:color w:val="000000" w:themeColor="text1"/>
          <w:szCs w:val="21"/>
          <w:highlight w:val="none"/>
        </w:rPr>
      </w:pPr>
    </w:p>
    <w:p w14:paraId="5EC5EF05">
      <w:pPr>
        <w:pStyle w:val="5"/>
        <w:rPr>
          <w:rFonts w:hAnsi="宋体"/>
          <w:color w:val="000000" w:themeColor="text1"/>
          <w:szCs w:val="21"/>
          <w:highlight w:val="none"/>
        </w:rPr>
      </w:pPr>
    </w:p>
    <w:p w14:paraId="503F6069">
      <w:pPr>
        <w:pStyle w:val="5"/>
        <w:rPr>
          <w:rFonts w:hAnsi="宋体"/>
          <w:color w:val="000000" w:themeColor="text1"/>
          <w:szCs w:val="21"/>
          <w:highlight w:val="none"/>
        </w:rPr>
      </w:pPr>
    </w:p>
    <w:p w14:paraId="588D551A">
      <w:pPr>
        <w:pStyle w:val="5"/>
        <w:rPr>
          <w:rFonts w:hAnsi="宋体"/>
          <w:color w:val="000000" w:themeColor="text1"/>
          <w:szCs w:val="21"/>
          <w:highlight w:val="none"/>
        </w:rPr>
      </w:pPr>
    </w:p>
    <w:p w14:paraId="36F934F8">
      <w:pPr>
        <w:pStyle w:val="5"/>
        <w:rPr>
          <w:rFonts w:hAnsi="宋体"/>
          <w:color w:val="000000" w:themeColor="text1"/>
          <w:szCs w:val="21"/>
          <w:highlight w:val="none"/>
        </w:rPr>
      </w:pPr>
    </w:p>
    <w:p w14:paraId="726A94A7">
      <w:pPr>
        <w:pStyle w:val="5"/>
        <w:rPr>
          <w:rFonts w:hAnsi="宋体"/>
          <w:color w:val="000000" w:themeColor="text1"/>
          <w:szCs w:val="21"/>
          <w:highlight w:val="none"/>
        </w:rPr>
      </w:pPr>
    </w:p>
    <w:p w14:paraId="123DB7C2">
      <w:pPr>
        <w:pStyle w:val="5"/>
        <w:rPr>
          <w:rFonts w:hAnsi="宋体"/>
          <w:color w:val="000000" w:themeColor="text1"/>
          <w:szCs w:val="21"/>
          <w:highlight w:val="none"/>
        </w:rPr>
      </w:pPr>
    </w:p>
    <w:p w14:paraId="5C9F58AF">
      <w:pPr>
        <w:pStyle w:val="5"/>
        <w:rPr>
          <w:rFonts w:hAnsi="宋体"/>
          <w:color w:val="000000" w:themeColor="text1"/>
          <w:szCs w:val="21"/>
          <w:highlight w:val="none"/>
        </w:rPr>
      </w:pPr>
    </w:p>
    <w:p w14:paraId="50228001">
      <w:pPr>
        <w:pStyle w:val="5"/>
        <w:rPr>
          <w:rFonts w:hAnsi="宋体"/>
          <w:color w:val="000000" w:themeColor="text1"/>
          <w:szCs w:val="21"/>
          <w:highlight w:val="none"/>
        </w:rPr>
      </w:pPr>
    </w:p>
    <w:p w14:paraId="34399B8F">
      <w:pPr>
        <w:pStyle w:val="3"/>
        <w:numPr>
          <w:ilvl w:val="0"/>
          <w:numId w:val="0"/>
        </w:numPr>
        <w:rPr>
          <w:rFonts w:hAnsi="黑体"/>
          <w:color w:val="000000" w:themeColor="text1"/>
          <w:szCs w:val="21"/>
          <w:highlight w:val="none"/>
        </w:rPr>
      </w:pPr>
      <w:bookmarkStart w:id="1660" w:name="_Toc26194"/>
      <w:bookmarkStart w:id="1661" w:name="_Toc30190"/>
      <w:r>
        <w:rPr>
          <w:rFonts w:hint="eastAsia" w:hAnsi="黑体"/>
          <w:color w:val="000000" w:themeColor="text1"/>
          <w:szCs w:val="21"/>
          <w:highlight w:val="none"/>
        </w:rPr>
        <w:t>（二）无重大违法记录声明函</w:t>
      </w:r>
      <w:bookmarkEnd w:id="1660"/>
      <w:bookmarkEnd w:id="1661"/>
    </w:p>
    <w:p w14:paraId="10706657">
      <w:pPr>
        <w:pStyle w:val="5"/>
        <w:spacing w:line="360" w:lineRule="auto"/>
        <w:ind w:left="420" w:firstLine="0"/>
        <w:rPr>
          <w:color w:val="000000" w:themeColor="text1"/>
          <w:highlight w:val="none"/>
        </w:rPr>
      </w:pPr>
    </w:p>
    <w:p w14:paraId="05FA4992">
      <w:pPr>
        <w:spacing w:line="360" w:lineRule="auto"/>
        <w:rPr>
          <w:color w:val="000000" w:themeColor="text1"/>
          <w:szCs w:val="21"/>
          <w:highlight w:val="none"/>
        </w:rPr>
      </w:pPr>
      <w:r>
        <w:rPr>
          <w:rFonts w:hint="eastAsia"/>
          <w:color w:val="000000" w:themeColor="text1"/>
          <w:szCs w:val="21"/>
          <w:highlight w:val="none"/>
        </w:rPr>
        <w:t>致广东业信采购招标有限公司：</w:t>
      </w:r>
    </w:p>
    <w:p w14:paraId="4307A778">
      <w:pPr>
        <w:adjustRightInd w:val="0"/>
        <w:snapToGrid w:val="0"/>
        <w:spacing w:line="360" w:lineRule="auto"/>
        <w:ind w:left="1050" w:hanging="1050" w:hangingChars="500"/>
        <w:jc w:val="left"/>
        <w:rPr>
          <w:rFonts w:ascii="宋体" w:hAnsi="宋体"/>
          <w:bCs/>
          <w:color w:val="000000" w:themeColor="text1"/>
          <w:highlight w:val="none"/>
          <w:u w:val="single"/>
        </w:rPr>
      </w:pPr>
      <w:r>
        <w:rPr>
          <w:rFonts w:hint="eastAsia"/>
          <w:color w:val="000000" w:themeColor="text1"/>
          <w:szCs w:val="21"/>
          <w:highlight w:val="none"/>
        </w:rPr>
        <w:t xml:space="preserve">    针对贵</w:t>
      </w:r>
      <w:r>
        <w:rPr>
          <w:rFonts w:hint="eastAsia" w:ascii="宋体" w:hAnsi="宋体"/>
          <w:color w:val="000000" w:themeColor="text1"/>
          <w:szCs w:val="21"/>
          <w:highlight w:val="none"/>
        </w:rPr>
        <w:t>方</w:t>
      </w:r>
      <w:r>
        <w:rPr>
          <w:rFonts w:hint="eastAsia"/>
          <w:color w:val="000000" w:themeColor="text1"/>
          <w:szCs w:val="21"/>
          <w:highlight w:val="none"/>
        </w:rPr>
        <w:t>组织的（项目名称：</w:t>
      </w:r>
      <w:r>
        <w:rPr>
          <w:rFonts w:hint="eastAsia"/>
          <w:color w:val="000000" w:themeColor="text1"/>
          <w:szCs w:val="21"/>
          <w:highlight w:val="none"/>
          <w:u w:val="single"/>
        </w:rPr>
        <w:t xml:space="preserve">                  </w:t>
      </w:r>
      <w:r>
        <w:rPr>
          <w:rFonts w:hint="eastAsia"/>
          <w:color w:val="000000" w:themeColor="text1"/>
          <w:szCs w:val="21"/>
          <w:highlight w:val="none"/>
        </w:rPr>
        <w:t>）（项目编号：</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u w:val="single"/>
          <w:lang w:val="en-US" w:eastAsia="zh-CN"/>
        </w:rPr>
        <w:t xml:space="preserve">   </w:t>
      </w:r>
      <w:r>
        <w:rPr>
          <w:rFonts w:hint="eastAsia" w:ascii="宋体" w:hAnsi="宋体"/>
          <w:bCs/>
          <w:color w:val="000000" w:themeColor="text1"/>
          <w:highlight w:val="none"/>
          <w:u w:val="single"/>
        </w:rPr>
        <w:t xml:space="preserve">   </w:t>
      </w:r>
      <w:r>
        <w:rPr>
          <w:rFonts w:hint="eastAsia"/>
          <w:color w:val="000000" w:themeColor="text1"/>
          <w:szCs w:val="21"/>
          <w:highlight w:val="none"/>
        </w:rPr>
        <w:t>），我方郑重承诺：</w:t>
      </w:r>
    </w:p>
    <w:p w14:paraId="746C7908">
      <w:pPr>
        <w:spacing w:line="360" w:lineRule="auto"/>
        <w:rPr>
          <w:color w:val="000000" w:themeColor="text1"/>
          <w:szCs w:val="21"/>
          <w:highlight w:val="none"/>
        </w:rPr>
      </w:pPr>
      <w:r>
        <w:rPr>
          <w:rFonts w:hint="eastAsia"/>
          <w:color w:val="000000" w:themeColor="text1"/>
          <w:szCs w:val="21"/>
          <w:highlight w:val="none"/>
        </w:rPr>
        <w:t xml:space="preserve">    参加本次政府采购活动前三年内，在经营活动中没有重大违法记录。</w:t>
      </w:r>
    </w:p>
    <w:p w14:paraId="409309BB">
      <w:pPr>
        <w:spacing w:line="360" w:lineRule="auto"/>
        <w:rPr>
          <w:color w:val="000000" w:themeColor="text1"/>
          <w:szCs w:val="21"/>
          <w:highlight w:val="none"/>
        </w:rPr>
      </w:pPr>
      <w:r>
        <w:rPr>
          <w:rFonts w:hint="eastAsia"/>
          <w:color w:val="000000" w:themeColor="text1"/>
          <w:szCs w:val="21"/>
          <w:highlight w:val="none"/>
        </w:rPr>
        <w:t xml:space="preserve">    本公司对上述声明的真实性负责。如有虚假，将依法承担相关责任。</w:t>
      </w:r>
    </w:p>
    <w:p w14:paraId="5B3A89B0">
      <w:pPr>
        <w:spacing w:line="360" w:lineRule="auto"/>
        <w:rPr>
          <w:color w:val="000000" w:themeColor="text1"/>
          <w:szCs w:val="21"/>
          <w:highlight w:val="none"/>
        </w:rPr>
      </w:pPr>
      <w:r>
        <w:rPr>
          <w:rFonts w:hint="eastAsia"/>
          <w:color w:val="000000" w:themeColor="text1"/>
          <w:szCs w:val="21"/>
          <w:highlight w:val="none"/>
        </w:rPr>
        <w:t xml:space="preserve">    特此声明。</w:t>
      </w:r>
    </w:p>
    <w:p w14:paraId="6F0342F8">
      <w:pPr>
        <w:spacing w:line="360" w:lineRule="auto"/>
        <w:ind w:firstLine="660"/>
        <w:rPr>
          <w:color w:val="000000" w:themeColor="text1"/>
          <w:szCs w:val="21"/>
          <w:highlight w:val="none"/>
        </w:rPr>
      </w:pPr>
    </w:p>
    <w:p w14:paraId="265A5612">
      <w:pPr>
        <w:spacing w:line="360" w:lineRule="auto"/>
        <w:ind w:firstLine="660"/>
        <w:rPr>
          <w:color w:val="000000" w:themeColor="text1"/>
          <w:szCs w:val="21"/>
          <w:highlight w:val="none"/>
        </w:rPr>
      </w:pPr>
    </w:p>
    <w:p w14:paraId="604E93FC">
      <w:pPr>
        <w:spacing w:line="360" w:lineRule="auto"/>
        <w:ind w:firstLine="660"/>
        <w:rPr>
          <w:color w:val="000000" w:themeColor="text1"/>
          <w:szCs w:val="21"/>
          <w:highlight w:val="none"/>
        </w:rPr>
      </w:pPr>
    </w:p>
    <w:p w14:paraId="6A369300">
      <w:pPr>
        <w:spacing w:line="360" w:lineRule="auto"/>
        <w:ind w:firstLine="660"/>
        <w:rPr>
          <w:color w:val="000000" w:themeColor="text1"/>
          <w:szCs w:val="21"/>
          <w:highlight w:val="none"/>
        </w:rPr>
      </w:pPr>
    </w:p>
    <w:p w14:paraId="73E4E88C">
      <w:pPr>
        <w:spacing w:line="360" w:lineRule="auto"/>
        <w:ind w:firstLine="660"/>
        <w:rPr>
          <w:color w:val="000000" w:themeColor="text1"/>
          <w:szCs w:val="21"/>
          <w:highlight w:val="none"/>
        </w:rPr>
      </w:pPr>
    </w:p>
    <w:p w14:paraId="3129FA14">
      <w:pPr>
        <w:spacing w:line="360" w:lineRule="auto"/>
        <w:ind w:firstLine="660"/>
        <w:rPr>
          <w:color w:val="000000" w:themeColor="text1"/>
          <w:szCs w:val="21"/>
          <w:highlight w:val="none"/>
        </w:rPr>
      </w:pPr>
    </w:p>
    <w:p w14:paraId="143798AC">
      <w:pPr>
        <w:spacing w:line="360" w:lineRule="auto"/>
        <w:ind w:firstLine="660"/>
        <w:rPr>
          <w:color w:val="000000" w:themeColor="text1"/>
          <w:szCs w:val="21"/>
          <w:highlight w:val="none"/>
        </w:rPr>
      </w:pPr>
    </w:p>
    <w:p w14:paraId="31C52079">
      <w:pPr>
        <w:spacing w:line="360" w:lineRule="auto"/>
        <w:ind w:firstLine="660"/>
        <w:rPr>
          <w:color w:val="000000" w:themeColor="text1"/>
          <w:szCs w:val="21"/>
          <w:highlight w:val="none"/>
        </w:rPr>
      </w:pPr>
    </w:p>
    <w:p w14:paraId="3847D547">
      <w:pPr>
        <w:spacing w:line="360" w:lineRule="auto"/>
        <w:ind w:firstLine="660"/>
        <w:rPr>
          <w:color w:val="000000" w:themeColor="text1"/>
          <w:szCs w:val="21"/>
          <w:highlight w:val="none"/>
        </w:rPr>
      </w:pPr>
    </w:p>
    <w:p w14:paraId="7253BBD0">
      <w:pPr>
        <w:spacing w:line="360" w:lineRule="auto"/>
        <w:ind w:firstLine="660"/>
        <w:rPr>
          <w:color w:val="000000" w:themeColor="text1"/>
          <w:szCs w:val="21"/>
          <w:highlight w:val="none"/>
        </w:rPr>
      </w:pPr>
    </w:p>
    <w:p w14:paraId="020720D5">
      <w:pPr>
        <w:spacing w:line="360" w:lineRule="auto"/>
        <w:ind w:firstLine="660"/>
        <w:rPr>
          <w:color w:val="000000" w:themeColor="text1"/>
          <w:szCs w:val="21"/>
          <w:highlight w:val="none"/>
        </w:rPr>
      </w:pPr>
    </w:p>
    <w:p w14:paraId="0803BEC4">
      <w:pPr>
        <w:spacing w:line="360" w:lineRule="auto"/>
        <w:ind w:firstLine="660"/>
        <w:rPr>
          <w:color w:val="000000" w:themeColor="text1"/>
          <w:szCs w:val="21"/>
          <w:highlight w:val="none"/>
        </w:rPr>
      </w:pPr>
    </w:p>
    <w:p w14:paraId="6DD9AEC3">
      <w:pPr>
        <w:spacing w:line="360" w:lineRule="auto"/>
        <w:ind w:firstLine="660"/>
        <w:rPr>
          <w:color w:val="000000" w:themeColor="text1"/>
          <w:szCs w:val="21"/>
          <w:highlight w:val="none"/>
        </w:rPr>
      </w:pPr>
    </w:p>
    <w:p w14:paraId="5309D684">
      <w:pPr>
        <w:spacing w:line="360" w:lineRule="auto"/>
        <w:ind w:firstLine="660"/>
        <w:rPr>
          <w:color w:val="000000" w:themeColor="text1"/>
          <w:szCs w:val="21"/>
          <w:highlight w:val="none"/>
        </w:rPr>
      </w:pPr>
    </w:p>
    <w:p w14:paraId="77DC6B58">
      <w:pPr>
        <w:spacing w:line="360" w:lineRule="auto"/>
        <w:rPr>
          <w:color w:val="000000" w:themeColor="text1"/>
          <w:szCs w:val="21"/>
          <w:highlight w:val="non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14:paraId="31659113">
      <w:pPr>
        <w:spacing w:line="360" w:lineRule="auto"/>
        <w:rPr>
          <w:color w:val="000000" w:themeColor="text1"/>
          <w:szCs w:val="21"/>
          <w:highlight w:val="none"/>
          <w:u w:val="single"/>
        </w:rPr>
      </w:pPr>
      <w:r>
        <w:rPr>
          <w:rFonts w:hint="eastAsia"/>
          <w:color w:val="000000" w:themeColor="text1"/>
          <w:szCs w:val="21"/>
          <w:highlight w:val="none"/>
        </w:rPr>
        <w:t>投标人名称（公章）：</w:t>
      </w:r>
      <w:r>
        <w:rPr>
          <w:rFonts w:hint="eastAsia"/>
          <w:color w:val="000000" w:themeColor="text1"/>
          <w:szCs w:val="21"/>
          <w:highlight w:val="none"/>
          <w:u w:val="single"/>
        </w:rPr>
        <w:t xml:space="preserve">                        </w:t>
      </w:r>
    </w:p>
    <w:p w14:paraId="3E25526C">
      <w:pPr>
        <w:spacing w:line="360" w:lineRule="auto"/>
        <w:rPr>
          <w:color w:val="000000" w:themeColor="text1"/>
          <w:szCs w:val="21"/>
          <w:highlight w:val="none"/>
          <w:u w:val="singl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07D8C392">
      <w:pPr>
        <w:pStyle w:val="5"/>
        <w:ind w:left="420" w:firstLine="0"/>
        <w:rPr>
          <w:color w:val="000000" w:themeColor="text1"/>
          <w:highlight w:val="none"/>
        </w:rPr>
      </w:pPr>
    </w:p>
    <w:p w14:paraId="1141B1E3">
      <w:pPr>
        <w:pStyle w:val="5"/>
        <w:ind w:left="420" w:firstLine="0"/>
        <w:rPr>
          <w:color w:val="000000" w:themeColor="text1"/>
          <w:highlight w:val="none"/>
        </w:rPr>
      </w:pPr>
    </w:p>
    <w:p w14:paraId="773AFF26">
      <w:pPr>
        <w:pStyle w:val="5"/>
        <w:ind w:left="420" w:firstLine="0"/>
        <w:rPr>
          <w:color w:val="000000" w:themeColor="text1"/>
          <w:highlight w:val="none"/>
        </w:rPr>
      </w:pPr>
    </w:p>
    <w:p w14:paraId="3777C4AA">
      <w:pPr>
        <w:pStyle w:val="5"/>
        <w:ind w:left="420" w:firstLine="0"/>
        <w:rPr>
          <w:color w:val="000000" w:themeColor="text1"/>
          <w:highlight w:val="none"/>
        </w:rPr>
      </w:pPr>
    </w:p>
    <w:p w14:paraId="14DA93FB">
      <w:pPr>
        <w:pStyle w:val="5"/>
        <w:ind w:left="420" w:firstLine="0"/>
        <w:rPr>
          <w:color w:val="000000" w:themeColor="text1"/>
          <w:highlight w:val="none"/>
        </w:rPr>
      </w:pPr>
    </w:p>
    <w:p w14:paraId="2F849C47">
      <w:pPr>
        <w:pStyle w:val="5"/>
        <w:ind w:left="420" w:firstLine="0"/>
        <w:rPr>
          <w:color w:val="000000" w:themeColor="text1"/>
          <w:highlight w:val="none"/>
        </w:rPr>
      </w:pPr>
    </w:p>
    <w:p w14:paraId="746B9249">
      <w:pPr>
        <w:pStyle w:val="5"/>
        <w:ind w:left="420" w:firstLine="0"/>
        <w:rPr>
          <w:color w:val="000000" w:themeColor="text1"/>
          <w:highlight w:val="none"/>
        </w:rPr>
      </w:pPr>
    </w:p>
    <w:p w14:paraId="590B1458">
      <w:pPr>
        <w:pStyle w:val="5"/>
        <w:ind w:firstLine="0"/>
        <w:rPr>
          <w:color w:val="000000" w:themeColor="text1"/>
          <w:highlight w:val="none"/>
        </w:rPr>
      </w:pPr>
    </w:p>
    <w:p w14:paraId="17BA7CA5">
      <w:pPr>
        <w:tabs>
          <w:tab w:val="center" w:pos="4483"/>
        </w:tabs>
        <w:rPr>
          <w:rFonts w:ascii="宋体" w:hAnsi="宋体"/>
          <w:bCs/>
          <w:color w:val="000000" w:themeColor="text1"/>
          <w:szCs w:val="21"/>
          <w:highlight w:val="none"/>
        </w:rPr>
      </w:pPr>
    </w:p>
    <w:p w14:paraId="4785A0B4">
      <w:pPr>
        <w:pStyle w:val="3"/>
        <w:numPr>
          <w:ilvl w:val="7"/>
          <w:numId w:val="6"/>
        </w:numPr>
        <w:tabs>
          <w:tab w:val="clear" w:pos="720"/>
        </w:tabs>
        <w:ind w:left="720"/>
        <w:rPr>
          <w:color w:val="000000" w:themeColor="text1"/>
          <w:highlight w:val="none"/>
        </w:rPr>
      </w:pPr>
      <w:bookmarkStart w:id="1662" w:name="_Toc5256"/>
      <w:bookmarkStart w:id="1663" w:name="_Toc13055"/>
      <w:r>
        <w:rPr>
          <w:rFonts w:hint="eastAsia"/>
          <w:color w:val="000000" w:themeColor="text1"/>
          <w:highlight w:val="none"/>
        </w:rPr>
        <w:t>投标文件商务及技术部分</w:t>
      </w:r>
      <w:bookmarkEnd w:id="1662"/>
      <w:bookmarkEnd w:id="1663"/>
    </w:p>
    <w:p w14:paraId="547247CC">
      <w:pPr>
        <w:pStyle w:val="3"/>
        <w:numPr>
          <w:ilvl w:val="0"/>
          <w:numId w:val="0"/>
        </w:numPr>
        <w:rPr>
          <w:color w:val="000000" w:themeColor="text1"/>
          <w:sz w:val="24"/>
          <w:highlight w:val="none"/>
        </w:rPr>
      </w:pPr>
      <w:bookmarkStart w:id="1664" w:name="_Toc4426"/>
      <w:r>
        <w:rPr>
          <w:rFonts w:hint="eastAsia"/>
          <w:color w:val="000000" w:themeColor="text1"/>
          <w:sz w:val="24"/>
          <w:highlight w:val="none"/>
        </w:rPr>
        <w:t>商务及技术封面格式</w:t>
      </w:r>
      <w:bookmarkEnd w:id="1664"/>
    </w:p>
    <w:p w14:paraId="76397F88">
      <w:pPr>
        <w:pStyle w:val="5"/>
        <w:rPr>
          <w:rFonts w:hAnsi="宋体"/>
          <w:bCs/>
          <w:color w:val="000000" w:themeColor="text1"/>
          <w:sz w:val="21"/>
          <w:highlight w:val="none"/>
        </w:rPr>
      </w:pPr>
    </w:p>
    <w:p w14:paraId="4A200218">
      <w:pPr>
        <w:pStyle w:val="5"/>
        <w:spacing w:line="360" w:lineRule="auto"/>
        <w:rPr>
          <w:rFonts w:hAnsi="宋体"/>
          <w:bCs/>
          <w:color w:val="000000" w:themeColor="text1"/>
          <w:sz w:val="21"/>
          <w:highlight w:val="none"/>
        </w:rPr>
      </w:pPr>
      <w:r>
        <w:rPr>
          <w:rFonts w:hAnsi="宋体"/>
          <w:bCs/>
          <w:color w:val="000000" w:themeColor="text1"/>
          <w:sz w:val="21"/>
          <w:highlight w:val="none"/>
        </w:rPr>
        <w:t>1</w:t>
      </w:r>
      <w:r>
        <w:rPr>
          <w:rFonts w:hint="eastAsia" w:hAnsi="宋体"/>
          <w:bCs/>
          <w:color w:val="000000" w:themeColor="text1"/>
          <w:sz w:val="21"/>
          <w:highlight w:val="none"/>
          <w:lang w:eastAsia="zh-CN"/>
        </w:rPr>
        <w:t>.</w:t>
      </w:r>
      <w:r>
        <w:rPr>
          <w:rFonts w:hint="eastAsia" w:hAnsi="宋体"/>
          <w:bCs/>
          <w:color w:val="000000" w:themeColor="text1"/>
          <w:sz w:val="21"/>
          <w:highlight w:val="none"/>
        </w:rPr>
        <w:t xml:space="preserve">投标内容应当编有目录、页码，按页码排序并装订成册。   </w:t>
      </w:r>
    </w:p>
    <w:p w14:paraId="73B6DE71">
      <w:pPr>
        <w:pStyle w:val="5"/>
        <w:spacing w:line="360" w:lineRule="auto"/>
        <w:rPr>
          <w:rFonts w:hAnsi="宋体"/>
          <w:b/>
          <w:color w:val="000000" w:themeColor="text1"/>
          <w:sz w:val="21"/>
          <w:szCs w:val="21"/>
          <w:highlight w:val="none"/>
        </w:rPr>
      </w:pPr>
      <w:r>
        <w:rPr>
          <w:rFonts w:hAnsi="宋体"/>
          <w:bCs/>
          <w:color w:val="000000" w:themeColor="text1"/>
          <w:sz w:val="21"/>
          <w:highlight w:val="none"/>
        </w:rPr>
        <w:t>2</w:t>
      </w:r>
      <w:r>
        <w:rPr>
          <w:rFonts w:hint="eastAsia" w:hAnsi="宋体"/>
          <w:bCs/>
          <w:color w:val="000000" w:themeColor="text1"/>
          <w:sz w:val="21"/>
          <w:highlight w:val="none"/>
          <w:lang w:eastAsia="zh-CN"/>
        </w:rPr>
        <w:t>.</w:t>
      </w:r>
      <w:r>
        <w:rPr>
          <w:rFonts w:hint="eastAsia" w:hAnsi="宋体"/>
          <w:bCs/>
          <w:color w:val="000000" w:themeColor="text1"/>
          <w:sz w:val="21"/>
          <w:highlight w:val="none"/>
        </w:rPr>
        <w:t>文件的封面格式由投</w:t>
      </w:r>
      <w:r>
        <w:rPr>
          <w:rFonts w:hint="eastAsia" w:hAnsi="宋体"/>
          <w:bCs/>
          <w:color w:val="000000" w:themeColor="text1"/>
          <w:sz w:val="21"/>
          <w:szCs w:val="21"/>
          <w:highlight w:val="none"/>
        </w:rPr>
        <w:t>标人自拟</w:t>
      </w:r>
      <w:r>
        <w:rPr>
          <w:rFonts w:hint="eastAsia" w:hAnsi="宋体"/>
          <w:bCs/>
          <w:color w:val="000000" w:themeColor="text1"/>
          <w:sz w:val="21"/>
          <w:highlight w:val="none"/>
        </w:rPr>
        <w:t>，并应注明“投标文件、项目编号、项目名称、投标人名称及地址、法定代表人（负责人）或授权代理人、联系电话、传真、邮编，并加盖投标人公章。</w:t>
      </w:r>
    </w:p>
    <w:p w14:paraId="6A92207C">
      <w:pPr>
        <w:pStyle w:val="5"/>
        <w:rPr>
          <w:rFonts w:hAnsi="宋体"/>
          <w:bCs/>
          <w:color w:val="000000" w:themeColor="text1"/>
          <w:sz w:val="21"/>
          <w:highlight w:val="none"/>
        </w:rPr>
      </w:pPr>
    </w:p>
    <w:p w14:paraId="386C5A22">
      <w:pPr>
        <w:pStyle w:val="5"/>
        <w:rPr>
          <w:rFonts w:hAnsi="宋体"/>
          <w:bCs/>
          <w:color w:val="000000" w:themeColor="text1"/>
          <w:sz w:val="21"/>
          <w:highlight w:val="none"/>
        </w:rPr>
      </w:pPr>
    </w:p>
    <w:p w14:paraId="35E7B6BD">
      <w:pPr>
        <w:pStyle w:val="5"/>
        <w:rPr>
          <w:rFonts w:hAnsi="宋体"/>
          <w:bCs/>
          <w:color w:val="000000" w:themeColor="text1"/>
          <w:sz w:val="21"/>
          <w:highlight w:val="none"/>
        </w:rPr>
      </w:pPr>
    </w:p>
    <w:p w14:paraId="4A9AA8AB">
      <w:pPr>
        <w:pStyle w:val="5"/>
        <w:rPr>
          <w:rFonts w:hAnsi="宋体"/>
          <w:bCs/>
          <w:color w:val="000000" w:themeColor="text1"/>
          <w:sz w:val="21"/>
          <w:highlight w:val="none"/>
        </w:rPr>
      </w:pPr>
    </w:p>
    <w:p w14:paraId="6E267818">
      <w:pPr>
        <w:pStyle w:val="5"/>
        <w:rPr>
          <w:rFonts w:hAnsi="宋体"/>
          <w:bCs/>
          <w:color w:val="000000" w:themeColor="text1"/>
          <w:sz w:val="21"/>
          <w:highlight w:val="none"/>
        </w:rPr>
      </w:pPr>
    </w:p>
    <w:p w14:paraId="5ECDD430">
      <w:pPr>
        <w:pStyle w:val="5"/>
        <w:rPr>
          <w:rFonts w:hAnsi="宋体"/>
          <w:bCs/>
          <w:color w:val="000000" w:themeColor="text1"/>
          <w:sz w:val="21"/>
          <w:highlight w:val="none"/>
        </w:rPr>
      </w:pPr>
    </w:p>
    <w:p w14:paraId="26FC749A">
      <w:pPr>
        <w:pStyle w:val="5"/>
        <w:rPr>
          <w:rFonts w:hAnsi="宋体"/>
          <w:bCs/>
          <w:color w:val="000000" w:themeColor="text1"/>
          <w:sz w:val="21"/>
          <w:highlight w:val="none"/>
        </w:rPr>
      </w:pPr>
    </w:p>
    <w:p w14:paraId="761D9881">
      <w:pPr>
        <w:pStyle w:val="5"/>
        <w:rPr>
          <w:rFonts w:hAnsi="宋体"/>
          <w:bCs/>
          <w:color w:val="000000" w:themeColor="text1"/>
          <w:sz w:val="21"/>
          <w:highlight w:val="none"/>
        </w:rPr>
      </w:pPr>
    </w:p>
    <w:p w14:paraId="240FFD4E">
      <w:pPr>
        <w:pStyle w:val="5"/>
        <w:rPr>
          <w:rFonts w:hAnsi="宋体"/>
          <w:bCs/>
          <w:color w:val="000000" w:themeColor="text1"/>
          <w:sz w:val="21"/>
          <w:highlight w:val="none"/>
        </w:rPr>
      </w:pPr>
    </w:p>
    <w:p w14:paraId="2F0D57B8">
      <w:pPr>
        <w:pStyle w:val="5"/>
        <w:rPr>
          <w:rFonts w:hAnsi="宋体"/>
          <w:bCs/>
          <w:color w:val="000000" w:themeColor="text1"/>
          <w:sz w:val="21"/>
          <w:highlight w:val="none"/>
        </w:rPr>
      </w:pPr>
    </w:p>
    <w:p w14:paraId="42A1D5DD">
      <w:pPr>
        <w:pStyle w:val="5"/>
        <w:rPr>
          <w:rFonts w:hAnsi="宋体"/>
          <w:bCs/>
          <w:color w:val="000000" w:themeColor="text1"/>
          <w:sz w:val="21"/>
          <w:highlight w:val="none"/>
        </w:rPr>
      </w:pPr>
    </w:p>
    <w:p w14:paraId="1C8E0D5F">
      <w:pPr>
        <w:pStyle w:val="5"/>
        <w:rPr>
          <w:rFonts w:hAnsi="宋体"/>
          <w:bCs/>
          <w:color w:val="000000" w:themeColor="text1"/>
          <w:sz w:val="21"/>
          <w:highlight w:val="none"/>
        </w:rPr>
      </w:pPr>
    </w:p>
    <w:p w14:paraId="6533C11B">
      <w:pPr>
        <w:pStyle w:val="5"/>
        <w:rPr>
          <w:rFonts w:hAnsi="宋体"/>
          <w:bCs/>
          <w:color w:val="000000" w:themeColor="text1"/>
          <w:sz w:val="21"/>
          <w:highlight w:val="none"/>
        </w:rPr>
      </w:pPr>
    </w:p>
    <w:p w14:paraId="4E997E0D">
      <w:pPr>
        <w:pStyle w:val="5"/>
        <w:rPr>
          <w:rFonts w:hAnsi="宋体"/>
          <w:bCs/>
          <w:color w:val="000000" w:themeColor="text1"/>
          <w:sz w:val="21"/>
          <w:highlight w:val="none"/>
        </w:rPr>
      </w:pPr>
    </w:p>
    <w:p w14:paraId="266B6803">
      <w:pPr>
        <w:pStyle w:val="5"/>
        <w:rPr>
          <w:rFonts w:hAnsi="宋体"/>
          <w:bCs/>
          <w:color w:val="000000" w:themeColor="text1"/>
          <w:sz w:val="21"/>
          <w:highlight w:val="none"/>
        </w:rPr>
      </w:pPr>
    </w:p>
    <w:p w14:paraId="575CC946">
      <w:pPr>
        <w:pStyle w:val="5"/>
        <w:rPr>
          <w:rFonts w:hAnsi="宋体"/>
          <w:bCs/>
          <w:color w:val="000000" w:themeColor="text1"/>
          <w:sz w:val="21"/>
          <w:highlight w:val="none"/>
        </w:rPr>
      </w:pPr>
    </w:p>
    <w:p w14:paraId="69AA74CE">
      <w:pPr>
        <w:pStyle w:val="5"/>
        <w:rPr>
          <w:rFonts w:hAnsi="宋体"/>
          <w:bCs/>
          <w:color w:val="000000" w:themeColor="text1"/>
          <w:sz w:val="21"/>
          <w:highlight w:val="none"/>
        </w:rPr>
      </w:pPr>
    </w:p>
    <w:p w14:paraId="721F63CD">
      <w:pPr>
        <w:pStyle w:val="5"/>
        <w:rPr>
          <w:rFonts w:hAnsi="宋体"/>
          <w:bCs/>
          <w:color w:val="000000" w:themeColor="text1"/>
          <w:sz w:val="21"/>
          <w:highlight w:val="none"/>
        </w:rPr>
      </w:pPr>
    </w:p>
    <w:p w14:paraId="7977F21F">
      <w:pPr>
        <w:pStyle w:val="5"/>
        <w:rPr>
          <w:rFonts w:hAnsi="宋体"/>
          <w:bCs/>
          <w:color w:val="000000" w:themeColor="text1"/>
          <w:sz w:val="21"/>
          <w:highlight w:val="none"/>
        </w:rPr>
      </w:pPr>
    </w:p>
    <w:p w14:paraId="41BEB71B">
      <w:pPr>
        <w:pStyle w:val="5"/>
        <w:rPr>
          <w:rFonts w:hAnsi="宋体"/>
          <w:bCs/>
          <w:color w:val="000000" w:themeColor="text1"/>
          <w:sz w:val="21"/>
          <w:highlight w:val="none"/>
        </w:rPr>
      </w:pPr>
    </w:p>
    <w:p w14:paraId="2FDDF606">
      <w:pPr>
        <w:pStyle w:val="5"/>
        <w:rPr>
          <w:rFonts w:hAnsi="宋体"/>
          <w:bCs/>
          <w:color w:val="000000" w:themeColor="text1"/>
          <w:sz w:val="21"/>
          <w:highlight w:val="none"/>
        </w:rPr>
      </w:pPr>
    </w:p>
    <w:p w14:paraId="7E17BD51">
      <w:pPr>
        <w:pStyle w:val="5"/>
        <w:rPr>
          <w:rFonts w:hAnsi="宋体"/>
          <w:bCs/>
          <w:color w:val="000000" w:themeColor="text1"/>
          <w:sz w:val="21"/>
          <w:highlight w:val="none"/>
        </w:rPr>
      </w:pPr>
    </w:p>
    <w:p w14:paraId="748A6D28">
      <w:pPr>
        <w:pStyle w:val="5"/>
        <w:rPr>
          <w:rFonts w:hAnsi="宋体"/>
          <w:bCs/>
          <w:color w:val="000000" w:themeColor="text1"/>
          <w:sz w:val="21"/>
          <w:highlight w:val="none"/>
        </w:rPr>
      </w:pPr>
    </w:p>
    <w:p w14:paraId="02FFBBDC">
      <w:pPr>
        <w:pStyle w:val="5"/>
        <w:rPr>
          <w:rFonts w:hAnsi="宋体"/>
          <w:bCs/>
          <w:color w:val="000000" w:themeColor="text1"/>
          <w:sz w:val="21"/>
          <w:highlight w:val="none"/>
        </w:rPr>
      </w:pPr>
    </w:p>
    <w:p w14:paraId="161DE359">
      <w:pPr>
        <w:pStyle w:val="5"/>
        <w:rPr>
          <w:rFonts w:hAnsi="宋体"/>
          <w:bCs/>
          <w:color w:val="000000" w:themeColor="text1"/>
          <w:sz w:val="21"/>
          <w:highlight w:val="none"/>
        </w:rPr>
      </w:pPr>
    </w:p>
    <w:p w14:paraId="6378DC97">
      <w:pPr>
        <w:pStyle w:val="5"/>
        <w:rPr>
          <w:rFonts w:hAnsi="宋体"/>
          <w:bCs/>
          <w:color w:val="000000" w:themeColor="text1"/>
          <w:sz w:val="21"/>
          <w:highlight w:val="none"/>
        </w:rPr>
      </w:pPr>
    </w:p>
    <w:p w14:paraId="40FCD867">
      <w:pPr>
        <w:pStyle w:val="5"/>
        <w:rPr>
          <w:rFonts w:hAnsi="宋体"/>
          <w:bCs/>
          <w:color w:val="000000" w:themeColor="text1"/>
          <w:sz w:val="21"/>
          <w:highlight w:val="none"/>
        </w:rPr>
      </w:pPr>
    </w:p>
    <w:p w14:paraId="07317DE8">
      <w:pPr>
        <w:pStyle w:val="5"/>
        <w:rPr>
          <w:rFonts w:hAnsi="宋体"/>
          <w:bCs/>
          <w:color w:val="000000" w:themeColor="text1"/>
          <w:sz w:val="21"/>
          <w:highlight w:val="none"/>
        </w:rPr>
      </w:pPr>
    </w:p>
    <w:p w14:paraId="3A76963C">
      <w:pPr>
        <w:pStyle w:val="5"/>
        <w:rPr>
          <w:rFonts w:hAnsi="宋体"/>
          <w:bCs/>
          <w:color w:val="000000" w:themeColor="text1"/>
          <w:sz w:val="21"/>
          <w:highlight w:val="none"/>
        </w:rPr>
      </w:pPr>
    </w:p>
    <w:p w14:paraId="36C19E8A">
      <w:pPr>
        <w:pStyle w:val="5"/>
        <w:rPr>
          <w:rFonts w:hAnsi="宋体"/>
          <w:bCs/>
          <w:color w:val="000000" w:themeColor="text1"/>
          <w:sz w:val="21"/>
          <w:highlight w:val="none"/>
        </w:rPr>
      </w:pPr>
    </w:p>
    <w:p w14:paraId="7FAB6DFB">
      <w:pPr>
        <w:pStyle w:val="5"/>
        <w:rPr>
          <w:rFonts w:hAnsi="宋体"/>
          <w:bCs/>
          <w:color w:val="000000" w:themeColor="text1"/>
          <w:sz w:val="21"/>
          <w:highlight w:val="none"/>
        </w:rPr>
      </w:pPr>
    </w:p>
    <w:p w14:paraId="165DFA57">
      <w:pPr>
        <w:pStyle w:val="5"/>
        <w:rPr>
          <w:rFonts w:hAnsi="宋体"/>
          <w:bCs/>
          <w:color w:val="000000" w:themeColor="text1"/>
          <w:sz w:val="21"/>
          <w:highlight w:val="none"/>
        </w:rPr>
      </w:pPr>
    </w:p>
    <w:p w14:paraId="542B94FA">
      <w:pPr>
        <w:pStyle w:val="5"/>
        <w:rPr>
          <w:rFonts w:hAnsi="宋体"/>
          <w:bCs/>
          <w:color w:val="000000" w:themeColor="text1"/>
          <w:sz w:val="21"/>
          <w:highlight w:val="none"/>
        </w:rPr>
      </w:pPr>
    </w:p>
    <w:p w14:paraId="359E9409">
      <w:pPr>
        <w:pStyle w:val="5"/>
        <w:rPr>
          <w:rFonts w:hAnsi="宋体"/>
          <w:bCs/>
          <w:color w:val="000000" w:themeColor="text1"/>
          <w:sz w:val="21"/>
          <w:highlight w:val="none"/>
        </w:rPr>
      </w:pPr>
    </w:p>
    <w:p w14:paraId="02BA3237">
      <w:pPr>
        <w:pStyle w:val="5"/>
        <w:rPr>
          <w:rFonts w:hAnsi="宋体"/>
          <w:bCs/>
          <w:color w:val="000000" w:themeColor="text1"/>
          <w:sz w:val="21"/>
          <w:highlight w:val="none"/>
        </w:rPr>
      </w:pPr>
    </w:p>
    <w:p w14:paraId="3CCE0432">
      <w:pPr>
        <w:pStyle w:val="5"/>
        <w:spacing w:line="440" w:lineRule="exact"/>
        <w:jc w:val="center"/>
        <w:rPr>
          <w:rFonts w:hAnsi="宋体"/>
          <w:bCs/>
          <w:color w:val="000000" w:themeColor="text1"/>
          <w:sz w:val="21"/>
          <w:highlight w:val="none"/>
        </w:rPr>
      </w:pPr>
    </w:p>
    <w:p w14:paraId="3C7A33A2">
      <w:pPr>
        <w:pStyle w:val="5"/>
        <w:spacing w:line="440" w:lineRule="exact"/>
        <w:ind w:firstLine="0"/>
        <w:jc w:val="both"/>
        <w:rPr>
          <w:rFonts w:hAnsi="宋体"/>
          <w:bCs/>
          <w:color w:val="000000" w:themeColor="text1"/>
          <w:sz w:val="21"/>
          <w:highlight w:val="none"/>
        </w:rPr>
      </w:pPr>
    </w:p>
    <w:p w14:paraId="1D7C4597">
      <w:pPr>
        <w:pStyle w:val="5"/>
        <w:spacing w:line="440" w:lineRule="exact"/>
        <w:jc w:val="center"/>
        <w:rPr>
          <w:rFonts w:hAnsi="宋体"/>
          <w:bCs/>
          <w:color w:val="000000" w:themeColor="text1"/>
          <w:sz w:val="21"/>
          <w:highlight w:val="none"/>
        </w:rPr>
      </w:pPr>
    </w:p>
    <w:p w14:paraId="2F798F72">
      <w:pPr>
        <w:pStyle w:val="5"/>
        <w:spacing w:line="360" w:lineRule="auto"/>
        <w:jc w:val="center"/>
        <w:rPr>
          <w:rFonts w:hint="eastAsia" w:hAnsi="宋体"/>
          <w:b/>
          <w:bCs/>
          <w:color w:val="000000" w:themeColor="text1"/>
          <w:sz w:val="52"/>
          <w:szCs w:val="52"/>
          <w:highlight w:val="none"/>
        </w:rPr>
      </w:pPr>
    </w:p>
    <w:p w14:paraId="0F052FB4">
      <w:pPr>
        <w:pStyle w:val="5"/>
        <w:spacing w:line="360" w:lineRule="auto"/>
        <w:jc w:val="center"/>
        <w:rPr>
          <w:rFonts w:hAnsi="宋体"/>
          <w:bCs/>
          <w:color w:val="000000" w:themeColor="text1"/>
          <w:sz w:val="52"/>
          <w:szCs w:val="52"/>
          <w:highlight w:val="none"/>
        </w:rPr>
      </w:pPr>
      <w:r>
        <w:rPr>
          <w:rFonts w:hint="eastAsia" w:hAnsi="宋体"/>
          <w:b/>
          <w:bCs/>
          <w:color w:val="000000" w:themeColor="text1"/>
          <w:sz w:val="52"/>
          <w:szCs w:val="52"/>
          <w:highlight w:val="none"/>
        </w:rPr>
        <w:t>投标文件（□正本、□副本</w:t>
      </w:r>
      <w:r>
        <w:rPr>
          <w:rFonts w:hint="eastAsia" w:hAnsi="宋体"/>
          <w:bCs/>
          <w:color w:val="000000" w:themeColor="text1"/>
          <w:sz w:val="52"/>
          <w:szCs w:val="52"/>
          <w:highlight w:val="none"/>
        </w:rPr>
        <w:t>）</w:t>
      </w:r>
    </w:p>
    <w:p w14:paraId="59A65334">
      <w:pPr>
        <w:pStyle w:val="5"/>
        <w:spacing w:line="360" w:lineRule="auto"/>
        <w:jc w:val="center"/>
        <w:rPr>
          <w:rFonts w:hAnsi="宋体"/>
          <w:bCs/>
          <w:color w:val="000000" w:themeColor="text1"/>
          <w:sz w:val="52"/>
          <w:szCs w:val="52"/>
          <w:highlight w:val="none"/>
        </w:rPr>
      </w:pPr>
      <w:r>
        <w:rPr>
          <w:rFonts w:hint="eastAsia" w:hAnsi="宋体"/>
          <w:b/>
          <w:color w:val="000000" w:themeColor="text1"/>
          <w:sz w:val="44"/>
          <w:szCs w:val="44"/>
          <w:highlight w:val="none"/>
        </w:rPr>
        <w:t>（商务及技术文件）</w:t>
      </w:r>
    </w:p>
    <w:p w14:paraId="54379B5A">
      <w:pPr>
        <w:pStyle w:val="5"/>
        <w:spacing w:line="360" w:lineRule="auto"/>
        <w:jc w:val="center"/>
        <w:rPr>
          <w:rFonts w:hAnsi="宋体"/>
          <w:bCs/>
          <w:color w:val="000000" w:themeColor="text1"/>
          <w:sz w:val="52"/>
          <w:szCs w:val="52"/>
          <w:highlight w:val="none"/>
        </w:rPr>
      </w:pPr>
    </w:p>
    <w:p w14:paraId="613D18A5">
      <w:pPr>
        <w:pStyle w:val="5"/>
        <w:spacing w:line="360" w:lineRule="auto"/>
        <w:jc w:val="center"/>
        <w:rPr>
          <w:rFonts w:hAnsi="宋体"/>
          <w:bCs/>
          <w:color w:val="000000" w:themeColor="text1"/>
          <w:sz w:val="52"/>
          <w:szCs w:val="52"/>
          <w:highlight w:val="none"/>
        </w:rPr>
      </w:pPr>
    </w:p>
    <w:p w14:paraId="7BF350FD">
      <w:pPr>
        <w:pStyle w:val="5"/>
        <w:spacing w:line="360" w:lineRule="auto"/>
        <w:jc w:val="center"/>
        <w:rPr>
          <w:rFonts w:hAnsi="宋体"/>
          <w:bCs/>
          <w:color w:val="000000" w:themeColor="text1"/>
          <w:sz w:val="52"/>
          <w:szCs w:val="52"/>
          <w:highlight w:val="none"/>
        </w:rPr>
      </w:pPr>
    </w:p>
    <w:p w14:paraId="338DB448">
      <w:pPr>
        <w:pStyle w:val="5"/>
        <w:spacing w:line="360" w:lineRule="auto"/>
        <w:jc w:val="center"/>
        <w:rPr>
          <w:rFonts w:hAnsi="宋体"/>
          <w:bCs/>
          <w:color w:val="000000" w:themeColor="text1"/>
          <w:sz w:val="52"/>
          <w:szCs w:val="52"/>
          <w:highlight w:val="none"/>
        </w:rPr>
      </w:pPr>
    </w:p>
    <w:p w14:paraId="2193F90F">
      <w:pPr>
        <w:pStyle w:val="5"/>
        <w:spacing w:line="360" w:lineRule="auto"/>
        <w:jc w:val="center"/>
        <w:rPr>
          <w:rFonts w:hAnsi="宋体"/>
          <w:bCs/>
          <w:color w:val="000000" w:themeColor="text1"/>
          <w:sz w:val="52"/>
          <w:szCs w:val="52"/>
          <w:highlight w:val="none"/>
        </w:rPr>
      </w:pPr>
    </w:p>
    <w:p w14:paraId="6AC76B9C">
      <w:pPr>
        <w:pStyle w:val="5"/>
        <w:spacing w:line="440" w:lineRule="exact"/>
        <w:jc w:val="center"/>
        <w:rPr>
          <w:rFonts w:hAnsi="宋体"/>
          <w:bCs/>
          <w:color w:val="000000" w:themeColor="text1"/>
          <w:sz w:val="21"/>
          <w:highlight w:val="none"/>
        </w:rPr>
      </w:pPr>
    </w:p>
    <w:p w14:paraId="2B196B12">
      <w:pPr>
        <w:pStyle w:val="5"/>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 xml:space="preserve">             </w:t>
      </w:r>
    </w:p>
    <w:p w14:paraId="69A6F888">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采购项目名称，由投标人填写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14:paraId="063FE4CB">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投标人名称（公章）：</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val="en-US" w:eastAsia="zh-CN"/>
        </w:rPr>
        <w:t xml:space="preserve">   </w:t>
      </w:r>
      <w:r>
        <w:rPr>
          <w:rFonts w:hint="eastAsia" w:hAnsi="宋体"/>
          <w:bCs/>
          <w:color w:val="000000" w:themeColor="text1"/>
          <w:sz w:val="21"/>
          <w:highlight w:val="none"/>
          <w:u w:val="single"/>
        </w:rPr>
        <w:t xml:space="preserve">          </w:t>
      </w:r>
    </w:p>
    <w:p w14:paraId="5638CA51">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投标人地址：</w:t>
      </w:r>
      <w:r>
        <w:rPr>
          <w:rFonts w:hint="eastAsia" w:hAnsi="宋体"/>
          <w:bCs/>
          <w:color w:val="000000" w:themeColor="text1"/>
          <w:sz w:val="21"/>
          <w:highlight w:val="none"/>
          <w:u w:val="single"/>
        </w:rPr>
        <w:t xml:space="preserve">                                                              </w:t>
      </w:r>
    </w:p>
    <w:p w14:paraId="4BF921EB">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val="en-US" w:eastAsia="zh-CN"/>
        </w:rPr>
        <w:t xml:space="preserve">   </w:t>
      </w:r>
      <w:r>
        <w:rPr>
          <w:rFonts w:hint="eastAsia" w:hAnsi="宋体"/>
          <w:bCs/>
          <w:color w:val="000000" w:themeColor="text1"/>
          <w:sz w:val="21"/>
          <w:highlight w:val="none"/>
          <w:u w:val="single"/>
        </w:rPr>
        <w:t xml:space="preserve">     </w:t>
      </w:r>
    </w:p>
    <w:p w14:paraId="52680D81">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14:paraId="38652C85">
      <w:pPr>
        <w:pStyle w:val="5"/>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14:paraId="4AEF4CAD">
      <w:pPr>
        <w:pStyle w:val="5"/>
        <w:spacing w:line="440" w:lineRule="exact"/>
        <w:rPr>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14:paraId="1EA6FC38">
      <w:pPr>
        <w:tabs>
          <w:tab w:val="left" w:pos="1004"/>
          <w:tab w:val="left" w:pos="4267"/>
        </w:tabs>
        <w:spacing w:line="400" w:lineRule="exact"/>
        <w:rPr>
          <w:rFonts w:ascii="宋体" w:hAnsi="宋体"/>
          <w:bCs/>
          <w:color w:val="000000" w:themeColor="text1"/>
          <w:highlight w:val="none"/>
        </w:rPr>
      </w:pPr>
    </w:p>
    <w:p w14:paraId="1578A494">
      <w:pPr>
        <w:pStyle w:val="5"/>
        <w:rPr>
          <w:color w:val="000000" w:themeColor="text1"/>
          <w:highlight w:val="none"/>
        </w:rPr>
      </w:pPr>
    </w:p>
    <w:p w14:paraId="3F2B83E3">
      <w:pPr>
        <w:pStyle w:val="5"/>
        <w:ind w:firstLine="0"/>
        <w:rPr>
          <w:color w:val="000000" w:themeColor="text1"/>
          <w:highlight w:val="none"/>
        </w:rPr>
      </w:pPr>
    </w:p>
    <w:p w14:paraId="712219A6">
      <w:pPr>
        <w:pStyle w:val="3"/>
        <w:keepLines w:val="0"/>
        <w:numPr>
          <w:ilvl w:val="0"/>
          <w:numId w:val="0"/>
        </w:numPr>
        <w:tabs>
          <w:tab w:val="left" w:pos="4320"/>
        </w:tabs>
        <w:spacing w:before="240" w:after="60" w:line="360" w:lineRule="exact"/>
        <w:rPr>
          <w:rFonts w:ascii="宋体"/>
          <w:b/>
          <w:bCs w:val="0"/>
          <w:color w:val="000000" w:themeColor="text1"/>
          <w:szCs w:val="21"/>
          <w:highlight w:val="none"/>
        </w:rPr>
      </w:pPr>
      <w:bookmarkStart w:id="1665" w:name="_Toc31140"/>
      <w:r>
        <w:rPr>
          <w:rFonts w:hint="eastAsia" w:ascii="宋体"/>
          <w:b/>
          <w:bCs w:val="0"/>
          <w:color w:val="000000" w:themeColor="text1"/>
          <w:szCs w:val="21"/>
          <w:highlight w:val="none"/>
        </w:rPr>
        <w:t>符合性自查表</w:t>
      </w:r>
      <w:bookmarkEnd w:id="1665"/>
    </w:p>
    <w:p w14:paraId="635B978F">
      <w:pPr>
        <w:jc w:val="center"/>
        <w:rPr>
          <w:rFonts w:ascii="宋体" w:hAnsi="宋体"/>
          <w:b/>
          <w:bCs/>
          <w:color w:val="000000" w:themeColor="text1"/>
          <w:szCs w:val="21"/>
          <w:highlight w:val="none"/>
        </w:rPr>
      </w:pPr>
    </w:p>
    <w:tbl>
      <w:tblPr>
        <w:tblStyle w:val="46"/>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1763"/>
      </w:tblGrid>
      <w:tr w14:paraId="2D3E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14:paraId="1FAD6C69">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1958" w:type="dxa"/>
            <w:vAlign w:val="center"/>
          </w:tcPr>
          <w:p w14:paraId="3661BEDB">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招标文件要求</w:t>
            </w:r>
          </w:p>
        </w:tc>
        <w:tc>
          <w:tcPr>
            <w:tcW w:w="1975" w:type="dxa"/>
            <w:vAlign w:val="center"/>
          </w:tcPr>
          <w:p w14:paraId="214E0300">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14:paraId="393EB516">
            <w:pPr>
              <w:tabs>
                <w:tab w:val="left" w:pos="480"/>
              </w:tabs>
              <w:ind w:left="480" w:hanging="480"/>
              <w:jc w:val="center"/>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1763" w:type="dxa"/>
            <w:vAlign w:val="center"/>
          </w:tcPr>
          <w:p w14:paraId="4D1046F1">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14:paraId="7E50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374" w:type="dxa"/>
            <w:vMerge w:val="restart"/>
            <w:vAlign w:val="center"/>
          </w:tcPr>
          <w:p w14:paraId="3119062A">
            <w:pPr>
              <w:tabs>
                <w:tab w:val="left" w:pos="480"/>
              </w:tabs>
              <w:ind w:left="480" w:hanging="480"/>
              <w:jc w:val="center"/>
              <w:rPr>
                <w:rFonts w:ascii="宋体" w:hAnsi="宋体"/>
                <w:b/>
                <w:bCs/>
                <w:color w:val="000000" w:themeColor="text1"/>
                <w:szCs w:val="21"/>
                <w:highlight w:val="none"/>
              </w:rPr>
            </w:pPr>
            <w:r>
              <w:rPr>
                <w:rFonts w:hint="eastAsia" w:ascii="宋体" w:hAnsi="宋体"/>
                <w:color w:val="000000" w:themeColor="text1"/>
                <w:szCs w:val="21"/>
                <w:highlight w:val="none"/>
              </w:rPr>
              <w:t>符合性审查</w:t>
            </w:r>
          </w:p>
        </w:tc>
        <w:tc>
          <w:tcPr>
            <w:tcW w:w="2300" w:type="dxa"/>
            <w:vAlign w:val="center"/>
          </w:tcPr>
          <w:p w14:paraId="5C8F1851">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须满足</w:t>
            </w:r>
            <w:r>
              <w:rPr>
                <w:rFonts w:hint="eastAsia" w:ascii="宋体" w:hAnsi="宋体"/>
                <w:color w:val="000000" w:themeColor="text1"/>
                <w:szCs w:val="21"/>
                <w:highlight w:val="none"/>
                <w:lang w:val="en-US" w:eastAsia="zh-CN"/>
              </w:rPr>
              <w:t>带“★”号</w:t>
            </w:r>
            <w:r>
              <w:rPr>
                <w:rFonts w:hint="eastAsia" w:ascii="宋体" w:hAnsi="宋体"/>
                <w:color w:val="000000" w:themeColor="text1"/>
                <w:szCs w:val="21"/>
                <w:highlight w:val="none"/>
              </w:rPr>
              <w:t>要求</w:t>
            </w:r>
          </w:p>
        </w:tc>
        <w:tc>
          <w:tcPr>
            <w:tcW w:w="1958" w:type="dxa"/>
            <w:vAlign w:val="center"/>
          </w:tcPr>
          <w:p w14:paraId="64E57E10">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按招标文件要求</w:t>
            </w:r>
          </w:p>
        </w:tc>
        <w:tc>
          <w:tcPr>
            <w:tcW w:w="1975" w:type="dxa"/>
            <w:vAlign w:val="center"/>
          </w:tcPr>
          <w:p w14:paraId="0CDA02CB">
            <w:pPr>
              <w:tabs>
                <w:tab w:val="left" w:pos="480"/>
              </w:tabs>
              <w:ind w:left="480" w:hanging="480"/>
              <w:rPr>
                <w:rFonts w:ascii="宋体" w:hAnsi="宋体"/>
                <w:b/>
                <w:bCs/>
                <w:color w:val="000000" w:themeColor="text1"/>
                <w:szCs w:val="21"/>
                <w:highlight w:val="none"/>
              </w:rPr>
            </w:pPr>
          </w:p>
        </w:tc>
        <w:tc>
          <w:tcPr>
            <w:tcW w:w="1763" w:type="dxa"/>
            <w:vAlign w:val="center"/>
          </w:tcPr>
          <w:p w14:paraId="03B70319">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6FFEAB1F">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14:paraId="48F3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374" w:type="dxa"/>
            <w:vMerge w:val="continue"/>
            <w:vAlign w:val="center"/>
          </w:tcPr>
          <w:p w14:paraId="099995FA">
            <w:pPr>
              <w:tabs>
                <w:tab w:val="left" w:pos="480"/>
              </w:tabs>
              <w:ind w:left="480" w:hanging="480"/>
              <w:jc w:val="center"/>
              <w:rPr>
                <w:rFonts w:hint="eastAsia" w:ascii="宋体" w:hAnsi="宋体"/>
                <w:color w:val="000000" w:themeColor="text1"/>
                <w:szCs w:val="21"/>
                <w:highlight w:val="none"/>
              </w:rPr>
            </w:pPr>
          </w:p>
        </w:tc>
        <w:tc>
          <w:tcPr>
            <w:tcW w:w="2300" w:type="dxa"/>
            <w:vAlign w:val="center"/>
          </w:tcPr>
          <w:p w14:paraId="7605B102">
            <w:pPr>
              <w:tabs>
                <w:tab w:val="left" w:pos="146"/>
              </w:tabs>
              <w:ind w:left="146" w:leftChars="0"/>
              <w:rPr>
                <w:rFonts w:hint="eastAsia" w:ascii="宋体" w:hAnsi="宋体" w:eastAsia="宋体" w:cs="Times New Roman"/>
                <w:b/>
                <w:bCs/>
                <w:color w:val="000000" w:themeColor="text1"/>
                <w:kern w:val="2"/>
                <w:sz w:val="21"/>
                <w:szCs w:val="21"/>
                <w:highlight w:val="none"/>
                <w:lang w:val="en-US" w:eastAsia="zh-CN" w:bidi="ar-SA"/>
              </w:rPr>
            </w:pPr>
            <w:r>
              <w:rPr>
                <w:rFonts w:hint="eastAsia" w:ascii="宋体" w:hAnsi="宋体"/>
                <w:color w:val="000000" w:themeColor="text1"/>
                <w:szCs w:val="21"/>
                <w:highlight w:val="none"/>
              </w:rPr>
              <w:t>服务期须满足要求</w:t>
            </w:r>
          </w:p>
        </w:tc>
        <w:tc>
          <w:tcPr>
            <w:tcW w:w="1958" w:type="dxa"/>
            <w:vAlign w:val="center"/>
          </w:tcPr>
          <w:p w14:paraId="2A430E33">
            <w:pPr>
              <w:tabs>
                <w:tab w:val="left" w:pos="0"/>
              </w:tabs>
              <w:rPr>
                <w:rFonts w:hint="eastAsia" w:ascii="宋体" w:hAnsi="宋体" w:eastAsia="宋体" w:cs="Times New Roman"/>
                <w:b/>
                <w:bCs/>
                <w:color w:val="000000" w:themeColor="text1"/>
                <w:kern w:val="2"/>
                <w:sz w:val="21"/>
                <w:szCs w:val="21"/>
                <w:highlight w:val="none"/>
                <w:lang w:val="en-US" w:eastAsia="zh-CN" w:bidi="ar-SA"/>
              </w:rPr>
            </w:pPr>
            <w:r>
              <w:rPr>
                <w:rFonts w:hint="eastAsia" w:ascii="宋体" w:hAnsi="宋体"/>
                <w:color w:val="000000" w:themeColor="text1"/>
                <w:szCs w:val="21"/>
                <w:highlight w:val="none"/>
              </w:rPr>
              <w:t>按招标文件要求</w:t>
            </w:r>
          </w:p>
        </w:tc>
        <w:tc>
          <w:tcPr>
            <w:tcW w:w="1975" w:type="dxa"/>
            <w:vAlign w:val="center"/>
          </w:tcPr>
          <w:p w14:paraId="27798590">
            <w:pPr>
              <w:tabs>
                <w:tab w:val="left" w:pos="480"/>
              </w:tabs>
              <w:ind w:left="480" w:leftChars="0" w:hanging="480" w:firstLineChars="0"/>
              <w:rPr>
                <w:rFonts w:ascii="宋体" w:hAnsi="宋体" w:eastAsia="宋体" w:cs="Times New Roman"/>
                <w:b/>
                <w:bCs/>
                <w:color w:val="000000" w:themeColor="text1"/>
                <w:kern w:val="2"/>
                <w:sz w:val="21"/>
                <w:szCs w:val="21"/>
                <w:highlight w:val="none"/>
                <w:lang w:val="en-US" w:eastAsia="zh-CN" w:bidi="ar-SA"/>
              </w:rPr>
            </w:pPr>
          </w:p>
        </w:tc>
        <w:tc>
          <w:tcPr>
            <w:tcW w:w="1763" w:type="dxa"/>
            <w:vAlign w:val="center"/>
          </w:tcPr>
          <w:p w14:paraId="03F50CBC">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32580117">
            <w:pPr>
              <w:tabs>
                <w:tab w:val="left" w:pos="0"/>
              </w:tabs>
              <w:jc w:val="center"/>
              <w:rPr>
                <w:rFonts w:hint="eastAsia" w:ascii="宋体" w:hAnsi="宋体" w:eastAsia="宋体" w:cs="Times New Roman"/>
                <w:b/>
                <w:bCs/>
                <w:color w:val="000000" w:themeColor="text1"/>
                <w:kern w:val="2"/>
                <w:sz w:val="21"/>
                <w:szCs w:val="21"/>
                <w:highlight w:val="none"/>
                <w:lang w:val="en-US" w:eastAsia="zh-CN" w:bidi="ar-SA"/>
              </w:rPr>
            </w:pPr>
            <w:r>
              <w:rPr>
                <w:rFonts w:hint="eastAsia" w:ascii="宋体" w:hAnsi="宋体"/>
                <w:color w:val="000000" w:themeColor="text1"/>
                <w:szCs w:val="21"/>
                <w:highlight w:val="none"/>
              </w:rPr>
              <w:t>第（  ）页</w:t>
            </w:r>
          </w:p>
        </w:tc>
      </w:tr>
      <w:tr w14:paraId="23EF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374" w:type="dxa"/>
            <w:vMerge w:val="continue"/>
            <w:vAlign w:val="center"/>
          </w:tcPr>
          <w:p w14:paraId="5AC049DB">
            <w:pPr>
              <w:tabs>
                <w:tab w:val="left" w:pos="480"/>
              </w:tabs>
              <w:ind w:left="480" w:hanging="480"/>
              <w:jc w:val="center"/>
              <w:rPr>
                <w:rFonts w:hint="eastAsia" w:ascii="宋体" w:hAnsi="宋体"/>
                <w:color w:val="000000" w:themeColor="text1"/>
                <w:szCs w:val="21"/>
                <w:highlight w:val="none"/>
              </w:rPr>
            </w:pPr>
          </w:p>
        </w:tc>
        <w:tc>
          <w:tcPr>
            <w:tcW w:w="2300" w:type="dxa"/>
            <w:vAlign w:val="center"/>
          </w:tcPr>
          <w:p w14:paraId="50807FAD">
            <w:pPr>
              <w:tabs>
                <w:tab w:val="left" w:pos="146"/>
              </w:tabs>
              <w:ind w:left="146" w:leftChars="0"/>
              <w:rPr>
                <w:rFonts w:hint="eastAsia" w:ascii="宋体" w:hAnsi="宋体"/>
                <w:color w:val="000000" w:themeColor="text1"/>
                <w:szCs w:val="21"/>
                <w:highlight w:val="none"/>
              </w:rPr>
            </w:pPr>
            <w:r>
              <w:rPr>
                <w:rFonts w:hint="eastAsia" w:ascii="宋体" w:hAnsi="宋体"/>
                <w:color w:val="000000" w:themeColor="text1"/>
                <w:szCs w:val="21"/>
                <w:highlight w:val="none"/>
              </w:rPr>
              <w:t>投标报价未超出报价上限</w:t>
            </w:r>
          </w:p>
        </w:tc>
        <w:tc>
          <w:tcPr>
            <w:tcW w:w="1958" w:type="dxa"/>
            <w:vAlign w:val="center"/>
          </w:tcPr>
          <w:p w14:paraId="3F0D9B81">
            <w:pPr>
              <w:tabs>
                <w:tab w:val="left" w:pos="0"/>
              </w:tabs>
              <w:rPr>
                <w:rFonts w:hint="eastAsia" w:ascii="宋体" w:hAnsi="宋体"/>
                <w:color w:val="000000" w:themeColor="text1"/>
                <w:szCs w:val="21"/>
                <w:highlight w:val="none"/>
              </w:rPr>
            </w:pPr>
            <w:r>
              <w:rPr>
                <w:rFonts w:hint="eastAsia" w:ascii="宋体" w:hAnsi="宋体"/>
                <w:color w:val="000000" w:themeColor="text1"/>
                <w:szCs w:val="21"/>
                <w:highlight w:val="none"/>
              </w:rPr>
              <w:t>按招标文件要求</w:t>
            </w:r>
          </w:p>
        </w:tc>
        <w:tc>
          <w:tcPr>
            <w:tcW w:w="1975" w:type="dxa"/>
            <w:vAlign w:val="center"/>
          </w:tcPr>
          <w:p w14:paraId="3230C908">
            <w:pPr>
              <w:tabs>
                <w:tab w:val="left" w:pos="480"/>
              </w:tabs>
              <w:ind w:left="480" w:leftChars="0" w:hanging="480" w:firstLineChars="0"/>
              <w:rPr>
                <w:rFonts w:ascii="宋体" w:hAnsi="宋体" w:eastAsia="宋体" w:cs="Times New Roman"/>
                <w:b/>
                <w:bCs/>
                <w:color w:val="000000" w:themeColor="text1"/>
                <w:kern w:val="2"/>
                <w:sz w:val="21"/>
                <w:szCs w:val="21"/>
                <w:highlight w:val="none"/>
                <w:lang w:val="en-US" w:eastAsia="zh-CN" w:bidi="ar-SA"/>
              </w:rPr>
            </w:pPr>
          </w:p>
        </w:tc>
        <w:tc>
          <w:tcPr>
            <w:tcW w:w="1763" w:type="dxa"/>
            <w:vAlign w:val="center"/>
          </w:tcPr>
          <w:p w14:paraId="78527CED">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7698C721">
            <w:pPr>
              <w:tabs>
                <w:tab w:val="left" w:pos="0"/>
              </w:tabs>
              <w:jc w:val="center"/>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14:paraId="0906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374" w:type="dxa"/>
            <w:vMerge w:val="continue"/>
          </w:tcPr>
          <w:p w14:paraId="51EBD191">
            <w:pPr>
              <w:tabs>
                <w:tab w:val="left" w:pos="480"/>
              </w:tabs>
              <w:ind w:left="480" w:hanging="480"/>
              <w:jc w:val="center"/>
              <w:rPr>
                <w:rFonts w:ascii="宋体" w:hAnsi="宋体"/>
                <w:b/>
                <w:bCs/>
                <w:color w:val="000000" w:themeColor="text1"/>
                <w:szCs w:val="21"/>
                <w:highlight w:val="none"/>
              </w:rPr>
            </w:pPr>
          </w:p>
        </w:tc>
        <w:tc>
          <w:tcPr>
            <w:tcW w:w="2300" w:type="dxa"/>
            <w:vAlign w:val="center"/>
          </w:tcPr>
          <w:p w14:paraId="0AA765F9">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法定代表人/负责人资格证明书及授权委托书</w:t>
            </w:r>
          </w:p>
        </w:tc>
        <w:tc>
          <w:tcPr>
            <w:tcW w:w="1958" w:type="dxa"/>
            <w:vAlign w:val="center"/>
          </w:tcPr>
          <w:p w14:paraId="29038B4F">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按对应格式文件签署、盖章(原件)</w:t>
            </w:r>
          </w:p>
        </w:tc>
        <w:tc>
          <w:tcPr>
            <w:tcW w:w="1975" w:type="dxa"/>
            <w:vAlign w:val="center"/>
          </w:tcPr>
          <w:p w14:paraId="38876692">
            <w:pPr>
              <w:pStyle w:val="8"/>
              <w:rPr>
                <w:rFonts w:ascii="宋体" w:hAnsi="宋体"/>
                <w:bCs/>
                <w:color w:val="000000" w:themeColor="text1"/>
                <w:szCs w:val="21"/>
                <w:highlight w:val="none"/>
              </w:rPr>
            </w:pPr>
          </w:p>
        </w:tc>
        <w:tc>
          <w:tcPr>
            <w:tcW w:w="1763" w:type="dxa"/>
            <w:vAlign w:val="center"/>
          </w:tcPr>
          <w:p w14:paraId="0440B33F">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3089B0B9">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14:paraId="35C1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374" w:type="dxa"/>
            <w:vMerge w:val="continue"/>
          </w:tcPr>
          <w:p w14:paraId="54E33803">
            <w:pPr>
              <w:tabs>
                <w:tab w:val="left" w:pos="480"/>
              </w:tabs>
              <w:ind w:left="480" w:hanging="480"/>
              <w:jc w:val="center"/>
              <w:rPr>
                <w:rFonts w:ascii="宋体" w:hAnsi="宋体"/>
                <w:b/>
                <w:bCs/>
                <w:color w:val="000000" w:themeColor="text1"/>
                <w:szCs w:val="21"/>
                <w:highlight w:val="none"/>
              </w:rPr>
            </w:pPr>
          </w:p>
        </w:tc>
        <w:tc>
          <w:tcPr>
            <w:tcW w:w="2300" w:type="dxa"/>
            <w:vAlign w:val="center"/>
          </w:tcPr>
          <w:p w14:paraId="67C75645">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其他要求</w:t>
            </w:r>
          </w:p>
        </w:tc>
        <w:tc>
          <w:tcPr>
            <w:tcW w:w="1958" w:type="dxa"/>
            <w:vAlign w:val="center"/>
          </w:tcPr>
          <w:p w14:paraId="24B888AF">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按投标资料清单中规定提供“必须提交”的文件资料</w:t>
            </w:r>
          </w:p>
        </w:tc>
        <w:tc>
          <w:tcPr>
            <w:tcW w:w="1975" w:type="dxa"/>
            <w:vAlign w:val="center"/>
          </w:tcPr>
          <w:p w14:paraId="2DA812A0">
            <w:pPr>
              <w:tabs>
                <w:tab w:val="left" w:pos="480"/>
              </w:tabs>
              <w:ind w:left="480" w:hanging="480"/>
              <w:rPr>
                <w:color w:val="000000" w:themeColor="text1"/>
                <w:highlight w:val="none"/>
              </w:rPr>
            </w:pPr>
          </w:p>
        </w:tc>
        <w:tc>
          <w:tcPr>
            <w:tcW w:w="1763" w:type="dxa"/>
            <w:vAlign w:val="center"/>
          </w:tcPr>
          <w:p w14:paraId="42961204">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14:paraId="0A428041">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bl>
    <w:p w14:paraId="6FB0B704">
      <w:pPr>
        <w:tabs>
          <w:tab w:val="center" w:pos="4483"/>
        </w:tabs>
        <w:ind w:left="315" w:leftChars="50" w:hanging="210" w:hangingChars="100"/>
        <w:rPr>
          <w:rFonts w:ascii="宋体" w:hAnsi="宋体"/>
          <w:color w:val="000000" w:themeColor="text1"/>
          <w:szCs w:val="21"/>
          <w:highlight w:val="none"/>
        </w:rPr>
      </w:pPr>
    </w:p>
    <w:p w14:paraId="27D6A69A">
      <w:pPr>
        <w:tabs>
          <w:tab w:val="center" w:pos="4483"/>
        </w:tabs>
        <w:rPr>
          <w:rFonts w:ascii="宋体" w:hAnsi="宋体"/>
          <w:color w:val="000000" w:themeColor="text1"/>
          <w:szCs w:val="21"/>
          <w:highlight w:val="none"/>
        </w:rPr>
      </w:pPr>
      <w:r>
        <w:rPr>
          <w:rFonts w:hint="eastAsia" w:ascii="宋体" w:hAnsi="宋体"/>
          <w:color w:val="000000" w:themeColor="text1"/>
          <w:szCs w:val="21"/>
          <w:highlight w:val="none"/>
        </w:rPr>
        <w:t>注：1.以上材料将作为投标人符合性审核的重要内容之一，投标人必须严格按照其内容及序列要求在投标文件中对应如实提供，对缺漏和不符合项或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将会直接导致无效投标。</w:t>
      </w:r>
      <w:r>
        <w:rPr>
          <w:rFonts w:hint="eastAsia" w:ascii="宋体" w:hAnsi="宋体"/>
          <w:bCs/>
          <w:color w:val="000000" w:themeColor="text1"/>
          <w:szCs w:val="21"/>
          <w:highlight w:val="none"/>
        </w:rPr>
        <w:t>不能继续参与后续评标，有效投标人少于3家的将导致废标。废标后，除采购任务取消情形外，应当重新组织采购。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14:paraId="44C9D2CF">
      <w:pPr>
        <w:tabs>
          <w:tab w:val="center" w:pos="4483"/>
        </w:tabs>
        <w:rPr>
          <w:rFonts w:ascii="宋体" w:hAnsi="宋体"/>
          <w:color w:val="000000" w:themeColor="text1"/>
          <w:szCs w:val="21"/>
          <w:highlight w:val="none"/>
        </w:rPr>
      </w:pPr>
      <w:r>
        <w:rPr>
          <w:rFonts w:hint="eastAsia" w:ascii="宋体" w:hAnsi="宋体"/>
          <w:color w:val="000000" w:themeColor="text1"/>
          <w:szCs w:val="21"/>
          <w:highlight w:val="none"/>
        </w:rPr>
        <w:t>2.</w:t>
      </w:r>
      <w:r>
        <w:rPr>
          <w:rFonts w:hint="eastAsia" w:ascii="宋体" w:hAnsi="宋体"/>
          <w:bCs/>
          <w:color w:val="000000" w:themeColor="text1"/>
          <w:szCs w:val="21"/>
          <w:highlight w:val="none"/>
        </w:rPr>
        <w:t>投标人的投标文件为法定代表人（负责人）签署并由法定代表人（负责人）亲自递交投标文件和参加开标会的，可不提供“法定代表人（负责人）授权书”及“代理人身份证”。</w:t>
      </w:r>
    </w:p>
    <w:p w14:paraId="51A14CF4">
      <w:pPr>
        <w:tabs>
          <w:tab w:val="center" w:pos="4483"/>
        </w:tabs>
        <w:ind w:left="525" w:leftChars="50" w:hanging="420" w:hangingChars="200"/>
        <w:rPr>
          <w:rFonts w:ascii="宋体" w:hAnsi="宋体"/>
          <w:bCs/>
          <w:color w:val="000000" w:themeColor="text1"/>
          <w:szCs w:val="21"/>
          <w:highlight w:val="none"/>
        </w:rPr>
      </w:pP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p>
    <w:p w14:paraId="2FCE7C84">
      <w:pPr>
        <w:adjustRightInd w:val="0"/>
        <w:snapToGrid w:val="0"/>
        <w:spacing w:line="300" w:lineRule="auto"/>
        <w:rPr>
          <w:color w:val="000000" w:themeColor="text1"/>
          <w:szCs w:val="21"/>
          <w:highlight w:val="none"/>
        </w:rPr>
      </w:pPr>
    </w:p>
    <w:p w14:paraId="5413D412">
      <w:pPr>
        <w:adjustRightInd w:val="0"/>
        <w:snapToGrid w:val="0"/>
        <w:spacing w:line="300" w:lineRule="auto"/>
        <w:rPr>
          <w:color w:val="000000" w:themeColor="text1"/>
          <w:szCs w:val="21"/>
          <w:highlight w:val="none"/>
        </w:rPr>
      </w:pPr>
    </w:p>
    <w:p w14:paraId="0FB35BC8">
      <w:pPr>
        <w:adjustRightInd w:val="0"/>
        <w:snapToGrid w:val="0"/>
        <w:spacing w:line="300" w:lineRule="auto"/>
        <w:rPr>
          <w:rFonts w:ascii="宋体" w:hAnsi="宋体"/>
          <w:color w:val="000000" w:themeColor="text1"/>
          <w:szCs w:val="21"/>
          <w:highlight w:val="none"/>
          <w:u w:val="singl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14:paraId="5529C2BC">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投标人名称（签章）：</w:t>
      </w:r>
      <w:r>
        <w:rPr>
          <w:rFonts w:hint="eastAsia" w:ascii="宋体" w:hAnsi="宋体"/>
          <w:color w:val="000000" w:themeColor="text1"/>
          <w:szCs w:val="21"/>
          <w:highlight w:val="none"/>
          <w:u w:val="single"/>
        </w:rPr>
        <w:t xml:space="preserve">                            </w:t>
      </w:r>
    </w:p>
    <w:p w14:paraId="4C76F47C">
      <w:pPr>
        <w:adjustRightInd w:val="0"/>
        <w:snapToGrid w:val="0"/>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日期：   年   月   日</w:t>
      </w:r>
    </w:p>
    <w:p w14:paraId="3B0E7272">
      <w:pPr>
        <w:pStyle w:val="3"/>
        <w:keepLines w:val="0"/>
        <w:numPr>
          <w:ilvl w:val="0"/>
          <w:numId w:val="0"/>
        </w:numPr>
        <w:tabs>
          <w:tab w:val="left" w:pos="4320"/>
        </w:tabs>
        <w:spacing w:before="240" w:after="60" w:line="480" w:lineRule="exact"/>
        <w:rPr>
          <w:rFonts w:hint="eastAsia" w:ascii="宋体"/>
          <w:b/>
          <w:color w:val="000000" w:themeColor="text1"/>
          <w:szCs w:val="21"/>
          <w:highlight w:val="none"/>
        </w:rPr>
      </w:pPr>
      <w:r>
        <w:rPr>
          <w:rFonts w:ascii="宋体"/>
          <w:b/>
          <w:bCs w:val="0"/>
          <w:color w:val="000000" w:themeColor="text1"/>
          <w:szCs w:val="21"/>
          <w:highlight w:val="none"/>
        </w:rPr>
        <w:t xml:space="preserve">  </w:t>
      </w:r>
      <w:bookmarkStart w:id="1666" w:name="_Toc26704"/>
      <w:r>
        <w:rPr>
          <w:rFonts w:hint="eastAsia" w:ascii="宋体"/>
          <w:b/>
          <w:color w:val="000000" w:themeColor="text1"/>
          <w:szCs w:val="21"/>
          <w:highlight w:val="none"/>
        </w:rPr>
        <w:t xml:space="preserve"> </w:t>
      </w:r>
    </w:p>
    <w:p w14:paraId="6F2BBACE">
      <w:pPr>
        <w:rPr>
          <w:rFonts w:hint="eastAsia" w:ascii="宋体"/>
          <w:b/>
          <w:color w:val="000000" w:themeColor="text1"/>
          <w:szCs w:val="21"/>
          <w:highlight w:val="none"/>
        </w:rPr>
      </w:pPr>
      <w:r>
        <w:rPr>
          <w:rFonts w:hint="eastAsia" w:ascii="宋体"/>
          <w:b/>
          <w:color w:val="000000" w:themeColor="text1"/>
          <w:szCs w:val="21"/>
          <w:highlight w:val="none"/>
        </w:rPr>
        <w:br w:type="page"/>
      </w:r>
    </w:p>
    <w:p w14:paraId="69EDDACE">
      <w:pPr>
        <w:pStyle w:val="3"/>
        <w:keepLines w:val="0"/>
        <w:numPr>
          <w:ilvl w:val="0"/>
          <w:numId w:val="0"/>
        </w:numPr>
        <w:tabs>
          <w:tab w:val="left" w:pos="4320"/>
        </w:tabs>
        <w:spacing w:before="240" w:after="60" w:line="480" w:lineRule="exact"/>
        <w:rPr>
          <w:rFonts w:ascii="宋体"/>
          <w:b/>
          <w:color w:val="000000" w:themeColor="text1"/>
          <w:szCs w:val="21"/>
          <w:highlight w:val="none"/>
        </w:rPr>
      </w:pPr>
      <w:bookmarkStart w:id="1667" w:name="_Toc11228"/>
      <w:r>
        <w:rPr>
          <w:rFonts w:hint="eastAsia" w:ascii="宋体"/>
          <w:b/>
          <w:color w:val="000000" w:themeColor="text1"/>
          <w:szCs w:val="21"/>
          <w:highlight w:val="none"/>
        </w:rPr>
        <w:t>评审项目投标资料表</w:t>
      </w:r>
      <w:bookmarkEnd w:id="1666"/>
      <w:bookmarkEnd w:id="1667"/>
    </w:p>
    <w:p w14:paraId="44612020">
      <w:pPr>
        <w:jc w:val="center"/>
        <w:rPr>
          <w:rFonts w:ascii="宋体" w:hAnsi="宋体" w:eastAsia="黑体"/>
          <w:b/>
          <w:color w:val="000000" w:themeColor="text1"/>
          <w:kern w:val="44"/>
          <w:szCs w:val="21"/>
          <w:highlight w:val="none"/>
        </w:rPr>
      </w:pPr>
    </w:p>
    <w:tbl>
      <w:tblPr>
        <w:tblStyle w:val="46"/>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14:paraId="31F5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13C062C4">
            <w:pPr>
              <w:pStyle w:val="306"/>
              <w:keepNext w:val="0"/>
              <w:adjustRightInd/>
              <w:spacing w:before="0" w:after="0" w:line="240" w:lineRule="auto"/>
              <w:textAlignment w:val="auto"/>
              <w:rPr>
                <w:rFonts w:ascii="宋体" w:hAnsi="宋体"/>
                <w:snapToGrid/>
                <w:color w:val="000000" w:themeColor="text1"/>
                <w:spacing w:val="0"/>
                <w:kern w:val="2"/>
                <w:sz w:val="21"/>
                <w:szCs w:val="21"/>
                <w:highlight w:val="none"/>
              </w:rPr>
            </w:pPr>
            <w:r>
              <w:rPr>
                <w:rFonts w:hint="eastAsia" w:ascii="宋体" w:hAnsi="宋体"/>
                <w:snapToGrid/>
                <w:color w:val="000000" w:themeColor="text1"/>
                <w:spacing w:val="0"/>
                <w:kern w:val="2"/>
                <w:sz w:val="21"/>
                <w:szCs w:val="21"/>
                <w:highlight w:val="none"/>
              </w:rPr>
              <w:t>评审分项</w:t>
            </w:r>
          </w:p>
        </w:tc>
        <w:tc>
          <w:tcPr>
            <w:tcW w:w="5202" w:type="dxa"/>
            <w:vAlign w:val="center"/>
          </w:tcPr>
          <w:p w14:paraId="05DE69D6">
            <w:pPr>
              <w:pStyle w:val="306"/>
              <w:keepNext w:val="0"/>
              <w:adjustRightInd/>
              <w:spacing w:before="0" w:after="0" w:line="240" w:lineRule="auto"/>
              <w:textAlignment w:val="auto"/>
              <w:rPr>
                <w:rFonts w:ascii="宋体" w:hAnsi="宋体"/>
                <w:snapToGrid/>
                <w:color w:val="000000" w:themeColor="text1"/>
                <w:spacing w:val="0"/>
                <w:kern w:val="2"/>
                <w:sz w:val="21"/>
                <w:szCs w:val="21"/>
                <w:highlight w:val="none"/>
              </w:rPr>
            </w:pPr>
            <w:r>
              <w:rPr>
                <w:rFonts w:hint="eastAsia" w:ascii="宋体" w:hAnsi="宋体"/>
                <w:snapToGrid/>
                <w:color w:val="000000" w:themeColor="text1"/>
                <w:spacing w:val="0"/>
                <w:kern w:val="2"/>
                <w:sz w:val="21"/>
                <w:szCs w:val="21"/>
                <w:highlight w:val="none"/>
              </w:rPr>
              <w:t>评审细则</w:t>
            </w:r>
          </w:p>
        </w:tc>
        <w:tc>
          <w:tcPr>
            <w:tcW w:w="2300" w:type="dxa"/>
            <w:vAlign w:val="center"/>
          </w:tcPr>
          <w:p w14:paraId="051F3E8B">
            <w:pPr>
              <w:pStyle w:val="306"/>
              <w:keepNext w:val="0"/>
              <w:adjustRightInd/>
              <w:spacing w:before="0" w:after="0" w:line="240" w:lineRule="auto"/>
              <w:textAlignment w:val="auto"/>
              <w:rPr>
                <w:rFonts w:ascii="宋体" w:hAnsi="宋体"/>
                <w:snapToGrid/>
                <w:color w:val="000000" w:themeColor="text1"/>
                <w:spacing w:val="0"/>
                <w:kern w:val="2"/>
                <w:sz w:val="21"/>
                <w:szCs w:val="21"/>
                <w:highlight w:val="none"/>
              </w:rPr>
            </w:pPr>
            <w:r>
              <w:rPr>
                <w:rFonts w:hint="eastAsia" w:ascii="宋体" w:hAnsi="宋体"/>
                <w:snapToGrid/>
                <w:color w:val="000000" w:themeColor="text1"/>
                <w:spacing w:val="0"/>
                <w:kern w:val="2"/>
                <w:sz w:val="21"/>
                <w:szCs w:val="21"/>
                <w:highlight w:val="none"/>
              </w:rPr>
              <w:t>证明文件</w:t>
            </w:r>
          </w:p>
        </w:tc>
      </w:tr>
      <w:tr w14:paraId="1964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5A99072A">
            <w:pPr>
              <w:pStyle w:val="240"/>
              <w:jc w:val="both"/>
              <w:rPr>
                <w:rFonts w:ascii="宋体" w:hAnsi="宋体" w:eastAsia="宋体" w:cs="Times New Roman"/>
                <w:color w:val="000000" w:themeColor="text1"/>
                <w:sz w:val="21"/>
                <w:szCs w:val="21"/>
                <w:highlight w:val="none"/>
              </w:rPr>
            </w:pPr>
          </w:p>
        </w:tc>
        <w:tc>
          <w:tcPr>
            <w:tcW w:w="5202" w:type="dxa"/>
            <w:vAlign w:val="center"/>
          </w:tcPr>
          <w:p w14:paraId="0748A7AB">
            <w:pPr>
              <w:pStyle w:val="32"/>
              <w:ind w:left="420" w:firstLine="420"/>
              <w:rPr>
                <w:rFonts w:ascii="宋体" w:hAnsi="宋体"/>
                <w:color w:val="000000" w:themeColor="text1"/>
                <w:szCs w:val="21"/>
                <w:highlight w:val="none"/>
              </w:rPr>
            </w:pPr>
          </w:p>
        </w:tc>
        <w:tc>
          <w:tcPr>
            <w:tcW w:w="2300" w:type="dxa"/>
            <w:vAlign w:val="center"/>
          </w:tcPr>
          <w:p w14:paraId="3361D012">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68D2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6FACF4CE">
            <w:pPr>
              <w:rPr>
                <w:rFonts w:ascii="宋体" w:hAnsi="宋体"/>
                <w:color w:val="000000" w:themeColor="text1"/>
                <w:szCs w:val="21"/>
                <w:highlight w:val="none"/>
              </w:rPr>
            </w:pPr>
          </w:p>
        </w:tc>
        <w:tc>
          <w:tcPr>
            <w:tcW w:w="5202" w:type="dxa"/>
            <w:vAlign w:val="center"/>
          </w:tcPr>
          <w:p w14:paraId="4F0A78B7">
            <w:pPr>
              <w:pStyle w:val="32"/>
              <w:ind w:left="420" w:firstLine="420"/>
              <w:rPr>
                <w:rFonts w:ascii="宋体" w:hAnsi="宋体"/>
                <w:color w:val="000000" w:themeColor="text1"/>
                <w:szCs w:val="21"/>
                <w:highlight w:val="none"/>
              </w:rPr>
            </w:pPr>
          </w:p>
        </w:tc>
        <w:tc>
          <w:tcPr>
            <w:tcW w:w="2300" w:type="dxa"/>
            <w:vAlign w:val="center"/>
          </w:tcPr>
          <w:p w14:paraId="590BDD28">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4C78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1188BA91">
            <w:pPr>
              <w:rPr>
                <w:rFonts w:ascii="宋体" w:hAnsi="宋体"/>
                <w:color w:val="000000" w:themeColor="text1"/>
                <w:szCs w:val="21"/>
                <w:highlight w:val="none"/>
              </w:rPr>
            </w:pPr>
          </w:p>
        </w:tc>
        <w:tc>
          <w:tcPr>
            <w:tcW w:w="5202" w:type="dxa"/>
            <w:vAlign w:val="center"/>
          </w:tcPr>
          <w:p w14:paraId="7B9B88F7">
            <w:pPr>
              <w:pStyle w:val="32"/>
              <w:ind w:left="420" w:firstLine="420"/>
              <w:rPr>
                <w:rFonts w:ascii="宋体" w:hAnsi="宋体"/>
                <w:color w:val="000000" w:themeColor="text1"/>
                <w:szCs w:val="21"/>
                <w:highlight w:val="none"/>
              </w:rPr>
            </w:pPr>
          </w:p>
        </w:tc>
        <w:tc>
          <w:tcPr>
            <w:tcW w:w="2300" w:type="dxa"/>
            <w:vAlign w:val="center"/>
          </w:tcPr>
          <w:p w14:paraId="75C0C656">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5CE4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150C4FD9">
            <w:pPr>
              <w:rPr>
                <w:rFonts w:ascii="宋体" w:hAnsi="宋体"/>
                <w:color w:val="000000" w:themeColor="text1"/>
                <w:szCs w:val="21"/>
                <w:highlight w:val="none"/>
              </w:rPr>
            </w:pPr>
          </w:p>
        </w:tc>
        <w:tc>
          <w:tcPr>
            <w:tcW w:w="5202" w:type="dxa"/>
            <w:vAlign w:val="center"/>
          </w:tcPr>
          <w:p w14:paraId="51C6DE18">
            <w:pPr>
              <w:pStyle w:val="32"/>
              <w:ind w:left="420" w:firstLine="420"/>
              <w:rPr>
                <w:rFonts w:ascii="宋体" w:hAnsi="宋体"/>
                <w:color w:val="000000" w:themeColor="text1"/>
                <w:szCs w:val="21"/>
                <w:highlight w:val="none"/>
              </w:rPr>
            </w:pPr>
          </w:p>
        </w:tc>
        <w:tc>
          <w:tcPr>
            <w:tcW w:w="2300" w:type="dxa"/>
            <w:vAlign w:val="center"/>
          </w:tcPr>
          <w:p w14:paraId="1F5FF4EB">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4790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22D48A90">
            <w:pPr>
              <w:rPr>
                <w:rFonts w:ascii="宋体" w:hAnsi="宋体"/>
                <w:color w:val="000000" w:themeColor="text1"/>
                <w:szCs w:val="21"/>
                <w:highlight w:val="none"/>
              </w:rPr>
            </w:pPr>
          </w:p>
        </w:tc>
        <w:tc>
          <w:tcPr>
            <w:tcW w:w="5202" w:type="dxa"/>
            <w:vAlign w:val="center"/>
          </w:tcPr>
          <w:p w14:paraId="76C46963">
            <w:pPr>
              <w:pStyle w:val="32"/>
              <w:ind w:left="420" w:firstLine="420"/>
              <w:rPr>
                <w:rFonts w:ascii="宋体" w:hAnsi="宋体"/>
                <w:color w:val="000000" w:themeColor="text1"/>
                <w:szCs w:val="21"/>
                <w:highlight w:val="none"/>
              </w:rPr>
            </w:pPr>
          </w:p>
        </w:tc>
        <w:tc>
          <w:tcPr>
            <w:tcW w:w="2300" w:type="dxa"/>
            <w:vAlign w:val="center"/>
          </w:tcPr>
          <w:p w14:paraId="39413561">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62B1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417DD80C">
            <w:pPr>
              <w:rPr>
                <w:rFonts w:ascii="宋体" w:hAnsi="宋体"/>
                <w:color w:val="000000" w:themeColor="text1"/>
                <w:szCs w:val="21"/>
                <w:highlight w:val="none"/>
              </w:rPr>
            </w:pPr>
          </w:p>
        </w:tc>
        <w:tc>
          <w:tcPr>
            <w:tcW w:w="5202" w:type="dxa"/>
            <w:vAlign w:val="center"/>
          </w:tcPr>
          <w:p w14:paraId="476A4312">
            <w:pPr>
              <w:pStyle w:val="32"/>
              <w:ind w:left="420" w:firstLine="420"/>
              <w:rPr>
                <w:rFonts w:ascii="宋体" w:hAnsi="宋体"/>
                <w:color w:val="000000" w:themeColor="text1"/>
                <w:szCs w:val="21"/>
                <w:highlight w:val="none"/>
              </w:rPr>
            </w:pPr>
          </w:p>
        </w:tc>
        <w:tc>
          <w:tcPr>
            <w:tcW w:w="2300" w:type="dxa"/>
            <w:vAlign w:val="center"/>
          </w:tcPr>
          <w:p w14:paraId="78D7A351">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0E72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2477E222">
            <w:pPr>
              <w:rPr>
                <w:rFonts w:ascii="宋体" w:hAnsi="宋体"/>
                <w:color w:val="000000" w:themeColor="text1"/>
                <w:szCs w:val="21"/>
                <w:highlight w:val="none"/>
              </w:rPr>
            </w:pPr>
          </w:p>
        </w:tc>
        <w:tc>
          <w:tcPr>
            <w:tcW w:w="5202" w:type="dxa"/>
            <w:vAlign w:val="center"/>
          </w:tcPr>
          <w:p w14:paraId="34E1D970">
            <w:pPr>
              <w:pStyle w:val="32"/>
              <w:ind w:left="420" w:firstLine="420"/>
              <w:rPr>
                <w:rFonts w:ascii="宋体" w:hAnsi="宋体"/>
                <w:color w:val="000000" w:themeColor="text1"/>
                <w:szCs w:val="21"/>
                <w:highlight w:val="none"/>
              </w:rPr>
            </w:pPr>
          </w:p>
        </w:tc>
        <w:tc>
          <w:tcPr>
            <w:tcW w:w="2300" w:type="dxa"/>
            <w:vAlign w:val="center"/>
          </w:tcPr>
          <w:p w14:paraId="5F0CD6B6">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29DC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53B2B7DA">
            <w:pPr>
              <w:jc w:val="center"/>
              <w:rPr>
                <w:rFonts w:ascii="宋体" w:hAnsi="宋体"/>
                <w:color w:val="000000" w:themeColor="text1"/>
                <w:szCs w:val="21"/>
                <w:highlight w:val="none"/>
              </w:rPr>
            </w:pPr>
          </w:p>
        </w:tc>
        <w:tc>
          <w:tcPr>
            <w:tcW w:w="5202" w:type="dxa"/>
            <w:vAlign w:val="center"/>
          </w:tcPr>
          <w:p w14:paraId="158F5617">
            <w:pPr>
              <w:pStyle w:val="32"/>
              <w:ind w:left="420" w:firstLine="420"/>
              <w:rPr>
                <w:rFonts w:ascii="宋体" w:hAnsi="宋体"/>
                <w:color w:val="000000" w:themeColor="text1"/>
                <w:szCs w:val="21"/>
                <w:highlight w:val="none"/>
              </w:rPr>
            </w:pPr>
          </w:p>
        </w:tc>
        <w:tc>
          <w:tcPr>
            <w:tcW w:w="2300" w:type="dxa"/>
            <w:vAlign w:val="center"/>
          </w:tcPr>
          <w:p w14:paraId="3ED44BA2">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7633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538F7919">
            <w:pPr>
              <w:rPr>
                <w:rFonts w:ascii="宋体" w:hAnsi="宋体"/>
                <w:color w:val="000000" w:themeColor="text1"/>
                <w:szCs w:val="21"/>
                <w:highlight w:val="none"/>
              </w:rPr>
            </w:pPr>
          </w:p>
        </w:tc>
        <w:tc>
          <w:tcPr>
            <w:tcW w:w="5202" w:type="dxa"/>
            <w:vAlign w:val="center"/>
          </w:tcPr>
          <w:p w14:paraId="4EBB7C23">
            <w:pPr>
              <w:rPr>
                <w:rFonts w:ascii="宋体" w:hAnsi="宋体"/>
                <w:color w:val="000000" w:themeColor="text1"/>
                <w:szCs w:val="21"/>
                <w:highlight w:val="none"/>
              </w:rPr>
            </w:pPr>
          </w:p>
        </w:tc>
        <w:tc>
          <w:tcPr>
            <w:tcW w:w="2300" w:type="dxa"/>
            <w:vAlign w:val="center"/>
          </w:tcPr>
          <w:p w14:paraId="1C5F0D52">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1878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6456E014">
            <w:pPr>
              <w:pStyle w:val="32"/>
              <w:ind w:left="420" w:firstLine="420"/>
              <w:jc w:val="center"/>
              <w:rPr>
                <w:rFonts w:ascii="宋体" w:hAnsi="宋体"/>
                <w:color w:val="000000" w:themeColor="text1"/>
                <w:szCs w:val="21"/>
                <w:highlight w:val="none"/>
              </w:rPr>
            </w:pPr>
          </w:p>
        </w:tc>
        <w:tc>
          <w:tcPr>
            <w:tcW w:w="5202" w:type="dxa"/>
            <w:vAlign w:val="center"/>
          </w:tcPr>
          <w:p w14:paraId="03405FC5">
            <w:pPr>
              <w:rPr>
                <w:rFonts w:ascii="宋体" w:hAnsi="宋体"/>
                <w:color w:val="000000" w:themeColor="text1"/>
                <w:szCs w:val="21"/>
                <w:highlight w:val="none"/>
              </w:rPr>
            </w:pPr>
          </w:p>
        </w:tc>
        <w:tc>
          <w:tcPr>
            <w:tcW w:w="2300" w:type="dxa"/>
            <w:vAlign w:val="center"/>
          </w:tcPr>
          <w:p w14:paraId="1EEA4635">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7395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6E8C7A9B">
            <w:pPr>
              <w:jc w:val="center"/>
              <w:rPr>
                <w:rFonts w:ascii="宋体" w:hAnsi="宋体"/>
                <w:color w:val="000000" w:themeColor="text1"/>
                <w:szCs w:val="21"/>
                <w:highlight w:val="none"/>
              </w:rPr>
            </w:pPr>
          </w:p>
        </w:tc>
        <w:tc>
          <w:tcPr>
            <w:tcW w:w="5202" w:type="dxa"/>
            <w:vAlign w:val="center"/>
          </w:tcPr>
          <w:p w14:paraId="7043C6A3">
            <w:pPr>
              <w:rPr>
                <w:rFonts w:ascii="宋体" w:hAnsi="宋体"/>
                <w:color w:val="000000" w:themeColor="text1"/>
                <w:szCs w:val="21"/>
                <w:highlight w:val="none"/>
              </w:rPr>
            </w:pPr>
          </w:p>
        </w:tc>
        <w:tc>
          <w:tcPr>
            <w:tcW w:w="2300" w:type="dxa"/>
            <w:vAlign w:val="center"/>
          </w:tcPr>
          <w:p w14:paraId="477FA227">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63F0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3AAAC8A9">
            <w:pPr>
              <w:jc w:val="center"/>
              <w:rPr>
                <w:rFonts w:ascii="宋体" w:hAnsi="宋体"/>
                <w:color w:val="000000" w:themeColor="text1"/>
                <w:szCs w:val="21"/>
                <w:highlight w:val="none"/>
              </w:rPr>
            </w:pPr>
          </w:p>
        </w:tc>
        <w:tc>
          <w:tcPr>
            <w:tcW w:w="5202" w:type="dxa"/>
            <w:vAlign w:val="center"/>
          </w:tcPr>
          <w:p w14:paraId="7A505E47">
            <w:pPr>
              <w:rPr>
                <w:rFonts w:ascii="宋体" w:hAnsi="宋体"/>
                <w:color w:val="000000" w:themeColor="text1"/>
                <w:szCs w:val="21"/>
                <w:highlight w:val="none"/>
              </w:rPr>
            </w:pPr>
          </w:p>
        </w:tc>
        <w:tc>
          <w:tcPr>
            <w:tcW w:w="2300" w:type="dxa"/>
            <w:vAlign w:val="center"/>
          </w:tcPr>
          <w:p w14:paraId="69DB2A25">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032F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5F750A47">
            <w:pPr>
              <w:jc w:val="center"/>
              <w:rPr>
                <w:rFonts w:ascii="宋体" w:hAnsi="宋体"/>
                <w:color w:val="000000" w:themeColor="text1"/>
                <w:szCs w:val="21"/>
                <w:highlight w:val="none"/>
              </w:rPr>
            </w:pPr>
          </w:p>
        </w:tc>
        <w:tc>
          <w:tcPr>
            <w:tcW w:w="5202" w:type="dxa"/>
            <w:vAlign w:val="center"/>
          </w:tcPr>
          <w:p w14:paraId="01CC1585">
            <w:pPr>
              <w:rPr>
                <w:rFonts w:ascii="宋体" w:hAnsi="宋体"/>
                <w:color w:val="000000" w:themeColor="text1"/>
                <w:szCs w:val="21"/>
                <w:highlight w:val="none"/>
              </w:rPr>
            </w:pPr>
          </w:p>
        </w:tc>
        <w:tc>
          <w:tcPr>
            <w:tcW w:w="2300" w:type="dxa"/>
            <w:vAlign w:val="center"/>
          </w:tcPr>
          <w:p w14:paraId="7860D81E">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14:paraId="67A4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Align w:val="center"/>
          </w:tcPr>
          <w:p w14:paraId="00F40054">
            <w:pPr>
              <w:jc w:val="center"/>
              <w:rPr>
                <w:rFonts w:ascii="宋体" w:hAnsi="宋体"/>
                <w:color w:val="000000" w:themeColor="text1"/>
                <w:szCs w:val="21"/>
                <w:highlight w:val="none"/>
              </w:rPr>
            </w:pPr>
          </w:p>
        </w:tc>
        <w:tc>
          <w:tcPr>
            <w:tcW w:w="5202" w:type="dxa"/>
            <w:vAlign w:val="center"/>
          </w:tcPr>
          <w:p w14:paraId="7CCCDBE3">
            <w:pPr>
              <w:pStyle w:val="32"/>
              <w:ind w:left="420" w:firstLine="420"/>
              <w:rPr>
                <w:rFonts w:ascii="宋体" w:hAnsi="宋体"/>
                <w:color w:val="000000" w:themeColor="text1"/>
                <w:szCs w:val="21"/>
                <w:highlight w:val="none"/>
              </w:rPr>
            </w:pPr>
          </w:p>
        </w:tc>
        <w:tc>
          <w:tcPr>
            <w:tcW w:w="2300" w:type="dxa"/>
            <w:vAlign w:val="center"/>
          </w:tcPr>
          <w:p w14:paraId="4F39236E">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bl>
    <w:p w14:paraId="6B2AF062">
      <w:pPr>
        <w:adjustRightInd w:val="0"/>
        <w:snapToGrid w:val="0"/>
        <w:spacing w:line="300" w:lineRule="auto"/>
        <w:rPr>
          <w:rFonts w:ascii="宋体" w:hAnsi="宋体"/>
          <w:color w:val="000000" w:themeColor="text1"/>
          <w:szCs w:val="21"/>
          <w:highlight w:val="none"/>
        </w:rPr>
      </w:pPr>
    </w:p>
    <w:p w14:paraId="03BE0E07">
      <w:pPr>
        <w:adjustRightInd w:val="0"/>
        <w:snapToGrid w:val="0"/>
        <w:spacing w:line="300" w:lineRule="auto"/>
        <w:rPr>
          <w:rFonts w:ascii="宋体" w:hAnsi="宋体"/>
          <w:color w:val="000000" w:themeColor="text1"/>
          <w:szCs w:val="21"/>
          <w:highlight w:val="none"/>
        </w:rPr>
      </w:pPr>
    </w:p>
    <w:p w14:paraId="4E4DC0C7">
      <w:pPr>
        <w:spacing w:line="360" w:lineRule="auto"/>
        <w:rPr>
          <w:rFonts w:ascii="宋体" w:hAnsi="宋体"/>
          <w:color w:val="000000" w:themeColor="text1"/>
          <w:szCs w:val="21"/>
          <w:highlight w:val="none"/>
          <w:u w:val="singl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14:paraId="7CCAFDBE">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投标人名称（签章）：</w:t>
      </w:r>
      <w:r>
        <w:rPr>
          <w:rFonts w:hint="eastAsia" w:ascii="宋体" w:hAnsi="宋体"/>
          <w:color w:val="000000" w:themeColor="text1"/>
          <w:szCs w:val="21"/>
          <w:highlight w:val="none"/>
          <w:u w:val="single"/>
        </w:rPr>
        <w:t xml:space="preserve">                        </w:t>
      </w:r>
    </w:p>
    <w:p w14:paraId="3A1C2A2F">
      <w:pPr>
        <w:adjustRightInd w:val="0"/>
        <w:snapToGrid w:val="0"/>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日期：   年   月   日</w:t>
      </w:r>
    </w:p>
    <w:p w14:paraId="56B690F7">
      <w:pPr>
        <w:pStyle w:val="5"/>
        <w:rPr>
          <w:color w:val="000000" w:themeColor="text1"/>
          <w:highlight w:val="none"/>
        </w:rPr>
      </w:pPr>
    </w:p>
    <w:p w14:paraId="46C83E5A">
      <w:pPr>
        <w:pStyle w:val="5"/>
        <w:rPr>
          <w:color w:val="000000" w:themeColor="text1"/>
          <w:highlight w:val="none"/>
        </w:rPr>
      </w:pPr>
    </w:p>
    <w:p w14:paraId="638892AF">
      <w:pPr>
        <w:pStyle w:val="5"/>
        <w:rPr>
          <w:color w:val="000000" w:themeColor="text1"/>
          <w:highlight w:val="none"/>
        </w:rPr>
      </w:pPr>
    </w:p>
    <w:bookmarkEnd w:id="1333"/>
    <w:bookmarkEnd w:id="1334"/>
    <w:bookmarkEnd w:id="1335"/>
    <w:bookmarkEnd w:id="1336"/>
    <w:bookmarkEnd w:id="1337"/>
    <w:p w14:paraId="2D2D86A7">
      <w:pPr>
        <w:tabs>
          <w:tab w:val="center" w:pos="4483"/>
        </w:tabs>
        <w:rPr>
          <w:rFonts w:ascii="宋体" w:hAnsi="宋体"/>
          <w:bCs/>
          <w:color w:val="000000" w:themeColor="text1"/>
          <w:szCs w:val="21"/>
          <w:highlight w:val="none"/>
        </w:rPr>
      </w:pPr>
      <w:bookmarkStart w:id="1668" w:name="_Toc480021081"/>
      <w:bookmarkStart w:id="1669" w:name="_Toc454701405"/>
      <w:bookmarkStart w:id="1670" w:name="_Toc467236768"/>
      <w:bookmarkStart w:id="1671" w:name="_Toc479991610"/>
      <w:bookmarkStart w:id="1672" w:name="_Toc467987851"/>
      <w:bookmarkStart w:id="1673" w:name="_Toc491658679"/>
      <w:bookmarkStart w:id="1674" w:name="_Toc458262638"/>
      <w:bookmarkStart w:id="1675" w:name="_Toc468157564"/>
      <w:bookmarkStart w:id="1676" w:name="_Toc6727971"/>
      <w:bookmarkStart w:id="1677" w:name="_Toc480020285"/>
      <w:bookmarkStart w:id="1678" w:name="_Toc468606057"/>
      <w:bookmarkStart w:id="1679" w:name="_Toc500861026"/>
      <w:bookmarkStart w:id="1680" w:name="_Toc480010736"/>
      <w:bookmarkStart w:id="1681" w:name="_Toc6397150"/>
    </w:p>
    <w:p w14:paraId="4EDF8F1F">
      <w:pPr>
        <w:pStyle w:val="3"/>
        <w:numPr>
          <w:ilvl w:val="0"/>
          <w:numId w:val="0"/>
        </w:numPr>
        <w:rPr>
          <w:color w:val="000000" w:themeColor="text1"/>
          <w:highlight w:val="none"/>
        </w:rPr>
      </w:pPr>
      <w:bookmarkStart w:id="1682" w:name="_Toc13455"/>
      <w:bookmarkStart w:id="1683" w:name="_Toc13456"/>
      <w:r>
        <w:rPr>
          <w:rFonts w:hint="eastAsia"/>
          <w:color w:val="000000" w:themeColor="text1"/>
          <w:highlight w:val="none"/>
        </w:rPr>
        <w:t>（一）法定代表人（负责人）证明书</w:t>
      </w:r>
      <w:bookmarkEnd w:id="1682"/>
      <w:bookmarkEnd w:id="1683"/>
    </w:p>
    <w:p w14:paraId="59CCE183">
      <w:pPr>
        <w:pStyle w:val="5"/>
        <w:rPr>
          <w:color w:val="000000" w:themeColor="text1"/>
          <w:highlight w:val="none"/>
        </w:rPr>
      </w:pPr>
    </w:p>
    <w:p w14:paraId="087F6FC0">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u w:val="single"/>
        </w:rPr>
        <w:t xml:space="preserve">      单位法定代表人（负责人）姓名     </w:t>
      </w:r>
      <w:r>
        <w:rPr>
          <w:rFonts w:hint="eastAsia" w:ascii="宋体" w:hAnsi="宋体"/>
          <w:color w:val="000000" w:themeColor="text1"/>
          <w:highlight w:val="none"/>
        </w:rPr>
        <w:t>同志，现任</w:t>
      </w:r>
      <w:r>
        <w:rPr>
          <w:rFonts w:hint="eastAsia" w:ascii="宋体" w:hAnsi="宋体"/>
          <w:color w:val="000000" w:themeColor="text1"/>
          <w:highlight w:val="none"/>
          <w:u w:val="single"/>
        </w:rPr>
        <w:t xml:space="preserve">       投标人名称                  </w:t>
      </w:r>
      <w:r>
        <w:rPr>
          <w:rFonts w:hint="eastAsia" w:ascii="宋体" w:hAnsi="宋体"/>
          <w:color w:val="000000" w:themeColor="text1"/>
          <w:highlight w:val="none"/>
        </w:rPr>
        <w:t>的</w:t>
      </w:r>
      <w:r>
        <w:rPr>
          <w:rFonts w:hint="eastAsia" w:ascii="宋体" w:hAnsi="宋体"/>
          <w:color w:val="000000" w:themeColor="text1"/>
          <w:highlight w:val="none"/>
          <w:u w:val="single"/>
        </w:rPr>
        <w:t xml:space="preserve">   职务    </w:t>
      </w:r>
      <w:r>
        <w:rPr>
          <w:rFonts w:hint="eastAsia" w:ascii="宋体" w:hAnsi="宋体"/>
          <w:color w:val="000000" w:themeColor="text1"/>
          <w:highlight w:val="none"/>
        </w:rPr>
        <w:t>，为法定代表人（负责人），特此证明。</w:t>
      </w:r>
    </w:p>
    <w:p w14:paraId="6433B14C">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 xml:space="preserve">      </w:t>
      </w:r>
    </w:p>
    <w:p w14:paraId="7EAD85EF">
      <w:pPr>
        <w:spacing w:line="560" w:lineRule="exact"/>
        <w:ind w:firstLine="420" w:firstLineChars="200"/>
        <w:rPr>
          <w:rFonts w:ascii="宋体" w:hAnsi="宋体"/>
          <w:color w:val="000000" w:themeColor="text1"/>
          <w:highlight w:val="none"/>
          <w:u w:val="single"/>
        </w:rPr>
      </w:pPr>
      <w:r>
        <w:rPr>
          <w:rFonts w:hint="eastAsia" w:ascii="宋体" w:hAnsi="宋体"/>
          <w:color w:val="000000" w:themeColor="text1"/>
          <w:highlight w:val="none"/>
        </w:rPr>
        <w:t>签发单位：</w:t>
      </w:r>
      <w:r>
        <w:rPr>
          <w:rFonts w:hint="eastAsia" w:ascii="宋体" w:hAnsi="宋体"/>
          <w:color w:val="000000" w:themeColor="text1"/>
          <w:highlight w:val="none"/>
          <w:u w:val="single"/>
        </w:rPr>
        <w:t xml:space="preserve">（名称并加盖公章）                      </w:t>
      </w:r>
    </w:p>
    <w:p w14:paraId="3E52BCC9">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14:paraId="01E6EBDF">
      <w:pPr>
        <w:spacing w:line="560" w:lineRule="exact"/>
        <w:ind w:firstLine="420" w:firstLineChars="200"/>
        <w:rPr>
          <w:rFonts w:ascii="宋体" w:hAnsi="宋体"/>
          <w:color w:val="000000" w:themeColor="text1"/>
          <w:highlight w:val="none"/>
        </w:rPr>
      </w:pPr>
    </w:p>
    <w:p w14:paraId="5552FA89">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附：代表人性别：</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年龄：</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岁    </w:t>
      </w:r>
    </w:p>
    <w:p w14:paraId="7FC24C9B">
      <w:pPr>
        <w:spacing w:line="480" w:lineRule="exact"/>
        <w:ind w:firstLine="420" w:firstLineChars="200"/>
        <w:rPr>
          <w:rFonts w:ascii="宋体" w:hAnsi="宋体"/>
          <w:color w:val="000000" w:themeColor="text1"/>
          <w:highlight w:val="none"/>
        </w:rPr>
      </w:pPr>
    </w:p>
    <w:p w14:paraId="278D0412">
      <w:pPr>
        <w:spacing w:line="480" w:lineRule="exact"/>
        <w:ind w:firstLine="420" w:firstLineChars="200"/>
        <w:rPr>
          <w:rFonts w:ascii="宋体" w:hAnsi="宋体"/>
          <w:color w:val="000000" w:themeColor="text1"/>
          <w:highlight w:val="none"/>
        </w:rPr>
      </w:pPr>
      <w:r>
        <w:rPr>
          <w:rFonts w:hint="eastAsia" w:ascii="宋体" w:hAnsi="宋体"/>
          <w:color w:val="000000" w:themeColor="text1"/>
          <w:highlight w:val="none"/>
        </w:rPr>
        <w:t>说明： 内容必须填写真实、清楚，涂改无效，不得转让、买卖。</w:t>
      </w:r>
    </w:p>
    <w:p w14:paraId="10D7BD1F">
      <w:pPr>
        <w:spacing w:line="480" w:lineRule="exact"/>
        <w:ind w:firstLine="420" w:firstLineChars="200"/>
        <w:rPr>
          <w:rFonts w:ascii="宋体" w:hAnsi="宋体"/>
          <w:color w:val="000000" w:themeColor="text1"/>
          <w:highlight w:val="none"/>
        </w:rPr>
      </w:pPr>
    </w:p>
    <w:p w14:paraId="5CB33FD3">
      <w:pPr>
        <w:pStyle w:val="5"/>
        <w:rPr>
          <w:rFonts w:hAnsi="宋体"/>
          <w:color w:val="000000" w:themeColor="text1"/>
          <w:sz w:val="21"/>
          <w:highlight w:val="none"/>
        </w:rPr>
      </w:pPr>
    </w:p>
    <w:p w14:paraId="14CFD5DD">
      <w:pPr>
        <w:pStyle w:val="5"/>
        <w:rPr>
          <w:color w:val="000000" w:themeColor="text1"/>
          <w:highlight w:val="none"/>
        </w:rPr>
        <w:sectPr>
          <w:footerReference r:id="rId11" w:type="first"/>
          <w:footerReference r:id="rId10" w:type="default"/>
          <w:pgSz w:w="11906" w:h="16838"/>
          <w:pgMar w:top="1474" w:right="1418" w:bottom="1474" w:left="1418" w:header="851" w:footer="851" w:gutter="0"/>
          <w:cols w:space="720" w:num="1"/>
          <w:titlePg/>
          <w:docGrid w:linePitch="312" w:charSpace="0"/>
        </w:sectPr>
      </w:pPr>
      <w:r>
        <w:rPr>
          <w:color w:val="000000" w:themeColor="text1"/>
          <w:highlight w:val="none"/>
        </w:rPr>
        <w:pict>
          <v:shape id="_x0000_s1026" o:spid="_x0000_s1026" o:spt="176" type="#_x0000_t176" style="position:absolute;left:0pt;margin-left:68.25pt;margin-top:27.3pt;height:135.65pt;width:273.55pt;z-index:251660288;mso-width-relative:page;mso-height-relative:page;"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6YT0S2AAAAAoBAAAPAAAAAAAAAAEAIAAAACIAAABkcnMv&#10;ZG93bnJldi54bWxQSwECFAAUAAAACACHTuJAIXfpTzwCAABWBAAADgAAAAAAAAABACAAAAAnAQAA&#10;ZHJzL2Uyb0RvYy54bWxQSwUGAAAAAAYABgBZAQAA1QUAAAAA&#10;">
            <v:path/>
            <v:fill focussize="0,0"/>
            <v:stroke joinstyle="miter"/>
            <v:imagedata o:title=""/>
            <o:lock v:ext="edit"/>
            <v:textbox>
              <w:txbxContent>
                <w:p w14:paraId="5021CD25"/>
                <w:p w14:paraId="07D2A68E"/>
                <w:p w14:paraId="2D40D5CF">
                  <w:pPr>
                    <w:jc w:val="center"/>
                  </w:pPr>
                  <w:r>
                    <w:rPr>
                      <w:rFonts w:hint="eastAsia"/>
                    </w:rPr>
                    <w:t>身份证正反面复印件</w:t>
                  </w:r>
                </w:p>
              </w:txbxContent>
            </v:textbox>
          </v:shape>
        </w:pict>
      </w:r>
    </w:p>
    <w:p w14:paraId="67ED7524">
      <w:pPr>
        <w:pStyle w:val="3"/>
        <w:numPr>
          <w:ilvl w:val="0"/>
          <w:numId w:val="0"/>
        </w:numPr>
        <w:rPr>
          <w:color w:val="000000" w:themeColor="text1"/>
          <w:highlight w:val="none"/>
        </w:rPr>
      </w:pPr>
      <w:bookmarkStart w:id="1684" w:name="_Toc22734"/>
      <w:bookmarkStart w:id="1685" w:name="_Toc27194"/>
      <w:r>
        <w:rPr>
          <w:rFonts w:hint="eastAsia"/>
          <w:color w:val="000000" w:themeColor="text1"/>
          <w:highlight w:val="none"/>
        </w:rPr>
        <w:t>（二）法定代表人（负责人）授权书</w:t>
      </w:r>
      <w:bookmarkEnd w:id="1684"/>
      <w:bookmarkEnd w:id="1685"/>
    </w:p>
    <w:p w14:paraId="36467B7F">
      <w:pPr>
        <w:spacing w:line="360" w:lineRule="auto"/>
        <w:ind w:firstLine="420" w:firstLineChars="200"/>
        <w:rPr>
          <w:rFonts w:ascii="宋体" w:hAnsi="宋体"/>
          <w:bCs/>
          <w:color w:val="000000" w:themeColor="text1"/>
          <w:kern w:val="0"/>
          <w:highlight w:val="none"/>
        </w:rPr>
      </w:pPr>
    </w:p>
    <w:p w14:paraId="163B8FF2">
      <w:pPr>
        <w:spacing w:line="360" w:lineRule="auto"/>
        <w:ind w:firstLine="420" w:firstLineChars="200"/>
        <w:rPr>
          <w:color w:val="000000" w:themeColor="text1"/>
          <w:highlight w:val="none"/>
        </w:rPr>
      </w:pPr>
      <w:r>
        <w:rPr>
          <w:rFonts w:hint="eastAsia" w:ascii="宋体" w:hAnsi="宋体"/>
          <w:bCs/>
          <w:color w:val="000000" w:themeColor="text1"/>
          <w:kern w:val="0"/>
          <w:highlight w:val="none"/>
        </w:rPr>
        <w:t>本授权委托书声明：我</w:t>
      </w:r>
      <w:r>
        <w:rPr>
          <w:rFonts w:hint="eastAsia" w:ascii="宋体" w:hAnsi="宋体"/>
          <w:bCs/>
          <w:color w:val="000000" w:themeColor="text1"/>
          <w:kern w:val="0"/>
          <w:highlight w:val="none"/>
          <w:u w:val="single"/>
        </w:rPr>
        <w:t xml:space="preserve">       （单位法定代表人（负责人）姓名）</w:t>
      </w:r>
      <w:r>
        <w:rPr>
          <w:rFonts w:hint="eastAsia" w:ascii="宋体" w:hAnsi="宋体"/>
          <w:bCs/>
          <w:color w:val="000000" w:themeColor="text1"/>
          <w:kern w:val="0"/>
          <w:highlight w:val="none"/>
        </w:rPr>
        <w:t xml:space="preserve"> 系</w:t>
      </w:r>
      <w:r>
        <w:rPr>
          <w:rFonts w:hint="eastAsia" w:ascii="宋体" w:hAnsi="宋体"/>
          <w:bCs/>
          <w:color w:val="000000" w:themeColor="text1"/>
          <w:kern w:val="0"/>
          <w:highlight w:val="none"/>
          <w:u w:val="single"/>
        </w:rPr>
        <w:t xml:space="preserve">       （投标人名称）</w:t>
      </w:r>
      <w:r>
        <w:rPr>
          <w:rFonts w:hint="eastAsia" w:ascii="宋体" w:hAnsi="宋体"/>
          <w:bCs/>
          <w:color w:val="000000" w:themeColor="text1"/>
          <w:kern w:val="0"/>
          <w:highlight w:val="none"/>
        </w:rPr>
        <w:t>的法定代表人（负责人），现授权委托</w:t>
      </w:r>
      <w:r>
        <w:rPr>
          <w:rFonts w:hint="eastAsia" w:ascii="宋体" w:hAnsi="宋体"/>
          <w:bCs/>
          <w:color w:val="000000" w:themeColor="text1"/>
          <w:kern w:val="0"/>
          <w:highlight w:val="none"/>
          <w:u w:val="single"/>
        </w:rPr>
        <w:t xml:space="preserve">                        （投标人名称）</w:t>
      </w:r>
      <w:r>
        <w:rPr>
          <w:rFonts w:hint="eastAsia" w:ascii="宋体" w:hAnsi="宋体"/>
          <w:bCs/>
          <w:color w:val="000000" w:themeColor="text1"/>
          <w:kern w:val="0"/>
          <w:highlight w:val="none"/>
        </w:rPr>
        <w:t>的</w:t>
      </w:r>
      <w:r>
        <w:rPr>
          <w:rFonts w:hint="eastAsia" w:ascii="宋体" w:hAnsi="宋体"/>
          <w:bCs/>
          <w:color w:val="000000" w:themeColor="text1"/>
          <w:kern w:val="0"/>
          <w:highlight w:val="none"/>
          <w:u w:val="single"/>
        </w:rPr>
        <w:t xml:space="preserve">            （代理人姓名）</w:t>
      </w:r>
      <w:r>
        <w:rPr>
          <w:rFonts w:hint="eastAsia" w:ascii="宋体" w:hAnsi="宋体"/>
          <w:bCs/>
          <w:color w:val="000000" w:themeColor="text1"/>
          <w:kern w:val="0"/>
          <w:highlight w:val="none"/>
        </w:rPr>
        <w:t>为我公司代理人，以本公司的名义参加广东业信采购招标有限公司组织的</w:t>
      </w:r>
      <w:r>
        <w:rPr>
          <w:rFonts w:hint="eastAsia"/>
          <w:color w:val="000000" w:themeColor="text1"/>
          <w:szCs w:val="21"/>
          <w:highlight w:val="none"/>
        </w:rPr>
        <w:t>（项目名称：</w:t>
      </w:r>
      <w:r>
        <w:rPr>
          <w:rFonts w:hint="eastAsia"/>
          <w:color w:val="000000" w:themeColor="text1"/>
          <w:szCs w:val="21"/>
          <w:highlight w:val="none"/>
          <w:u w:val="single"/>
        </w:rPr>
        <w:t xml:space="preserve">                      </w:t>
      </w:r>
      <w:r>
        <w:rPr>
          <w:rFonts w:hint="eastAsia"/>
          <w:color w:val="000000" w:themeColor="text1"/>
          <w:szCs w:val="21"/>
          <w:highlight w:val="none"/>
        </w:rPr>
        <w:t>）</w:t>
      </w:r>
      <w:r>
        <w:rPr>
          <w:rFonts w:hint="eastAsia" w:ascii="宋体" w:hAnsi="宋体"/>
          <w:bCs/>
          <w:color w:val="000000" w:themeColor="text1"/>
          <w:highlight w:val="none"/>
        </w:rPr>
        <w:t>招标（</w:t>
      </w:r>
      <w:r>
        <w:rPr>
          <w:rFonts w:hint="eastAsia"/>
          <w:color w:val="000000" w:themeColor="text1"/>
          <w:szCs w:val="21"/>
          <w:highlight w:val="none"/>
        </w:rPr>
        <w:t>项目编号：</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w:t>
      </w:r>
      <w:r>
        <w:rPr>
          <w:rFonts w:hint="eastAsia" w:ascii="宋体" w:hAnsi="宋体"/>
          <w:bCs/>
          <w:color w:val="000000" w:themeColor="text1"/>
          <w:kern w:val="0"/>
          <w:highlight w:val="none"/>
        </w:rPr>
        <w:t>的投标活动。代理人在开标、评标、合同谈判过程中所签署的一切文件和处理与之有关的一切事务，我均予以承认。本授权委托书自签署之日起生效，特此声明。</w:t>
      </w:r>
    </w:p>
    <w:p w14:paraId="2E6144E7">
      <w:pPr>
        <w:spacing w:line="560" w:lineRule="exact"/>
        <w:ind w:firstLine="420" w:firstLineChars="200"/>
        <w:rPr>
          <w:rFonts w:ascii="宋体" w:hAnsi="宋体"/>
          <w:bCs/>
          <w:color w:val="000000" w:themeColor="text1"/>
          <w:kern w:val="0"/>
          <w:highlight w:val="none"/>
        </w:rPr>
      </w:pPr>
      <w:r>
        <w:rPr>
          <w:rFonts w:hint="eastAsia" w:ascii="宋体" w:hAnsi="宋体"/>
          <w:bCs/>
          <w:color w:val="000000" w:themeColor="text1"/>
          <w:kern w:val="0"/>
          <w:highlight w:val="none"/>
        </w:rPr>
        <w:t>代理人无转移委托权。</w:t>
      </w:r>
    </w:p>
    <w:p w14:paraId="52DF1569">
      <w:pPr>
        <w:spacing w:line="560" w:lineRule="exact"/>
        <w:ind w:firstLine="420" w:firstLineChars="200"/>
        <w:rPr>
          <w:rFonts w:ascii="宋体" w:hAnsi="宋体"/>
          <w:bCs/>
          <w:color w:val="000000" w:themeColor="text1"/>
          <w:kern w:val="0"/>
          <w:highlight w:val="none"/>
        </w:rPr>
      </w:pPr>
      <w:r>
        <w:rPr>
          <w:rFonts w:hint="eastAsia" w:ascii="宋体" w:hAnsi="宋体"/>
          <w:bCs/>
          <w:color w:val="000000" w:themeColor="text1"/>
          <w:kern w:val="0"/>
          <w:highlight w:val="none"/>
        </w:rPr>
        <w:t>特此委托。</w:t>
      </w:r>
    </w:p>
    <w:p w14:paraId="51071F39">
      <w:pPr>
        <w:autoSpaceDE w:val="0"/>
        <w:autoSpaceDN w:val="0"/>
        <w:adjustRightInd w:val="0"/>
        <w:snapToGrid w:val="0"/>
        <w:spacing w:line="440" w:lineRule="exact"/>
        <w:ind w:firstLine="600"/>
        <w:jc w:val="left"/>
        <w:rPr>
          <w:rFonts w:ascii="宋体" w:hAnsi="宋体"/>
          <w:bCs/>
          <w:color w:val="000000" w:themeColor="text1"/>
          <w:kern w:val="0"/>
          <w:highlight w:val="none"/>
        </w:rPr>
      </w:pPr>
    </w:p>
    <w:p w14:paraId="5BCF22B2">
      <w:pPr>
        <w:spacing w:line="560" w:lineRule="exact"/>
        <w:ind w:firstLine="420" w:firstLineChars="200"/>
        <w:rPr>
          <w:rFonts w:ascii="宋体" w:hAnsi="宋体"/>
          <w:bCs/>
          <w:color w:val="000000" w:themeColor="text1"/>
          <w:kern w:val="0"/>
          <w:highlight w:val="none"/>
          <w:u w:val="single"/>
        </w:rPr>
      </w:pPr>
      <w:r>
        <w:rPr>
          <w:rFonts w:hint="eastAsia" w:ascii="宋体" w:hAnsi="宋体"/>
          <w:bCs/>
          <w:color w:val="000000" w:themeColor="text1"/>
          <w:kern w:val="0"/>
          <w:highlight w:val="none"/>
        </w:rPr>
        <w:t>代理人：</w:t>
      </w:r>
      <w:r>
        <w:rPr>
          <w:rFonts w:hint="eastAsia" w:ascii="宋体" w:hAnsi="宋体"/>
          <w:bCs/>
          <w:color w:val="000000" w:themeColor="text1"/>
          <w:kern w:val="0"/>
          <w:highlight w:val="none"/>
          <w:u w:val="single"/>
        </w:rPr>
        <w:t xml:space="preserve">   </w:t>
      </w:r>
      <w:r>
        <w:rPr>
          <w:rFonts w:ascii="宋体" w:hAnsi="宋体"/>
          <w:bCs/>
          <w:color w:val="000000" w:themeColor="text1"/>
          <w:kern w:val="0"/>
          <w:highlight w:val="none"/>
          <w:u w:val="single"/>
        </w:rPr>
        <w:t xml:space="preserve"> </w:t>
      </w:r>
      <w:r>
        <w:rPr>
          <w:rFonts w:hint="eastAsia" w:ascii="宋体" w:hAnsi="宋体"/>
          <w:bCs/>
          <w:color w:val="000000" w:themeColor="text1"/>
          <w:kern w:val="0"/>
          <w:highlight w:val="none"/>
          <w:u w:val="single"/>
        </w:rPr>
        <w:t xml:space="preserve">      </w:t>
      </w:r>
      <w:r>
        <w:rPr>
          <w:rFonts w:hint="eastAsia" w:ascii="宋体" w:hAnsi="宋体"/>
          <w:bCs/>
          <w:color w:val="000000" w:themeColor="text1"/>
          <w:kern w:val="0"/>
          <w:highlight w:val="none"/>
        </w:rPr>
        <w:t xml:space="preserve">    性别：</w:t>
      </w:r>
      <w:r>
        <w:rPr>
          <w:rFonts w:hint="eastAsia" w:ascii="宋体" w:hAnsi="宋体"/>
          <w:bCs/>
          <w:color w:val="000000" w:themeColor="text1"/>
          <w:kern w:val="0"/>
          <w:highlight w:val="none"/>
          <w:u w:val="single"/>
        </w:rPr>
        <w:t xml:space="preserve">         </w:t>
      </w:r>
      <w:r>
        <w:rPr>
          <w:rFonts w:hint="eastAsia" w:ascii="宋体" w:hAnsi="宋体"/>
          <w:bCs/>
          <w:color w:val="000000" w:themeColor="text1"/>
          <w:kern w:val="0"/>
          <w:highlight w:val="none"/>
        </w:rPr>
        <w:t xml:space="preserve">   年龄：</w:t>
      </w:r>
      <w:r>
        <w:rPr>
          <w:rFonts w:hint="eastAsia" w:ascii="宋体" w:hAnsi="宋体"/>
          <w:bCs/>
          <w:color w:val="000000" w:themeColor="text1"/>
          <w:kern w:val="0"/>
          <w:highlight w:val="none"/>
          <w:u w:val="single"/>
        </w:rPr>
        <w:t xml:space="preserve">           </w:t>
      </w:r>
      <w:r>
        <w:rPr>
          <w:rFonts w:hint="eastAsia" w:ascii="宋体" w:hAnsi="宋体"/>
          <w:bCs/>
          <w:color w:val="000000" w:themeColor="text1"/>
          <w:kern w:val="0"/>
          <w:highlight w:val="none"/>
        </w:rPr>
        <w:t xml:space="preserve">   职务：</w:t>
      </w:r>
      <w:r>
        <w:rPr>
          <w:rFonts w:hint="eastAsia" w:ascii="宋体" w:hAnsi="宋体"/>
          <w:bCs/>
          <w:color w:val="000000" w:themeColor="text1"/>
          <w:kern w:val="0"/>
          <w:highlight w:val="none"/>
          <w:u w:val="single"/>
        </w:rPr>
        <w:t xml:space="preserve">           </w:t>
      </w:r>
    </w:p>
    <w:p w14:paraId="06B314C8">
      <w:pPr>
        <w:spacing w:line="560" w:lineRule="exact"/>
        <w:ind w:firstLine="420" w:firstLineChars="200"/>
        <w:rPr>
          <w:rFonts w:ascii="宋体" w:hAnsi="宋体"/>
          <w:bCs/>
          <w:color w:val="000000" w:themeColor="text1"/>
          <w:kern w:val="0"/>
          <w:highlight w:val="none"/>
          <w:u w:val="single"/>
        </w:rPr>
      </w:pPr>
      <w:r>
        <w:rPr>
          <w:rFonts w:hint="eastAsia" w:ascii="宋体" w:hAnsi="宋体"/>
          <w:bCs/>
          <w:color w:val="000000" w:themeColor="text1"/>
          <w:kern w:val="0"/>
          <w:highlight w:val="none"/>
        </w:rPr>
        <w:t>投标人：</w:t>
      </w:r>
      <w:r>
        <w:rPr>
          <w:rFonts w:hint="eastAsia" w:ascii="宋体" w:hAnsi="宋体"/>
          <w:bCs/>
          <w:color w:val="000000" w:themeColor="text1"/>
          <w:kern w:val="0"/>
          <w:highlight w:val="none"/>
          <w:u w:val="single"/>
        </w:rPr>
        <w:t xml:space="preserve">          （名称并加盖公章）                                         </w:t>
      </w:r>
    </w:p>
    <w:p w14:paraId="470A135E">
      <w:pPr>
        <w:spacing w:line="560" w:lineRule="exact"/>
        <w:ind w:firstLine="420" w:firstLineChars="200"/>
        <w:rPr>
          <w:rFonts w:ascii="宋体" w:hAnsi="宋体"/>
          <w:bCs/>
          <w:color w:val="000000" w:themeColor="text1"/>
          <w:kern w:val="0"/>
          <w:highlight w:val="none"/>
          <w:u w:val="single"/>
        </w:rPr>
      </w:pPr>
      <w:r>
        <w:rPr>
          <w:rFonts w:hint="eastAsia" w:ascii="宋体" w:hAnsi="宋体"/>
          <w:bCs/>
          <w:color w:val="000000" w:themeColor="text1"/>
          <w:kern w:val="0"/>
          <w:highlight w:val="none"/>
        </w:rPr>
        <w:t>法定代表人（负责人）：</w:t>
      </w:r>
      <w:r>
        <w:rPr>
          <w:rFonts w:hint="eastAsia" w:ascii="宋体" w:hAnsi="宋体"/>
          <w:bCs/>
          <w:color w:val="000000" w:themeColor="text1"/>
          <w:kern w:val="0"/>
          <w:highlight w:val="none"/>
          <w:u w:val="single"/>
        </w:rPr>
        <w:t xml:space="preserve">    （签字或盖章）         </w:t>
      </w:r>
    </w:p>
    <w:p w14:paraId="50B7289C">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14:paraId="20A8DB27">
      <w:pPr>
        <w:autoSpaceDE w:val="0"/>
        <w:autoSpaceDN w:val="0"/>
        <w:adjustRightInd w:val="0"/>
        <w:snapToGrid w:val="0"/>
        <w:spacing w:line="360" w:lineRule="auto"/>
        <w:ind w:firstLine="630"/>
        <w:rPr>
          <w:rFonts w:ascii="宋体" w:hAnsi="宋体"/>
          <w:bCs/>
          <w:color w:val="000000" w:themeColor="text1"/>
          <w:kern w:val="0"/>
          <w:highlight w:val="none"/>
        </w:rPr>
      </w:pPr>
    </w:p>
    <w:p w14:paraId="2209943A">
      <w:pPr>
        <w:rPr>
          <w:rFonts w:ascii="宋体" w:hAnsi="宋体"/>
          <w:b/>
          <w:color w:val="000000" w:themeColor="text1"/>
          <w:szCs w:val="21"/>
          <w:highlight w:val="none"/>
        </w:rPr>
      </w:pPr>
      <w:r>
        <w:rPr>
          <w:rFonts w:hint="eastAsia" w:ascii="宋体" w:hAnsi="宋体"/>
          <w:b/>
          <w:color w:val="000000" w:themeColor="text1"/>
          <w:szCs w:val="21"/>
          <w:highlight w:val="none"/>
        </w:rPr>
        <w:t>（注：投标人的投标文件为法定代表人（负责人）签署并由法定代表人（负责人）亲自递交投标文件和参加开标会的，不须提供该委托书，但需提供法定代表人（负责人）证明书及法定代表人（负责人）的身份证复印件。）</w:t>
      </w:r>
    </w:p>
    <w:p w14:paraId="7C70FC03">
      <w:pPr>
        <w:rPr>
          <w:color w:val="000000" w:themeColor="text1"/>
          <w:highlight w:val="none"/>
        </w:rPr>
      </w:pPr>
    </w:p>
    <w:p w14:paraId="65901072">
      <w:pPr>
        <w:rPr>
          <w:color w:val="000000" w:themeColor="text1"/>
          <w:highlight w:val="none"/>
        </w:rPr>
      </w:pPr>
    </w:p>
    <w:p w14:paraId="68B13E27">
      <w:pPr>
        <w:rPr>
          <w:color w:val="000000" w:themeColor="text1"/>
          <w:highlight w:val="none"/>
        </w:rPr>
      </w:pPr>
      <w:r>
        <w:rPr>
          <w:color w:val="000000" w:themeColor="text1"/>
          <w:highlight w:val="none"/>
        </w:rPr>
        <w:pict>
          <v:shape id="_x0000_s1027" o:spid="_x0000_s1027" o:spt="176" type="#_x0000_t176" style="position:absolute;left:0pt;margin-left:99.75pt;margin-top:-0.05pt;height:137.65pt;width:275.8pt;z-index:251659264;mso-width-relative:page;mso-height-relative:page;"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9gKkNcAAAAJAQAADwAAAAAAAAABACAAAAAiAAAAZHJzL2Rv&#10;d25yZXYueG1sUEsBAhQAFAAAAAgAh07iQF9ptNI7AgAAVgQAAA4AAAAAAAAAAQAgAAAAJgEAAGRy&#10;cy9lMm9Eb2MueG1sUEsFBgAAAAAGAAYAWQEAANMFAAAAAA==&#10;">
            <v:path/>
            <v:fill focussize="0,0"/>
            <v:stroke joinstyle="miter"/>
            <v:imagedata o:title=""/>
            <o:lock v:ext="edit"/>
            <v:textbox>
              <w:txbxContent>
                <w:p w14:paraId="05D64343"/>
                <w:p w14:paraId="5DFFFC98"/>
                <w:p w14:paraId="45E85E03"/>
                <w:p w14:paraId="71EDEDBE">
                  <w:pPr>
                    <w:jc w:val="center"/>
                  </w:pPr>
                  <w:r>
                    <w:rPr>
                      <w:rFonts w:hint="eastAsia"/>
                    </w:rPr>
                    <w:t>身份证正反面复印件</w:t>
                  </w:r>
                </w:p>
              </w:txbxContent>
            </v:textbox>
          </v:shape>
        </w:pict>
      </w:r>
    </w:p>
    <w:p w14:paraId="0057B8AE">
      <w:pPr>
        <w:rPr>
          <w:color w:val="000000" w:themeColor="text1"/>
          <w:highlight w:val="none"/>
        </w:rPr>
      </w:pPr>
    </w:p>
    <w:p w14:paraId="768C1198">
      <w:pPr>
        <w:rPr>
          <w:color w:val="000000" w:themeColor="text1"/>
          <w:highlight w:val="none"/>
        </w:rPr>
      </w:pPr>
    </w:p>
    <w:p w14:paraId="61A315F2">
      <w:pPr>
        <w:rPr>
          <w:color w:val="000000" w:themeColor="text1"/>
          <w:highlight w:val="none"/>
        </w:rPr>
      </w:pPr>
    </w:p>
    <w:p w14:paraId="3F3A06E7">
      <w:pPr>
        <w:rPr>
          <w:color w:val="000000" w:themeColor="text1"/>
          <w:highlight w:val="none"/>
        </w:rPr>
      </w:pPr>
    </w:p>
    <w:p w14:paraId="16492B53">
      <w:pPr>
        <w:rPr>
          <w:color w:val="000000" w:themeColor="text1"/>
          <w:highlight w:val="none"/>
        </w:rPr>
      </w:pPr>
    </w:p>
    <w:p w14:paraId="6D0E4F25">
      <w:pPr>
        <w:rPr>
          <w:color w:val="000000" w:themeColor="text1"/>
          <w:highlight w:val="none"/>
        </w:rPr>
      </w:pPr>
    </w:p>
    <w:p w14:paraId="05DA0D1D">
      <w:pPr>
        <w:rPr>
          <w:color w:val="000000" w:themeColor="text1"/>
          <w:highlight w:val="none"/>
        </w:rPr>
      </w:pPr>
    </w:p>
    <w:p w14:paraId="2DA5A9A2">
      <w:pPr>
        <w:rPr>
          <w:color w:val="000000" w:themeColor="text1"/>
          <w:highlight w:val="none"/>
        </w:rPr>
      </w:pPr>
    </w:p>
    <w:p w14:paraId="358327A9">
      <w:pPr>
        <w:tabs>
          <w:tab w:val="center" w:pos="4483"/>
        </w:tabs>
        <w:rPr>
          <w:rFonts w:ascii="宋体" w:hAnsi="宋体"/>
          <w:bCs/>
          <w:color w:val="000000" w:themeColor="text1"/>
          <w:szCs w:val="21"/>
          <w:highlight w:val="none"/>
        </w:rPr>
      </w:pPr>
    </w:p>
    <w:p w14:paraId="3C6E57F4">
      <w:pPr>
        <w:tabs>
          <w:tab w:val="center" w:pos="4483"/>
        </w:tabs>
        <w:rPr>
          <w:rFonts w:ascii="宋体" w:hAnsi="宋体"/>
          <w:bCs/>
          <w:color w:val="000000" w:themeColor="text1"/>
          <w:szCs w:val="21"/>
          <w:highlight w:val="none"/>
        </w:rPr>
      </w:pPr>
    </w:p>
    <w:p w14:paraId="53DD5E87">
      <w:pPr>
        <w:tabs>
          <w:tab w:val="center" w:pos="4483"/>
        </w:tabs>
        <w:rPr>
          <w:rFonts w:ascii="宋体" w:hAnsi="宋体"/>
          <w:bCs/>
          <w:color w:val="000000" w:themeColor="text1"/>
          <w:szCs w:val="21"/>
          <w:highlight w:val="none"/>
        </w:rPr>
      </w:pPr>
    </w:p>
    <w:p w14:paraId="73C09586">
      <w:pPr>
        <w:tabs>
          <w:tab w:val="center" w:pos="4483"/>
        </w:tabs>
        <w:rPr>
          <w:rFonts w:ascii="宋体" w:hAnsi="宋体"/>
          <w:bCs/>
          <w:color w:val="000000" w:themeColor="text1"/>
          <w:szCs w:val="21"/>
          <w:highlight w:val="none"/>
        </w:rPr>
        <w:sectPr>
          <w:footerReference r:id="rId12" w:type="default"/>
          <w:pgSz w:w="11906" w:h="16838"/>
          <w:pgMar w:top="1418" w:right="1474" w:bottom="1418" w:left="1474" w:header="851" w:footer="851" w:gutter="0"/>
          <w:cols w:space="720" w:num="1"/>
          <w:titlePg/>
          <w:docGrid w:linePitch="312" w:charSpace="0"/>
        </w:sectPr>
      </w:pPr>
    </w:p>
    <w:p w14:paraId="5D7F6087">
      <w:pPr>
        <w:pStyle w:val="3"/>
        <w:numPr>
          <w:ilvl w:val="0"/>
          <w:numId w:val="0"/>
        </w:numPr>
        <w:rPr>
          <w:color w:val="000000" w:themeColor="text1"/>
          <w:highlight w:val="none"/>
        </w:rPr>
      </w:pPr>
      <w:bookmarkStart w:id="1686" w:name="_Toc365985199"/>
      <w:bookmarkStart w:id="1687" w:name="_Toc330460007"/>
      <w:bookmarkStart w:id="1688" w:name="_Toc366072550"/>
      <w:bookmarkStart w:id="1689" w:name="_Toc333237699"/>
      <w:bookmarkStart w:id="1690" w:name="_Toc336681956"/>
      <w:bookmarkStart w:id="1691" w:name="_Toc339019910"/>
      <w:bookmarkStart w:id="1692" w:name="_Toc365967093"/>
      <w:bookmarkStart w:id="1693" w:name="_Toc331512922"/>
      <w:bookmarkStart w:id="1694" w:name="_Toc339020254"/>
      <w:bookmarkStart w:id="1695" w:name="_Toc333237810"/>
      <w:bookmarkStart w:id="1696" w:name="_Toc339020116"/>
      <w:bookmarkStart w:id="1697" w:name="_Toc337632379"/>
      <w:bookmarkStart w:id="1698" w:name="_Toc340507463"/>
      <w:bookmarkStart w:id="1699" w:name="_Toc332270368"/>
      <w:bookmarkStart w:id="1700" w:name="_Toc333935708"/>
      <w:bookmarkStart w:id="1701" w:name="_Toc339362321"/>
      <w:bookmarkStart w:id="1702" w:name="_Toc7090"/>
      <w:bookmarkStart w:id="1703" w:name="_Toc343248439"/>
      <w:bookmarkStart w:id="1704" w:name="_Toc342398151"/>
      <w:bookmarkStart w:id="1705" w:name="_Toc333935367"/>
      <w:bookmarkStart w:id="1706" w:name="_Toc333238655"/>
      <w:bookmarkStart w:id="1707" w:name="_Toc342296782"/>
      <w:bookmarkStart w:id="1708" w:name="_Toc342312464"/>
      <w:bookmarkStart w:id="1709" w:name="_Toc342060396"/>
      <w:bookmarkStart w:id="1710" w:name="_Toc343247121"/>
      <w:bookmarkStart w:id="1711" w:name="_Toc350438770"/>
      <w:bookmarkStart w:id="1712" w:name="_Toc336681601"/>
      <w:bookmarkStart w:id="1713" w:name="_Toc339020036"/>
      <w:bookmarkStart w:id="1714" w:name="_Toc332206730"/>
      <w:bookmarkStart w:id="1715" w:name="_Toc350756471"/>
      <w:bookmarkStart w:id="1716" w:name="_Toc340677091"/>
      <w:bookmarkStart w:id="1717" w:name="_Toc331684063"/>
      <w:bookmarkStart w:id="1718" w:name="_Toc340672890"/>
      <w:bookmarkStart w:id="1719" w:name="_Toc341348361"/>
      <w:bookmarkStart w:id="1720" w:name="_Toc343612941"/>
      <w:bookmarkStart w:id="1721" w:name="_Toc345312618"/>
      <w:bookmarkStart w:id="1722" w:name="_Toc339441108"/>
      <w:r>
        <w:rPr>
          <w:rFonts w:hint="eastAsia"/>
          <w:color w:val="000000" w:themeColor="text1"/>
          <w:highlight w:val="none"/>
        </w:rPr>
        <w:t>附件一：投标</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r>
        <w:rPr>
          <w:rFonts w:hint="eastAsia"/>
          <w:color w:val="000000" w:themeColor="text1"/>
          <w:highlight w:val="none"/>
        </w:rPr>
        <w:t>函</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14:paraId="665102F5">
      <w:pPr>
        <w:widowControl/>
        <w:spacing w:line="400" w:lineRule="exact"/>
        <w:jc w:val="left"/>
        <w:rPr>
          <w:rFonts w:ascii="宋体" w:hAnsi="宋体" w:cs="宋体"/>
          <w:b/>
          <w:color w:val="000000" w:themeColor="text1"/>
          <w:kern w:val="0"/>
          <w:sz w:val="24"/>
          <w:highlight w:val="none"/>
          <w:u w:val="single"/>
        </w:rPr>
      </w:pPr>
      <w:r>
        <w:rPr>
          <w:rFonts w:ascii="宋体" w:hAnsi="宋体"/>
          <w:b/>
          <w:bCs/>
          <w:color w:val="000000" w:themeColor="text1"/>
          <w:highlight w:val="none"/>
        </w:rPr>
        <w:t>致</w:t>
      </w:r>
      <w:r>
        <w:rPr>
          <w:rFonts w:ascii="宋体" w:hAnsi="宋体"/>
          <w:b/>
          <w:bCs/>
          <w:color w:val="000000" w:themeColor="text1"/>
          <w:highlight w:val="none"/>
          <w:u w:val="single"/>
        </w:rPr>
        <w:t>（采购人</w:t>
      </w:r>
      <w:r>
        <w:rPr>
          <w:rFonts w:hint="eastAsia" w:ascii="宋体" w:hAnsi="宋体"/>
          <w:b/>
          <w:bCs/>
          <w:color w:val="000000" w:themeColor="text1"/>
          <w:highlight w:val="none"/>
          <w:u w:val="single"/>
        </w:rPr>
        <w:t>名称</w:t>
      </w:r>
      <w:r>
        <w:rPr>
          <w:rFonts w:ascii="宋体" w:hAnsi="宋体"/>
          <w:b/>
          <w:bCs/>
          <w:color w:val="000000" w:themeColor="text1"/>
          <w:highlight w:val="none"/>
          <w:u w:val="single"/>
        </w:rPr>
        <w:t>）           </w:t>
      </w:r>
      <w:r>
        <w:rPr>
          <w:rFonts w:ascii="宋体" w:hAnsi="宋体" w:cs="宋体"/>
          <w:b/>
          <w:color w:val="000000" w:themeColor="text1"/>
          <w:kern w:val="0"/>
          <w:sz w:val="24"/>
          <w:highlight w:val="none"/>
        </w:rPr>
        <w:t xml:space="preserve">： </w:t>
      </w:r>
    </w:p>
    <w:p w14:paraId="127AD800">
      <w:pPr>
        <w:adjustRightInd w:val="0"/>
        <w:snapToGrid w:val="0"/>
        <w:spacing w:line="400" w:lineRule="exact"/>
        <w:ind w:firstLine="420"/>
        <w:rPr>
          <w:rFonts w:ascii="宋体" w:hAnsi="宋体"/>
          <w:b/>
          <w:bCs/>
          <w:color w:val="000000" w:themeColor="text1"/>
          <w:highlight w:val="none"/>
        </w:rPr>
      </w:pPr>
      <w:r>
        <w:rPr>
          <w:rFonts w:hint="eastAsia" w:ascii="宋体" w:hAnsi="宋体"/>
          <w:b/>
          <w:bCs/>
          <w:color w:val="000000" w:themeColor="text1"/>
          <w:highlight w:val="none"/>
        </w:rPr>
        <w:t>根据贵方就</w:t>
      </w:r>
      <w:r>
        <w:rPr>
          <w:rFonts w:hint="eastAsia" w:hAnsi="宋体" w:cs="宋体"/>
          <w:b/>
          <w:color w:val="000000" w:themeColor="text1"/>
          <w:szCs w:val="21"/>
          <w:highlight w:val="none"/>
          <w:u w:val="single"/>
        </w:rPr>
        <w:t>项目名称</w:t>
      </w:r>
      <w:r>
        <w:rPr>
          <w:rFonts w:hint="eastAsia" w:ascii="宋体" w:hAnsi="宋体" w:cs="宋体"/>
          <w:b/>
          <w:color w:val="000000" w:themeColor="text1"/>
          <w:szCs w:val="21"/>
          <w:highlight w:val="none"/>
          <w:u w:val="single"/>
        </w:rPr>
        <w:t xml:space="preserve">，由投标人填写    </w:t>
      </w:r>
      <w:r>
        <w:rPr>
          <w:rFonts w:hint="eastAsia" w:ascii="宋体" w:hAnsi="宋体"/>
          <w:b/>
          <w:bCs/>
          <w:color w:val="000000" w:themeColor="text1"/>
          <w:highlight w:val="none"/>
        </w:rPr>
        <w:t>的投标邀请（项目编号:</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），我方正式响应投标并提交投标文件</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份正本和</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份副本，</w:t>
      </w:r>
      <w:r>
        <w:rPr>
          <w:rFonts w:hint="eastAsia" w:ascii="宋体" w:hAnsi="宋体"/>
          <w:b/>
          <w:color w:val="000000" w:themeColor="text1"/>
          <w:kern w:val="0"/>
          <w:szCs w:val="21"/>
          <w:highlight w:val="none"/>
        </w:rPr>
        <w:t>电子文件</w:t>
      </w:r>
      <w:r>
        <w:rPr>
          <w:rFonts w:hint="eastAsia" w:ascii="宋体" w:hAnsi="宋体"/>
          <w:b/>
          <w:color w:val="000000" w:themeColor="text1"/>
          <w:kern w:val="0"/>
          <w:szCs w:val="21"/>
          <w:highlight w:val="none"/>
          <w:u w:val="single"/>
        </w:rPr>
        <w:t xml:space="preserve">    </w:t>
      </w:r>
      <w:r>
        <w:rPr>
          <w:rFonts w:hint="eastAsia" w:ascii="宋体" w:hAnsi="宋体"/>
          <w:b/>
          <w:color w:val="000000" w:themeColor="text1"/>
          <w:kern w:val="0"/>
          <w:szCs w:val="21"/>
          <w:highlight w:val="none"/>
        </w:rPr>
        <w:t>份</w:t>
      </w:r>
      <w:r>
        <w:rPr>
          <w:rFonts w:hint="eastAsia" w:ascii="宋体" w:hAnsi="宋体"/>
          <w:b/>
          <w:bCs/>
          <w:color w:val="000000" w:themeColor="text1"/>
          <w:highlight w:val="none"/>
        </w:rPr>
        <w:t>。</w:t>
      </w:r>
    </w:p>
    <w:p w14:paraId="74E29E56">
      <w:pPr>
        <w:widowControl/>
        <w:tabs>
          <w:tab w:val="left" w:pos="840"/>
        </w:tabs>
        <w:adjustRightInd w:val="0"/>
        <w:snapToGrid w:val="0"/>
        <w:rPr>
          <w:rFonts w:ascii="宋体" w:hAnsi="宋体"/>
          <w:b/>
          <w:bCs/>
          <w:color w:val="000000" w:themeColor="text1"/>
          <w:highlight w:val="none"/>
        </w:rPr>
      </w:pPr>
    </w:p>
    <w:p w14:paraId="73D2D8B7">
      <w:pPr>
        <w:widowControl/>
        <w:tabs>
          <w:tab w:val="left" w:pos="502"/>
        </w:tabs>
        <w:adjustRightInd w:val="0"/>
        <w:snapToGrid w:val="0"/>
        <w:spacing w:line="360" w:lineRule="auto"/>
        <w:ind w:left="374" w:leftChars="177" w:hanging="2" w:hangingChars="1"/>
        <w:rPr>
          <w:rFonts w:ascii="宋体" w:hAnsi="宋体"/>
          <w:b/>
          <w:bCs/>
          <w:color w:val="000000" w:themeColor="text1"/>
          <w:highlight w:val="none"/>
        </w:rPr>
      </w:pPr>
      <w:r>
        <w:rPr>
          <w:rFonts w:hint="eastAsia" w:ascii="宋体" w:hAnsi="宋体"/>
          <w:b/>
          <w:bCs/>
          <w:color w:val="000000" w:themeColor="text1"/>
          <w:highlight w:val="none"/>
        </w:rPr>
        <w:t>据此函，签字代表宣布同意如下：</w:t>
      </w:r>
    </w:p>
    <w:p w14:paraId="54435A3F">
      <w:pPr>
        <w:widowControl/>
        <w:numPr>
          <w:ilvl w:val="0"/>
          <w:numId w:val="0"/>
        </w:numPr>
        <w:tabs>
          <w:tab w:val="left" w:pos="840"/>
        </w:tabs>
        <w:adjustRightInd w:val="0"/>
        <w:snapToGrid w:val="0"/>
        <w:spacing w:line="360" w:lineRule="auto"/>
        <w:ind w:left="420" w:leftChars="0"/>
        <w:rPr>
          <w:rFonts w:hint="eastAsia" w:ascii="宋体" w:hAnsi="宋体"/>
          <w:color w:val="000000" w:themeColor="text1"/>
          <w:highlight w:val="none"/>
          <w:lang w:val="en-US" w:eastAsia="zh-CN"/>
        </w:rPr>
      </w:pPr>
      <w:r>
        <w:rPr>
          <w:rFonts w:hint="eastAsia" w:ascii="宋体" w:hAnsi="宋体"/>
          <w:color w:val="000000" w:themeColor="text1"/>
          <w:highlight w:val="none"/>
          <w:lang w:val="en-US" w:eastAsia="zh-CN"/>
        </w:rPr>
        <w:t>1.所附投标价格表中规定的应提交和交付的货物投标折扣率为：</w:t>
      </w:r>
      <w:r>
        <w:rPr>
          <w:rFonts w:hint="eastAsia" w:ascii="宋体" w:hAnsi="宋体"/>
          <w:color w:val="000000" w:themeColor="text1"/>
          <w:highlight w:val="none"/>
          <w:u w:val="single"/>
          <w:lang w:val="en-US" w:eastAsia="zh-CN"/>
        </w:rPr>
        <w:t xml:space="preserve">   % </w:t>
      </w:r>
      <w:r>
        <w:rPr>
          <w:rFonts w:hint="eastAsia" w:ascii="宋体" w:hAnsi="宋体"/>
          <w:color w:val="000000" w:themeColor="text1"/>
          <w:highlight w:val="none"/>
          <w:lang w:val="en-US" w:eastAsia="zh-CN"/>
        </w:rPr>
        <w:t xml:space="preserve"> 。</w:t>
      </w:r>
    </w:p>
    <w:p w14:paraId="346C180B">
      <w:pPr>
        <w:widowControl/>
        <w:numPr>
          <w:ilvl w:val="0"/>
          <w:numId w:val="0"/>
        </w:numPr>
        <w:tabs>
          <w:tab w:val="left" w:pos="840"/>
        </w:tabs>
        <w:adjustRightInd w:val="0"/>
        <w:snapToGrid w:val="0"/>
        <w:spacing w:line="360" w:lineRule="auto"/>
        <w:ind w:left="420" w:leftChars="0"/>
        <w:rPr>
          <w:rFonts w:ascii="宋体" w:hAnsi="宋体"/>
          <w:bCs/>
          <w:color w:val="000000" w:themeColor="text1"/>
          <w:highlight w:val="none"/>
        </w:rPr>
      </w:pPr>
      <w:r>
        <w:rPr>
          <w:rFonts w:hint="eastAsia" w:ascii="宋体" w:hAnsi="宋体" w:cs="宋体"/>
          <w:color w:val="000000" w:themeColor="text1"/>
          <w:highlight w:val="none"/>
          <w:lang w:val="en-US" w:eastAsia="zh-CN"/>
        </w:rPr>
        <w:t>2.</w:t>
      </w:r>
      <w:r>
        <w:rPr>
          <w:rFonts w:hint="eastAsia" w:ascii="宋体" w:hAnsi="宋体" w:eastAsia="宋体" w:cs="宋体"/>
          <w:color w:val="000000" w:themeColor="text1"/>
          <w:highlight w:val="none"/>
          <w:lang w:val="en-US" w:eastAsia="zh-CN"/>
        </w:rPr>
        <w:t>位负责人为同一人或者存在直接控股、管理关系的不同供应商，不得参加同一合同项下的政府采购活动。</w:t>
      </w:r>
    </w:p>
    <w:p w14:paraId="4EA258CD">
      <w:pPr>
        <w:widowControl/>
        <w:numPr>
          <w:ilvl w:val="0"/>
          <w:numId w:val="0"/>
        </w:numPr>
        <w:tabs>
          <w:tab w:val="left" w:pos="840"/>
        </w:tabs>
        <w:adjustRightInd w:val="0"/>
        <w:snapToGrid w:val="0"/>
        <w:spacing w:line="360" w:lineRule="auto"/>
        <w:ind w:left="420" w:leftChars="0"/>
        <w:rPr>
          <w:rFonts w:ascii="宋体" w:hAnsi="宋体"/>
          <w:bCs/>
          <w:color w:val="000000" w:themeColor="text1"/>
          <w:highlight w:val="none"/>
        </w:rPr>
      </w:pPr>
      <w:r>
        <w:rPr>
          <w:rFonts w:hint="eastAsia" w:ascii="宋体" w:hAnsi="宋体" w:cs="宋体"/>
          <w:color w:val="000000" w:themeColor="text1"/>
          <w:highlight w:val="none"/>
          <w:lang w:val="en-US" w:eastAsia="zh-CN"/>
        </w:rPr>
        <w:t>3.</w:t>
      </w:r>
      <w:r>
        <w:rPr>
          <w:rFonts w:hint="eastAsia" w:ascii="宋体" w:hAnsi="宋体" w:eastAsia="宋体" w:cs="宋体"/>
          <w:color w:val="000000" w:themeColor="text1"/>
          <w:highlight w:val="none"/>
          <w:lang w:val="en-US" w:eastAsia="zh-CN"/>
        </w:rPr>
        <w:t>为采购项目提供整体设计、规范编制或者项目管理、监理、检测等服务的供应商，不得再参加采购项目的其他采购活动。</w:t>
      </w:r>
    </w:p>
    <w:p w14:paraId="62814A25">
      <w:pPr>
        <w:widowControl/>
        <w:numPr>
          <w:ilvl w:val="0"/>
          <w:numId w:val="0"/>
        </w:numPr>
        <w:tabs>
          <w:tab w:val="left" w:pos="840"/>
        </w:tabs>
        <w:adjustRightInd w:val="0"/>
        <w:snapToGrid w:val="0"/>
        <w:spacing w:line="360" w:lineRule="auto"/>
        <w:ind w:left="420" w:leftChars="0"/>
        <w:rPr>
          <w:rFonts w:ascii="宋体" w:hAnsi="宋体"/>
          <w:bCs/>
          <w:color w:val="000000" w:themeColor="text1"/>
          <w:highlight w:val="none"/>
        </w:rPr>
      </w:pPr>
      <w:r>
        <w:rPr>
          <w:rFonts w:hint="eastAsia" w:ascii="宋体" w:hAnsi="宋体"/>
          <w:bCs/>
          <w:color w:val="000000" w:themeColor="text1"/>
          <w:highlight w:val="none"/>
          <w:lang w:val="en-US" w:eastAsia="zh-CN"/>
        </w:rPr>
        <w:t>4.</w:t>
      </w:r>
      <w:r>
        <w:rPr>
          <w:rFonts w:hint="eastAsia" w:ascii="宋体" w:hAnsi="宋体"/>
          <w:bCs/>
          <w:color w:val="000000" w:themeColor="text1"/>
          <w:highlight w:val="none"/>
        </w:rPr>
        <w:t>本次投标所报内容完全按照招标文件要求填报，所有内容都是真实、准确的。</w:t>
      </w:r>
    </w:p>
    <w:p w14:paraId="56143FB2">
      <w:pPr>
        <w:widowControl/>
        <w:numPr>
          <w:ilvl w:val="0"/>
          <w:numId w:val="0"/>
        </w:numPr>
        <w:tabs>
          <w:tab w:val="left" w:pos="840"/>
        </w:tabs>
        <w:adjustRightInd w:val="0"/>
        <w:snapToGrid w:val="0"/>
        <w:spacing w:line="360" w:lineRule="auto"/>
        <w:ind w:left="420" w:leftChars="0"/>
        <w:rPr>
          <w:rFonts w:ascii="宋体" w:hAnsi="宋体"/>
          <w:bCs/>
          <w:color w:val="000000" w:themeColor="text1"/>
          <w:highlight w:val="none"/>
        </w:rPr>
      </w:pPr>
      <w:r>
        <w:rPr>
          <w:rFonts w:hint="eastAsia" w:ascii="宋体" w:hAnsi="宋体"/>
          <w:bCs/>
          <w:color w:val="000000" w:themeColor="text1"/>
          <w:highlight w:val="none"/>
          <w:lang w:val="en-US" w:eastAsia="zh-CN"/>
        </w:rPr>
        <w:t>5.</w:t>
      </w:r>
      <w:r>
        <w:rPr>
          <w:rFonts w:hint="eastAsia" w:ascii="宋体" w:hAnsi="宋体"/>
          <w:bCs/>
          <w:color w:val="000000" w:themeColor="text1"/>
          <w:highlight w:val="none"/>
        </w:rPr>
        <w:t>投标人将按招标文件的规定履行全部合同责任和义务。</w:t>
      </w:r>
    </w:p>
    <w:p w14:paraId="28C240D3">
      <w:pPr>
        <w:widowControl/>
        <w:numPr>
          <w:ilvl w:val="0"/>
          <w:numId w:val="0"/>
        </w:numPr>
        <w:tabs>
          <w:tab w:val="left" w:pos="840"/>
        </w:tabs>
        <w:adjustRightInd w:val="0"/>
        <w:snapToGrid w:val="0"/>
        <w:spacing w:line="360" w:lineRule="auto"/>
        <w:ind w:left="420" w:leftChars="0"/>
        <w:rPr>
          <w:rFonts w:ascii="宋体" w:hAnsi="宋体"/>
          <w:bCs/>
          <w:color w:val="000000" w:themeColor="text1"/>
          <w:highlight w:val="none"/>
        </w:rPr>
      </w:pPr>
      <w:r>
        <w:rPr>
          <w:rFonts w:hint="eastAsia" w:ascii="宋体" w:hAnsi="宋体"/>
          <w:bCs/>
          <w:color w:val="000000" w:themeColor="text1"/>
          <w:highlight w:val="none"/>
          <w:lang w:val="en-US" w:eastAsia="zh-CN"/>
        </w:rPr>
        <w:t>6.</w:t>
      </w:r>
      <w:r>
        <w:rPr>
          <w:rFonts w:hint="eastAsia" w:ascii="宋体" w:hAnsi="宋体"/>
          <w:bCs/>
          <w:color w:val="000000" w:themeColor="text1"/>
          <w:highlight w:val="none"/>
        </w:rPr>
        <w:t>投标人已详细审查全部招标文件，包括修改文件（如有的话）以及全部参考资料和有关附件。我们完全理解并同意放弃对这方面有不明及误解的权利。</w:t>
      </w:r>
    </w:p>
    <w:p w14:paraId="3766741D">
      <w:pPr>
        <w:widowControl/>
        <w:numPr>
          <w:ilvl w:val="0"/>
          <w:numId w:val="0"/>
        </w:numPr>
        <w:tabs>
          <w:tab w:val="left" w:pos="840"/>
        </w:tabs>
        <w:adjustRightInd w:val="0"/>
        <w:snapToGrid w:val="0"/>
        <w:spacing w:line="360" w:lineRule="auto"/>
        <w:ind w:left="420" w:leftChars="0"/>
        <w:rPr>
          <w:rFonts w:ascii="宋体" w:hAnsi="宋体"/>
          <w:bCs/>
          <w:color w:val="000000" w:themeColor="text1"/>
          <w:highlight w:val="none"/>
        </w:rPr>
      </w:pPr>
      <w:r>
        <w:rPr>
          <w:rFonts w:hint="eastAsia" w:ascii="宋体" w:hAnsi="宋体"/>
          <w:bCs/>
          <w:color w:val="000000" w:themeColor="text1"/>
          <w:highlight w:val="none"/>
          <w:lang w:val="en-US" w:eastAsia="zh-CN"/>
        </w:rPr>
        <w:t>7.</w:t>
      </w:r>
      <w:r>
        <w:rPr>
          <w:rFonts w:hint="eastAsia" w:ascii="宋体" w:hAnsi="宋体"/>
          <w:bCs/>
          <w:color w:val="000000" w:themeColor="text1"/>
          <w:highlight w:val="none"/>
        </w:rPr>
        <w:t>本次投标自开标日起有效期为90天。</w:t>
      </w:r>
    </w:p>
    <w:p w14:paraId="13D16E14">
      <w:pPr>
        <w:widowControl/>
        <w:numPr>
          <w:ilvl w:val="0"/>
          <w:numId w:val="0"/>
        </w:numPr>
        <w:tabs>
          <w:tab w:val="left" w:pos="840"/>
        </w:tabs>
        <w:adjustRightInd w:val="0"/>
        <w:snapToGrid w:val="0"/>
        <w:spacing w:line="360" w:lineRule="auto"/>
        <w:ind w:left="420" w:leftChars="0"/>
        <w:rPr>
          <w:rFonts w:ascii="宋体" w:hAnsi="宋体"/>
          <w:bCs/>
          <w:color w:val="000000" w:themeColor="text1"/>
          <w:highlight w:val="none"/>
        </w:rPr>
      </w:pPr>
      <w:r>
        <w:rPr>
          <w:rFonts w:hint="eastAsia" w:ascii="宋体" w:hAnsi="宋体"/>
          <w:bCs/>
          <w:color w:val="000000" w:themeColor="text1"/>
          <w:highlight w:val="none"/>
          <w:lang w:val="en-US" w:eastAsia="zh-CN"/>
        </w:rPr>
        <w:t>8.</w:t>
      </w:r>
      <w:r>
        <w:rPr>
          <w:rFonts w:hint="eastAsia" w:ascii="宋体" w:hAnsi="宋体"/>
          <w:bCs/>
          <w:color w:val="000000" w:themeColor="text1"/>
          <w:highlight w:val="none"/>
        </w:rPr>
        <w:t>如果在规定的开标时间后，投标人在投标有效期内撤回投标文件，投标保证金将被贵</w:t>
      </w:r>
      <w:r>
        <w:rPr>
          <w:rFonts w:hint="eastAsia" w:ascii="宋体" w:hAnsi="宋体"/>
          <w:color w:val="000000" w:themeColor="text1"/>
          <w:szCs w:val="21"/>
          <w:highlight w:val="none"/>
        </w:rPr>
        <w:t>方</w:t>
      </w:r>
      <w:r>
        <w:rPr>
          <w:rFonts w:hint="eastAsia" w:ascii="宋体" w:hAnsi="宋体"/>
          <w:bCs/>
          <w:color w:val="000000" w:themeColor="text1"/>
          <w:highlight w:val="none"/>
        </w:rPr>
        <w:t>不予退还。</w:t>
      </w:r>
    </w:p>
    <w:p w14:paraId="04ED8172">
      <w:pPr>
        <w:widowControl/>
        <w:numPr>
          <w:ilvl w:val="0"/>
          <w:numId w:val="0"/>
        </w:numPr>
        <w:tabs>
          <w:tab w:val="left" w:pos="840"/>
        </w:tabs>
        <w:adjustRightInd w:val="0"/>
        <w:snapToGrid w:val="0"/>
        <w:spacing w:line="360" w:lineRule="auto"/>
        <w:ind w:left="420" w:leftChars="0"/>
        <w:rPr>
          <w:rFonts w:ascii="宋体" w:hAnsi="宋体"/>
          <w:bCs/>
          <w:color w:val="000000" w:themeColor="text1"/>
          <w:highlight w:val="none"/>
        </w:rPr>
      </w:pPr>
      <w:r>
        <w:rPr>
          <w:rFonts w:hint="eastAsia" w:ascii="宋体" w:hAnsi="宋体"/>
          <w:bCs/>
          <w:color w:val="000000" w:themeColor="text1"/>
          <w:highlight w:val="none"/>
          <w:lang w:val="en-US" w:eastAsia="zh-CN"/>
        </w:rPr>
        <w:t>9.</w:t>
      </w:r>
      <w:r>
        <w:rPr>
          <w:rFonts w:hint="eastAsia" w:ascii="宋体" w:hAnsi="宋体"/>
          <w:bCs/>
          <w:color w:val="000000" w:themeColor="text1"/>
          <w:highlight w:val="none"/>
        </w:rPr>
        <w:t>投标人同意提供按照贵方可能要求与其投标有关的一切数据或资料，完全理解贵方不一定接受最低价的投标或收到的任何投标。</w:t>
      </w:r>
    </w:p>
    <w:p w14:paraId="2170922F">
      <w:pPr>
        <w:widowControl/>
        <w:numPr>
          <w:ilvl w:val="0"/>
          <w:numId w:val="0"/>
        </w:numPr>
        <w:tabs>
          <w:tab w:val="left" w:pos="840"/>
        </w:tabs>
        <w:adjustRightInd w:val="0"/>
        <w:snapToGrid w:val="0"/>
        <w:spacing w:line="360" w:lineRule="auto"/>
        <w:ind w:left="420" w:leftChars="0"/>
        <w:rPr>
          <w:rFonts w:ascii="宋体" w:hAnsi="宋体"/>
          <w:bCs/>
          <w:color w:val="000000" w:themeColor="text1"/>
          <w:highlight w:val="none"/>
        </w:rPr>
      </w:pPr>
      <w:r>
        <w:rPr>
          <w:rFonts w:hint="eastAsia" w:ascii="宋体" w:hAnsi="宋体"/>
          <w:bCs/>
          <w:color w:val="000000" w:themeColor="text1"/>
          <w:highlight w:val="none"/>
          <w:lang w:val="en-US" w:eastAsia="zh-CN"/>
        </w:rPr>
        <w:t>10.</w:t>
      </w:r>
      <w:r>
        <w:rPr>
          <w:rFonts w:hint="eastAsia" w:ascii="宋体" w:hAnsi="宋体"/>
          <w:bCs/>
          <w:color w:val="000000" w:themeColor="text1"/>
          <w:highlight w:val="none"/>
        </w:rPr>
        <w:t>与本投标有关的一切正式往来通讯请寄至投标文件封面指定地址、联系方式。</w:t>
      </w:r>
    </w:p>
    <w:p w14:paraId="1EC0D960">
      <w:pPr>
        <w:adjustRightInd w:val="0"/>
        <w:snapToGrid w:val="0"/>
        <w:spacing w:line="400" w:lineRule="exact"/>
        <w:rPr>
          <w:rFonts w:ascii="宋体" w:hAnsi="宋体"/>
          <w:bCs/>
          <w:color w:val="000000" w:themeColor="text1"/>
          <w:highlight w:val="none"/>
        </w:rPr>
      </w:pPr>
    </w:p>
    <w:p w14:paraId="68D462B9">
      <w:pPr>
        <w:adjustRightInd w:val="0"/>
        <w:snapToGrid w:val="0"/>
        <w:spacing w:line="400" w:lineRule="exact"/>
        <w:rPr>
          <w:rFonts w:ascii="宋体" w:hAnsi="宋体"/>
          <w:bCs/>
          <w:color w:val="000000" w:themeColor="text1"/>
          <w:highlight w:val="none"/>
        </w:rPr>
      </w:pPr>
    </w:p>
    <w:p w14:paraId="0DB0A177">
      <w:pPr>
        <w:adjustRightInd w:val="0"/>
        <w:snapToGrid w:val="0"/>
        <w:spacing w:line="400" w:lineRule="exact"/>
        <w:rPr>
          <w:rFonts w:ascii="宋体" w:hAnsi="宋体"/>
          <w:bCs/>
          <w:color w:val="000000" w:themeColor="text1"/>
          <w:highlight w:val="none"/>
        </w:rPr>
      </w:pPr>
    </w:p>
    <w:p w14:paraId="5B1DE9DD">
      <w:pPr>
        <w:adjustRightInd w:val="0"/>
        <w:snapToGrid w:val="0"/>
        <w:spacing w:line="400" w:lineRule="exact"/>
        <w:rPr>
          <w:rFonts w:ascii="宋体" w:hAnsi="宋体"/>
          <w:bCs/>
          <w:color w:val="000000" w:themeColor="text1"/>
          <w:highlight w:val="none"/>
        </w:rPr>
      </w:pPr>
    </w:p>
    <w:p w14:paraId="41C1BF17">
      <w:pPr>
        <w:adjustRightInd w:val="0"/>
        <w:snapToGrid w:val="0"/>
        <w:spacing w:line="400" w:lineRule="exact"/>
        <w:rPr>
          <w:rFonts w:ascii="宋体" w:hAnsi="宋体"/>
          <w:bCs/>
          <w:color w:val="000000" w:themeColor="text1"/>
          <w:highlight w:val="none"/>
        </w:rPr>
      </w:pPr>
    </w:p>
    <w:p w14:paraId="55B9513D">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4DDAB557">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299D0E9B">
      <w:pPr>
        <w:adjustRightInd w:val="0"/>
        <w:snapToGrid w:val="0"/>
        <w:spacing w:line="40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01C98F74">
      <w:pPr>
        <w:pStyle w:val="23"/>
        <w:spacing w:line="400" w:lineRule="exact"/>
        <w:rPr>
          <w:rFonts w:hAnsi="宋体"/>
          <w:color w:val="000000" w:themeColor="text1"/>
          <w:highlight w:val="none"/>
        </w:rPr>
      </w:pPr>
      <w:r>
        <w:rPr>
          <w:rFonts w:hint="eastAsia" w:hAnsi="宋体"/>
          <w:color w:val="000000" w:themeColor="text1"/>
          <w:highlight w:val="none"/>
        </w:rPr>
        <w:t>注：本投标函为投标人响应本次招标项目的郑重承诺，投标人不得改动且必须满足。</w:t>
      </w:r>
    </w:p>
    <w:p w14:paraId="06515931">
      <w:pPr>
        <w:pStyle w:val="23"/>
        <w:spacing w:line="400" w:lineRule="exact"/>
        <w:rPr>
          <w:rFonts w:hAnsi="宋体"/>
          <w:color w:val="000000" w:themeColor="text1"/>
          <w:highlight w:val="none"/>
        </w:rPr>
      </w:pPr>
    </w:p>
    <w:p w14:paraId="14CCB87A">
      <w:pPr>
        <w:rPr>
          <w:rFonts w:hint="eastAsia"/>
          <w:color w:val="000000" w:themeColor="text1"/>
          <w:highlight w:val="none"/>
        </w:rPr>
      </w:pPr>
      <w:bookmarkStart w:id="1723" w:name="_Hlt16935467"/>
      <w:bookmarkEnd w:id="1723"/>
      <w:bookmarkStart w:id="1724" w:name="_Toc330460008"/>
      <w:bookmarkStart w:id="1725" w:name="_Toc336681957"/>
      <w:bookmarkStart w:id="1726" w:name="_Toc341348362"/>
      <w:bookmarkStart w:id="1727" w:name="_Toc333237700"/>
      <w:bookmarkStart w:id="1728" w:name="_Toc339020037"/>
      <w:bookmarkStart w:id="1729" w:name="_Toc336681602"/>
      <w:bookmarkStart w:id="1730" w:name="_Toc332206731"/>
      <w:bookmarkStart w:id="1731" w:name="_Toc366072551"/>
      <w:bookmarkStart w:id="1732" w:name="_Toc350756472"/>
      <w:bookmarkStart w:id="1733" w:name="_Toc337632380"/>
      <w:bookmarkStart w:id="1734" w:name="_Toc345312619"/>
      <w:bookmarkStart w:id="1735" w:name="_Toc340507464"/>
      <w:bookmarkStart w:id="1736" w:name="_Toc339020117"/>
      <w:bookmarkStart w:id="1737" w:name="_Toc340677092"/>
      <w:bookmarkStart w:id="1738" w:name="_Toc365985200"/>
      <w:bookmarkStart w:id="1739" w:name="_Toc365967094"/>
      <w:bookmarkStart w:id="1740" w:name="_Toc333238656"/>
      <w:bookmarkStart w:id="1741" w:name="_Toc78816017"/>
      <w:bookmarkStart w:id="1742" w:name="_Toc342312465"/>
      <w:bookmarkStart w:id="1743" w:name="_Toc343248440"/>
      <w:bookmarkStart w:id="1744" w:name="_Toc339019911"/>
      <w:bookmarkStart w:id="1745" w:name="_Toc342060397"/>
      <w:bookmarkStart w:id="1746" w:name="_Toc339441109"/>
      <w:bookmarkStart w:id="1747" w:name="_Toc333935709"/>
      <w:bookmarkStart w:id="1748" w:name="_Toc339020255"/>
      <w:bookmarkStart w:id="1749" w:name="_Toc350438771"/>
      <w:bookmarkStart w:id="1750" w:name="_Toc331684064"/>
      <w:bookmarkStart w:id="1751" w:name="_Toc339362322"/>
      <w:bookmarkStart w:id="1752" w:name="_Toc333237811"/>
      <w:bookmarkStart w:id="1753" w:name="_Toc340672891"/>
      <w:bookmarkStart w:id="1754" w:name="_Toc343247122"/>
      <w:bookmarkStart w:id="1755" w:name="_Toc332270369"/>
      <w:bookmarkStart w:id="1756" w:name="_Toc331512923"/>
      <w:bookmarkStart w:id="1757" w:name="_Toc342398152"/>
      <w:bookmarkStart w:id="1758" w:name="_Toc333935368"/>
      <w:bookmarkStart w:id="1759" w:name="_Toc343612942"/>
      <w:bookmarkStart w:id="1760" w:name="_Toc342296783"/>
      <w:r>
        <w:rPr>
          <w:rFonts w:hint="eastAsia"/>
          <w:color w:val="000000" w:themeColor="text1"/>
          <w:highlight w:val="none"/>
        </w:rPr>
        <w:br w:type="page"/>
      </w:r>
    </w:p>
    <w:p w14:paraId="210BA398">
      <w:pPr>
        <w:pStyle w:val="3"/>
        <w:numPr>
          <w:ilvl w:val="0"/>
          <w:numId w:val="0"/>
        </w:numPr>
        <w:spacing w:line="400" w:lineRule="exact"/>
        <w:rPr>
          <w:color w:val="000000" w:themeColor="text1"/>
          <w:highlight w:val="none"/>
        </w:rPr>
      </w:pPr>
      <w:bookmarkStart w:id="1761" w:name="_Toc17433"/>
      <w:r>
        <w:rPr>
          <w:rFonts w:hint="eastAsia"/>
          <w:color w:val="000000" w:themeColor="text1"/>
          <w:highlight w:val="none"/>
        </w:rPr>
        <w:t>附件二：开标一览表</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14:paraId="3ED939D8">
      <w:pPr>
        <w:adjustRightInd w:val="0"/>
        <w:snapToGrid w:val="0"/>
        <w:spacing w:line="360" w:lineRule="auto"/>
        <w:jc w:val="left"/>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14:paraId="35C304CC">
      <w:pPr>
        <w:adjustRightInd w:val="0"/>
        <w:snapToGrid w:val="0"/>
        <w:spacing w:line="360" w:lineRule="auto"/>
        <w:ind w:left="1050" w:hanging="1050" w:hangingChars="500"/>
        <w:jc w:val="left"/>
        <w:rPr>
          <w:rFonts w:ascii="宋体" w:hAnsi="宋体"/>
          <w:b/>
          <w:bCs/>
          <w:cap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r>
        <w:rPr>
          <w:rFonts w:hint="eastAsia" w:ascii="宋体" w:hAnsi="宋体"/>
          <w:b/>
          <w:bCs/>
          <w:caps/>
          <w:color w:val="000000" w:themeColor="text1"/>
          <w:highlight w:val="none"/>
          <w:u w:val="single"/>
        </w:rPr>
        <w:t xml:space="preserve"> </w:t>
      </w:r>
    </w:p>
    <w:tbl>
      <w:tblPr>
        <w:tblStyle w:val="46"/>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348"/>
        <w:gridCol w:w="1868"/>
        <w:gridCol w:w="1737"/>
        <w:gridCol w:w="1302"/>
      </w:tblGrid>
      <w:tr w14:paraId="15D2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14:paraId="7C6DA171">
            <w:pPr>
              <w:spacing w:line="360" w:lineRule="auto"/>
              <w:jc w:val="center"/>
              <w:rPr>
                <w:rFonts w:ascii="宋体" w:hAnsi="宋体"/>
                <w:bCs/>
                <w:color w:val="000000" w:themeColor="text1"/>
                <w:highlight w:val="none"/>
              </w:rPr>
            </w:pPr>
            <w:r>
              <w:rPr>
                <w:rFonts w:hint="eastAsia" w:ascii="宋体" w:hAnsi="宋体"/>
                <w:bCs/>
                <w:color w:val="000000" w:themeColor="text1"/>
                <w:highlight w:val="none"/>
              </w:rPr>
              <w:t>项目编号</w:t>
            </w:r>
          </w:p>
        </w:tc>
        <w:tc>
          <w:tcPr>
            <w:tcW w:w="3348" w:type="dxa"/>
            <w:vAlign w:val="center"/>
          </w:tcPr>
          <w:p w14:paraId="3B38F093">
            <w:pPr>
              <w:spacing w:line="360" w:lineRule="auto"/>
              <w:jc w:val="center"/>
              <w:rPr>
                <w:rFonts w:ascii="宋体" w:hAnsi="宋体"/>
                <w:bCs/>
                <w:color w:val="000000" w:themeColor="text1"/>
                <w:highlight w:val="none"/>
              </w:rPr>
            </w:pPr>
            <w:r>
              <w:rPr>
                <w:rFonts w:hint="eastAsia" w:ascii="宋体" w:hAnsi="宋体"/>
                <w:bCs/>
                <w:color w:val="000000" w:themeColor="text1"/>
                <w:highlight w:val="none"/>
              </w:rPr>
              <w:t>项目名称</w:t>
            </w:r>
          </w:p>
        </w:tc>
        <w:tc>
          <w:tcPr>
            <w:tcW w:w="1868" w:type="dxa"/>
            <w:vAlign w:val="center"/>
          </w:tcPr>
          <w:p w14:paraId="5C6219E1">
            <w:pPr>
              <w:spacing w:line="360" w:lineRule="auto"/>
              <w:jc w:val="center"/>
              <w:rPr>
                <w:rFonts w:hint="eastAsia" w:ascii="宋体" w:hAnsi="宋体"/>
                <w:bCs/>
                <w:color w:val="000000" w:themeColor="text1"/>
                <w:highlight w:val="none"/>
              </w:rPr>
            </w:pPr>
            <w:r>
              <w:rPr>
                <w:rFonts w:hint="eastAsia" w:ascii="宋体" w:hAnsi="宋体" w:cs="宋体"/>
                <w:color w:val="000000" w:themeColor="text1"/>
                <w:kern w:val="0"/>
                <w:szCs w:val="21"/>
                <w:highlight w:val="none"/>
              </w:rPr>
              <w:t>折扣率</w:t>
            </w:r>
          </w:p>
        </w:tc>
        <w:tc>
          <w:tcPr>
            <w:tcW w:w="1737" w:type="dxa"/>
            <w:vAlign w:val="center"/>
          </w:tcPr>
          <w:p w14:paraId="34307878">
            <w:pPr>
              <w:jc w:val="center"/>
              <w:rPr>
                <w:rFonts w:ascii="宋体" w:hAnsi="宋体"/>
                <w:bCs/>
                <w:color w:val="000000" w:themeColor="text1"/>
                <w:highlight w:val="none"/>
              </w:rPr>
            </w:pPr>
            <w:r>
              <w:rPr>
                <w:rFonts w:hint="eastAsia" w:ascii="宋体" w:hAnsi="宋体"/>
                <w:bCs/>
                <w:color w:val="000000" w:themeColor="text1"/>
                <w:highlight w:val="none"/>
              </w:rPr>
              <w:t>服务期</w:t>
            </w:r>
          </w:p>
        </w:tc>
        <w:tc>
          <w:tcPr>
            <w:tcW w:w="1302" w:type="dxa"/>
            <w:vAlign w:val="center"/>
          </w:tcPr>
          <w:p w14:paraId="743200F3">
            <w:pPr>
              <w:spacing w:line="360" w:lineRule="auto"/>
              <w:jc w:val="center"/>
              <w:rPr>
                <w:rFonts w:ascii="宋体" w:hAnsi="宋体"/>
                <w:bCs/>
                <w:color w:val="000000" w:themeColor="text1"/>
                <w:highlight w:val="none"/>
              </w:rPr>
            </w:pPr>
            <w:r>
              <w:rPr>
                <w:rFonts w:hint="eastAsia" w:ascii="宋体" w:hAnsi="宋体"/>
                <w:bCs/>
                <w:color w:val="000000" w:themeColor="text1"/>
                <w:highlight w:val="none"/>
              </w:rPr>
              <w:t>备注</w:t>
            </w:r>
          </w:p>
        </w:tc>
      </w:tr>
      <w:tr w14:paraId="73A5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179" w:type="dxa"/>
            <w:vAlign w:val="center"/>
          </w:tcPr>
          <w:p w14:paraId="6C0E4AD7">
            <w:pPr>
              <w:adjustRightInd w:val="0"/>
              <w:snapToGrid w:val="0"/>
              <w:spacing w:line="300" w:lineRule="exact"/>
              <w:jc w:val="center"/>
              <w:rPr>
                <w:rFonts w:ascii="宋体" w:hAnsi="宋体"/>
                <w:bCs/>
                <w:color w:val="000000" w:themeColor="text1"/>
                <w:highlight w:val="none"/>
              </w:rPr>
            </w:pPr>
          </w:p>
        </w:tc>
        <w:tc>
          <w:tcPr>
            <w:tcW w:w="3348" w:type="dxa"/>
            <w:vAlign w:val="center"/>
          </w:tcPr>
          <w:p w14:paraId="3BEC9F93">
            <w:pPr>
              <w:adjustRightInd w:val="0"/>
              <w:snapToGrid w:val="0"/>
              <w:spacing w:line="300" w:lineRule="exact"/>
              <w:jc w:val="center"/>
              <w:rPr>
                <w:rFonts w:ascii="宋体" w:hAnsi="宋体"/>
                <w:bCs/>
                <w:color w:val="000000" w:themeColor="text1"/>
                <w:highlight w:val="none"/>
              </w:rPr>
            </w:pPr>
          </w:p>
        </w:tc>
        <w:tc>
          <w:tcPr>
            <w:tcW w:w="1868" w:type="dxa"/>
            <w:vAlign w:val="center"/>
          </w:tcPr>
          <w:p w14:paraId="7753B1B0">
            <w:pPr>
              <w:adjustRightInd w:val="0"/>
              <w:snapToGrid w:val="0"/>
              <w:spacing w:line="300" w:lineRule="exact"/>
              <w:jc w:val="center"/>
              <w:rPr>
                <w:rFonts w:ascii="宋体" w:hAnsi="宋体"/>
                <w:bCs/>
                <w:color w:val="000000" w:themeColor="text1"/>
                <w:highlight w:val="none"/>
              </w:rPr>
            </w:pPr>
            <w:r>
              <w:rPr>
                <w:rFonts w:hint="eastAsia" w:ascii="宋体" w:hAnsi="宋体"/>
                <w:bCs/>
                <w:color w:val="000000" w:themeColor="text1"/>
                <w:highlight w:val="none"/>
                <w:lang w:val="en-US" w:eastAsia="zh-CN"/>
              </w:rPr>
              <w:t>%</w:t>
            </w:r>
          </w:p>
        </w:tc>
        <w:tc>
          <w:tcPr>
            <w:tcW w:w="1737" w:type="dxa"/>
            <w:vAlign w:val="center"/>
          </w:tcPr>
          <w:p w14:paraId="096DB7B9">
            <w:pPr>
              <w:topLinePunct/>
              <w:jc w:val="left"/>
              <w:rPr>
                <w:rFonts w:ascii="宋体" w:hAnsi="宋体"/>
                <w:bCs/>
                <w:color w:val="000000" w:themeColor="text1"/>
                <w:highlight w:val="none"/>
                <w:u w:val="single"/>
              </w:rPr>
            </w:pPr>
          </w:p>
        </w:tc>
        <w:tc>
          <w:tcPr>
            <w:tcW w:w="1302" w:type="dxa"/>
            <w:vAlign w:val="center"/>
          </w:tcPr>
          <w:p w14:paraId="2008598E">
            <w:pPr>
              <w:rPr>
                <w:rFonts w:ascii="宋体" w:hAnsi="宋体"/>
                <w:bCs/>
                <w:color w:val="000000" w:themeColor="text1"/>
                <w:highlight w:val="none"/>
              </w:rPr>
            </w:pPr>
          </w:p>
        </w:tc>
      </w:tr>
    </w:tbl>
    <w:p w14:paraId="4D5AB34B">
      <w:pPr>
        <w:spacing w:line="360" w:lineRule="auto"/>
        <w:rPr>
          <w:rFonts w:ascii="宋体" w:hAnsi="宋体"/>
          <w:bCs/>
          <w:color w:val="000000" w:themeColor="text1"/>
          <w:highlight w:val="none"/>
        </w:rPr>
      </w:pPr>
      <w:r>
        <w:rPr>
          <w:rFonts w:hint="eastAsia" w:ascii="宋体" w:hAnsi="宋体"/>
          <w:bCs/>
          <w:color w:val="000000" w:themeColor="text1"/>
          <w:highlight w:val="none"/>
        </w:rPr>
        <w:t>注：</w:t>
      </w:r>
    </w:p>
    <w:p w14:paraId="218A50F6">
      <w:pPr>
        <w:numPr>
          <w:ilvl w:val="0"/>
          <w:numId w:val="4"/>
        </w:numPr>
        <w:tabs>
          <w:tab w:val="left" w:pos="1365"/>
        </w:tabs>
        <w:spacing w:line="360" w:lineRule="auto"/>
        <w:rPr>
          <w:rFonts w:ascii="宋体" w:hAnsi="宋体"/>
          <w:bCs/>
          <w:color w:val="000000" w:themeColor="text1"/>
          <w:highlight w:val="none"/>
        </w:rPr>
      </w:pPr>
      <w:r>
        <w:rPr>
          <w:rFonts w:hint="eastAsia" w:ascii="宋体" w:hAnsi="宋体"/>
          <w:color w:val="000000" w:themeColor="text1"/>
          <w:highlight w:val="none"/>
        </w:rPr>
        <w:t>投标人填写此表时不得改变表格的形式。</w:t>
      </w:r>
    </w:p>
    <w:p w14:paraId="4B31A52E">
      <w:pPr>
        <w:numPr>
          <w:ilvl w:val="0"/>
          <w:numId w:val="4"/>
        </w:numPr>
        <w:tabs>
          <w:tab w:val="left" w:pos="1365"/>
        </w:tabs>
        <w:spacing w:line="360" w:lineRule="auto"/>
        <w:rPr>
          <w:rFonts w:ascii="宋体" w:hAnsi="宋体"/>
          <w:bCs/>
          <w:color w:val="000000" w:themeColor="text1"/>
          <w:highlight w:val="none"/>
        </w:rPr>
      </w:pPr>
      <w:r>
        <w:rPr>
          <w:rFonts w:hint="eastAsia"/>
          <w:bCs/>
          <w:color w:val="000000" w:themeColor="text1"/>
          <w:highlight w:val="none"/>
        </w:rPr>
        <w:t>如果投标人认为有应当说明而本表中无相应栏目的内容，请在“备注”栏中添加说明。</w:t>
      </w:r>
    </w:p>
    <w:p w14:paraId="0A9DB22B">
      <w:pPr>
        <w:numPr>
          <w:ilvl w:val="0"/>
          <w:numId w:val="4"/>
        </w:numPr>
        <w:tabs>
          <w:tab w:val="left" w:pos="1365"/>
        </w:tabs>
        <w:spacing w:line="360" w:lineRule="auto"/>
        <w:rPr>
          <w:rFonts w:ascii="宋体" w:hAnsi="宋体"/>
          <w:bCs/>
          <w:color w:val="000000" w:themeColor="text1"/>
          <w:highlight w:val="none"/>
        </w:rPr>
      </w:pPr>
      <w:r>
        <w:rPr>
          <w:rFonts w:hint="eastAsia" w:ascii="宋体" w:hAnsi="宋体"/>
          <w:bCs/>
          <w:color w:val="000000" w:themeColor="text1"/>
          <w:highlight w:val="none"/>
        </w:rPr>
        <w:t>投标人应将 “开标一览表”（加盖公章并由法定代表人（负责人）或其授权代理人签字），一份单独密封于一信封内，一份装订入投标文件正本。</w:t>
      </w:r>
    </w:p>
    <w:p w14:paraId="7B1E29D3">
      <w:pPr>
        <w:spacing w:line="360" w:lineRule="auto"/>
        <w:rPr>
          <w:rFonts w:ascii="宋体" w:hAnsi="宋体"/>
          <w:bCs/>
          <w:color w:val="000000" w:themeColor="text1"/>
          <w:highlight w:val="none"/>
          <w:u w:val="single"/>
        </w:rPr>
      </w:pPr>
    </w:p>
    <w:p w14:paraId="5D97085E">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525B9942">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1CB59CD1">
      <w:pPr>
        <w:adjustRightInd w:val="0"/>
        <w:snapToGrid w:val="0"/>
        <w:spacing w:line="40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5C861D5E">
      <w:pPr>
        <w:adjustRightInd w:val="0"/>
        <w:snapToGrid w:val="0"/>
        <w:spacing w:line="400" w:lineRule="exact"/>
        <w:rPr>
          <w:rFonts w:ascii="宋体" w:hAnsi="宋体"/>
          <w:bCs/>
          <w:color w:val="000000" w:themeColor="text1"/>
          <w:highlight w:val="none"/>
        </w:rPr>
      </w:pPr>
    </w:p>
    <w:p w14:paraId="33001E68">
      <w:pPr>
        <w:adjustRightInd w:val="0"/>
        <w:snapToGrid w:val="0"/>
        <w:spacing w:line="400" w:lineRule="exact"/>
        <w:rPr>
          <w:rFonts w:ascii="宋体" w:hAnsi="宋体"/>
          <w:bCs/>
          <w:color w:val="000000" w:themeColor="text1"/>
          <w:highlight w:val="none"/>
        </w:rPr>
      </w:pPr>
    </w:p>
    <w:p w14:paraId="302D6BCD">
      <w:pPr>
        <w:adjustRightInd w:val="0"/>
        <w:snapToGrid w:val="0"/>
        <w:spacing w:line="400" w:lineRule="exact"/>
        <w:rPr>
          <w:rFonts w:ascii="宋体" w:hAnsi="宋体"/>
          <w:bCs/>
          <w:color w:val="000000" w:themeColor="text1"/>
          <w:highlight w:val="none"/>
        </w:rPr>
      </w:pPr>
    </w:p>
    <w:p w14:paraId="07DBA347">
      <w:pPr>
        <w:adjustRightInd w:val="0"/>
        <w:snapToGrid w:val="0"/>
        <w:spacing w:line="400" w:lineRule="exact"/>
        <w:rPr>
          <w:rFonts w:ascii="宋体" w:hAnsi="宋体"/>
          <w:bCs/>
          <w:color w:val="000000" w:themeColor="text1"/>
          <w:highlight w:val="none"/>
        </w:rPr>
      </w:pPr>
    </w:p>
    <w:p w14:paraId="7B65F9C1">
      <w:pPr>
        <w:adjustRightInd w:val="0"/>
        <w:snapToGrid w:val="0"/>
        <w:spacing w:line="400" w:lineRule="exact"/>
        <w:rPr>
          <w:rFonts w:ascii="宋体" w:hAnsi="宋体"/>
          <w:bCs/>
          <w:color w:val="000000" w:themeColor="text1"/>
          <w:highlight w:val="none"/>
        </w:rPr>
      </w:pPr>
    </w:p>
    <w:p w14:paraId="5316CCA8">
      <w:pPr>
        <w:adjustRightInd w:val="0"/>
        <w:snapToGrid w:val="0"/>
        <w:spacing w:line="400" w:lineRule="exact"/>
        <w:rPr>
          <w:rFonts w:ascii="宋体" w:hAnsi="宋体"/>
          <w:bCs/>
          <w:color w:val="000000" w:themeColor="text1"/>
          <w:highlight w:val="none"/>
        </w:rPr>
      </w:pPr>
    </w:p>
    <w:p w14:paraId="1C62AC3C">
      <w:pPr>
        <w:adjustRightInd w:val="0"/>
        <w:snapToGrid w:val="0"/>
        <w:spacing w:line="400" w:lineRule="exact"/>
        <w:rPr>
          <w:rFonts w:ascii="宋体" w:hAnsi="宋体"/>
          <w:bCs/>
          <w:color w:val="000000" w:themeColor="text1"/>
          <w:highlight w:val="none"/>
        </w:rPr>
      </w:pPr>
    </w:p>
    <w:p w14:paraId="116F6AD1">
      <w:pPr>
        <w:adjustRightInd w:val="0"/>
        <w:snapToGrid w:val="0"/>
        <w:spacing w:line="400" w:lineRule="exact"/>
        <w:rPr>
          <w:rFonts w:ascii="宋体" w:hAnsi="宋体"/>
          <w:bCs/>
          <w:color w:val="000000" w:themeColor="text1"/>
          <w:highlight w:val="none"/>
        </w:rPr>
      </w:pPr>
    </w:p>
    <w:p w14:paraId="389F9C8E">
      <w:pPr>
        <w:adjustRightInd w:val="0"/>
        <w:snapToGrid w:val="0"/>
        <w:spacing w:line="400" w:lineRule="exact"/>
        <w:rPr>
          <w:rFonts w:ascii="宋体" w:hAnsi="宋体"/>
          <w:bCs/>
          <w:color w:val="000000" w:themeColor="text1"/>
          <w:highlight w:val="none"/>
        </w:rPr>
      </w:pPr>
    </w:p>
    <w:p w14:paraId="514EB1FB">
      <w:pPr>
        <w:adjustRightInd w:val="0"/>
        <w:snapToGrid w:val="0"/>
        <w:spacing w:line="400" w:lineRule="exact"/>
        <w:rPr>
          <w:rFonts w:ascii="宋体" w:hAnsi="宋体"/>
          <w:bCs/>
          <w:color w:val="000000" w:themeColor="text1"/>
          <w:highlight w:val="none"/>
        </w:rPr>
      </w:pPr>
    </w:p>
    <w:p w14:paraId="66FA254E">
      <w:pPr>
        <w:adjustRightInd w:val="0"/>
        <w:snapToGrid w:val="0"/>
        <w:spacing w:line="400" w:lineRule="exact"/>
        <w:rPr>
          <w:rFonts w:ascii="宋体" w:hAnsi="宋体"/>
          <w:bCs/>
          <w:color w:val="000000" w:themeColor="text1"/>
          <w:highlight w:val="none"/>
        </w:rPr>
      </w:pPr>
    </w:p>
    <w:p w14:paraId="0F9EFAA8">
      <w:pPr>
        <w:adjustRightInd w:val="0"/>
        <w:snapToGrid w:val="0"/>
        <w:spacing w:line="400" w:lineRule="exact"/>
        <w:rPr>
          <w:rFonts w:ascii="宋体" w:hAnsi="宋体"/>
          <w:bCs/>
          <w:color w:val="000000" w:themeColor="text1"/>
          <w:highlight w:val="none"/>
        </w:rPr>
      </w:pPr>
    </w:p>
    <w:p w14:paraId="76E38DD3">
      <w:pPr>
        <w:adjustRightInd w:val="0"/>
        <w:snapToGrid w:val="0"/>
        <w:spacing w:line="400" w:lineRule="exact"/>
        <w:rPr>
          <w:rFonts w:ascii="宋体" w:hAnsi="宋体"/>
          <w:bCs/>
          <w:color w:val="000000" w:themeColor="text1"/>
          <w:highlight w:val="none"/>
        </w:rPr>
      </w:pPr>
    </w:p>
    <w:p w14:paraId="052D63AE">
      <w:pPr>
        <w:adjustRightInd w:val="0"/>
        <w:snapToGrid w:val="0"/>
        <w:spacing w:line="400" w:lineRule="exact"/>
        <w:rPr>
          <w:rFonts w:ascii="宋体" w:hAnsi="宋体"/>
          <w:bCs/>
          <w:color w:val="000000" w:themeColor="text1"/>
          <w:highlight w:val="none"/>
        </w:rPr>
      </w:pPr>
    </w:p>
    <w:p w14:paraId="2994C6DF">
      <w:pPr>
        <w:pStyle w:val="3"/>
        <w:numPr>
          <w:ilvl w:val="0"/>
          <w:numId w:val="0"/>
        </w:numPr>
        <w:spacing w:line="400" w:lineRule="exact"/>
        <w:rPr>
          <w:color w:val="000000" w:themeColor="text1"/>
          <w:highlight w:val="none"/>
        </w:rPr>
      </w:pPr>
      <w:bookmarkStart w:id="1762" w:name="_Toc339019913"/>
      <w:bookmarkStart w:id="1763" w:name="_Toc332206733"/>
      <w:bookmarkStart w:id="1764" w:name="_Toc341348364"/>
      <w:bookmarkStart w:id="1765" w:name="_Toc333935370"/>
      <w:bookmarkStart w:id="1766" w:name="_Toc345312621"/>
      <w:bookmarkStart w:id="1767" w:name="_Toc339441111"/>
      <w:bookmarkStart w:id="1768" w:name="_Toc333238658"/>
      <w:bookmarkStart w:id="1769" w:name="_Toc339020119"/>
      <w:bookmarkStart w:id="1770" w:name="_Toc14301"/>
      <w:bookmarkStart w:id="1771" w:name="_Toc339020039"/>
      <w:bookmarkStart w:id="1772" w:name="_Toc366072553"/>
      <w:bookmarkStart w:id="1773" w:name="_Toc365967096"/>
      <w:bookmarkStart w:id="1774" w:name="_Toc342312467"/>
      <w:bookmarkStart w:id="1775" w:name="_Toc330460010"/>
      <w:bookmarkStart w:id="1776" w:name="_Toc342296785"/>
      <w:bookmarkStart w:id="1777" w:name="_Toc340507466"/>
      <w:bookmarkStart w:id="1778" w:name="_Toc340672893"/>
      <w:bookmarkStart w:id="1779" w:name="_Toc339362324"/>
      <w:bookmarkStart w:id="1780" w:name="_Toc331512925"/>
      <w:bookmarkStart w:id="1781" w:name="_Toc342060399"/>
      <w:bookmarkStart w:id="1782" w:name="_Toc343247124"/>
      <w:bookmarkStart w:id="1783" w:name="_Toc339020257"/>
      <w:bookmarkStart w:id="1784" w:name="_Toc350756474"/>
      <w:bookmarkStart w:id="1785" w:name="_Toc350438773"/>
      <w:bookmarkStart w:id="1786" w:name="_Toc332270371"/>
      <w:bookmarkStart w:id="1787" w:name="_Toc340677094"/>
      <w:bookmarkStart w:id="1788" w:name="_Toc333935711"/>
      <w:bookmarkStart w:id="1789" w:name="_Toc342398154"/>
      <w:bookmarkStart w:id="1790" w:name="_Toc343248442"/>
      <w:bookmarkStart w:id="1791" w:name="_Toc337632382"/>
      <w:bookmarkStart w:id="1792" w:name="_Toc331684066"/>
      <w:bookmarkStart w:id="1793" w:name="_Toc336681959"/>
      <w:bookmarkStart w:id="1794" w:name="_Toc336681604"/>
      <w:bookmarkStart w:id="1795" w:name="_Toc333237813"/>
      <w:bookmarkStart w:id="1796" w:name="_Toc365985202"/>
      <w:bookmarkStart w:id="1797" w:name="_Toc343612944"/>
      <w:bookmarkStart w:id="1798" w:name="_Toc333237702"/>
      <w:r>
        <w:rPr>
          <w:rFonts w:hint="eastAsia"/>
          <w:color w:val="000000" w:themeColor="text1"/>
          <w:highlight w:val="none"/>
        </w:rPr>
        <w:t>附件</w:t>
      </w:r>
      <w:r>
        <w:rPr>
          <w:rFonts w:hint="eastAsia"/>
          <w:color w:val="000000" w:themeColor="text1"/>
          <w:highlight w:val="none"/>
          <w:lang w:val="en-US" w:eastAsia="zh-CN"/>
        </w:rPr>
        <w:t>三</w:t>
      </w:r>
      <w:r>
        <w:rPr>
          <w:rFonts w:hint="eastAsia"/>
          <w:color w:val="000000" w:themeColor="text1"/>
          <w:highlight w:val="none"/>
        </w:rPr>
        <w:t>：商务条款偏离一览表</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14:paraId="1D6F3EEF">
      <w:pPr>
        <w:adjustRightInd w:val="0"/>
        <w:snapToGrid w:val="0"/>
        <w:spacing w:line="360" w:lineRule="auto"/>
        <w:jc w:val="left"/>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14:paraId="3A79F43E">
      <w:pPr>
        <w:adjustRightInd w:val="0"/>
        <w:snapToGrid w:val="0"/>
        <w:spacing w:line="360" w:lineRule="auto"/>
        <w:ind w:left="1050" w:hanging="1050" w:hangingChars="500"/>
        <w:jc w:val="left"/>
        <w:rPr>
          <w:rFonts w:ascii="宋体" w:hAnsi="宋体"/>
          <w:b/>
          <w:bCs/>
          <w:cap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r>
        <w:rPr>
          <w:rFonts w:hint="eastAsia" w:ascii="宋体" w:hAnsi="宋体"/>
          <w:b/>
          <w:bCs/>
          <w:caps/>
          <w:color w:val="000000" w:themeColor="text1"/>
          <w:highlight w:val="none"/>
          <w:u w:val="single"/>
        </w:rPr>
        <w:t xml:space="preserve"> </w:t>
      </w:r>
    </w:p>
    <w:tbl>
      <w:tblPr>
        <w:tblStyle w:val="46"/>
        <w:tblW w:w="9374" w:type="dxa"/>
        <w:jc w:val="center"/>
        <w:tblLayout w:type="fixed"/>
        <w:tblCellMar>
          <w:top w:w="0" w:type="dxa"/>
          <w:left w:w="54" w:type="dxa"/>
          <w:bottom w:w="0" w:type="dxa"/>
          <w:right w:w="54" w:type="dxa"/>
        </w:tblCellMar>
      </w:tblPr>
      <w:tblGrid>
        <w:gridCol w:w="544"/>
        <w:gridCol w:w="992"/>
        <w:gridCol w:w="3189"/>
        <w:gridCol w:w="3190"/>
        <w:gridCol w:w="850"/>
        <w:gridCol w:w="609"/>
      </w:tblGrid>
      <w:tr w14:paraId="7DEF35AE">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0996F007">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序号</w:t>
            </w:r>
          </w:p>
        </w:tc>
        <w:tc>
          <w:tcPr>
            <w:tcW w:w="992" w:type="dxa"/>
            <w:tcBorders>
              <w:top w:val="single" w:color="auto" w:sz="6" w:space="0"/>
              <w:left w:val="single" w:color="auto" w:sz="6" w:space="0"/>
              <w:bottom w:val="single" w:color="auto" w:sz="6" w:space="0"/>
              <w:right w:val="single" w:color="auto" w:sz="4" w:space="0"/>
            </w:tcBorders>
            <w:vAlign w:val="center"/>
          </w:tcPr>
          <w:p w14:paraId="258E9867">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14:paraId="4F152B18">
            <w:pPr>
              <w:adjustRightInd w:val="0"/>
              <w:snapToGrid w:val="0"/>
              <w:jc w:val="center"/>
              <w:rPr>
                <w:rFonts w:ascii="宋体" w:hAnsi="宋体"/>
                <w:bCs/>
                <w:color w:val="000000" w:themeColor="text1"/>
                <w:highlight w:val="none"/>
              </w:rPr>
            </w:pPr>
            <w:r>
              <w:rPr>
                <w:rFonts w:hAnsi="宋体"/>
                <w:color w:val="000000" w:themeColor="text1"/>
                <w:szCs w:val="21"/>
                <w:highlight w:val="none"/>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39B4B345">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0C367035">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偏离</w:t>
            </w:r>
          </w:p>
          <w:p w14:paraId="0BB73F6F">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2B986315">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说明</w:t>
            </w:r>
          </w:p>
        </w:tc>
      </w:tr>
      <w:tr w14:paraId="01DA893D">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2899793F">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4D1BE994">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0992A68E">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8AC782C">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5216F21">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6ECDD7B">
            <w:pPr>
              <w:adjustRightInd w:val="0"/>
              <w:snapToGrid w:val="0"/>
              <w:jc w:val="center"/>
              <w:rPr>
                <w:rFonts w:ascii="宋体" w:hAnsi="宋体"/>
                <w:bCs/>
                <w:color w:val="000000" w:themeColor="text1"/>
                <w:highlight w:val="none"/>
              </w:rPr>
            </w:pPr>
          </w:p>
        </w:tc>
      </w:tr>
      <w:tr w14:paraId="0EE649F9">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0BA763E3">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7013F510">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06C2819D">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71A82A7B">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2D8A13A">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43FA714">
            <w:pPr>
              <w:adjustRightInd w:val="0"/>
              <w:snapToGrid w:val="0"/>
              <w:jc w:val="center"/>
              <w:rPr>
                <w:rFonts w:ascii="宋体" w:hAnsi="宋体"/>
                <w:bCs/>
                <w:color w:val="000000" w:themeColor="text1"/>
                <w:highlight w:val="none"/>
              </w:rPr>
            </w:pPr>
          </w:p>
        </w:tc>
      </w:tr>
      <w:tr w14:paraId="48231B0E">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7E9B5AB0">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275F2368">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356E2D17">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E28E85D">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CF926A5">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7BD602C">
            <w:pPr>
              <w:adjustRightInd w:val="0"/>
              <w:snapToGrid w:val="0"/>
              <w:jc w:val="center"/>
              <w:rPr>
                <w:rFonts w:ascii="宋体" w:hAnsi="宋体"/>
                <w:bCs/>
                <w:color w:val="000000" w:themeColor="text1"/>
                <w:highlight w:val="none"/>
              </w:rPr>
            </w:pPr>
          </w:p>
        </w:tc>
      </w:tr>
      <w:tr w14:paraId="625508D8">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3F1E7282">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633F2A81">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21B76895">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0632335">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C4FEE4D">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C958778">
            <w:pPr>
              <w:adjustRightInd w:val="0"/>
              <w:snapToGrid w:val="0"/>
              <w:jc w:val="center"/>
              <w:rPr>
                <w:rFonts w:ascii="宋体" w:hAnsi="宋体"/>
                <w:bCs/>
                <w:color w:val="000000" w:themeColor="text1"/>
                <w:highlight w:val="none"/>
              </w:rPr>
            </w:pPr>
          </w:p>
        </w:tc>
      </w:tr>
      <w:tr w14:paraId="61E21541">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07B63E2A">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099CE6FD">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6DC37BDD">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64CD19C9">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D7C3384">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58CB95F">
            <w:pPr>
              <w:adjustRightInd w:val="0"/>
              <w:snapToGrid w:val="0"/>
              <w:jc w:val="center"/>
              <w:rPr>
                <w:rFonts w:ascii="宋体" w:hAnsi="宋体"/>
                <w:bCs/>
                <w:color w:val="000000" w:themeColor="text1"/>
                <w:highlight w:val="none"/>
              </w:rPr>
            </w:pPr>
          </w:p>
        </w:tc>
      </w:tr>
      <w:tr w14:paraId="029685F6">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3611BF2A">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6C2BAEE0">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4150BC4B">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B957ADC">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81CC79E">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81E1954">
            <w:pPr>
              <w:adjustRightInd w:val="0"/>
              <w:snapToGrid w:val="0"/>
              <w:jc w:val="center"/>
              <w:rPr>
                <w:rFonts w:ascii="宋体" w:hAnsi="宋体"/>
                <w:bCs/>
                <w:color w:val="000000" w:themeColor="text1"/>
                <w:highlight w:val="none"/>
              </w:rPr>
            </w:pPr>
          </w:p>
        </w:tc>
      </w:tr>
      <w:tr w14:paraId="7F942BCB">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6D88E31E">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0435B16B">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752C7189">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73ED056">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9169FEB">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6A04EA9">
            <w:pPr>
              <w:adjustRightInd w:val="0"/>
              <w:snapToGrid w:val="0"/>
              <w:jc w:val="center"/>
              <w:rPr>
                <w:rFonts w:ascii="宋体" w:hAnsi="宋体"/>
                <w:bCs/>
                <w:color w:val="000000" w:themeColor="text1"/>
                <w:highlight w:val="none"/>
              </w:rPr>
            </w:pPr>
          </w:p>
        </w:tc>
      </w:tr>
      <w:tr w14:paraId="51C0A1F7">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70B18A6D">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3475723B">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6C2F1F6D">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9B42A68">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7359BC9">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A91B5F2">
            <w:pPr>
              <w:adjustRightInd w:val="0"/>
              <w:snapToGrid w:val="0"/>
              <w:jc w:val="center"/>
              <w:rPr>
                <w:rFonts w:ascii="宋体" w:hAnsi="宋体"/>
                <w:bCs/>
                <w:color w:val="000000" w:themeColor="text1"/>
                <w:highlight w:val="none"/>
              </w:rPr>
            </w:pPr>
          </w:p>
        </w:tc>
      </w:tr>
      <w:tr w14:paraId="59443835">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5D2532BB">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2230A13E">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3987D3FC">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242D4D8">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7631E5C">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42AA438">
            <w:pPr>
              <w:adjustRightInd w:val="0"/>
              <w:snapToGrid w:val="0"/>
              <w:jc w:val="center"/>
              <w:rPr>
                <w:rFonts w:ascii="宋体" w:hAnsi="宋体"/>
                <w:bCs/>
                <w:color w:val="000000" w:themeColor="text1"/>
                <w:highlight w:val="none"/>
              </w:rPr>
            </w:pPr>
          </w:p>
        </w:tc>
      </w:tr>
      <w:tr w14:paraId="01F1CC06">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7AA43C26">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1F768A0F">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74005A05">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BF2ED50">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95F3962">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B21E23E">
            <w:pPr>
              <w:adjustRightInd w:val="0"/>
              <w:snapToGrid w:val="0"/>
              <w:jc w:val="center"/>
              <w:rPr>
                <w:rFonts w:ascii="宋体" w:hAnsi="宋体"/>
                <w:bCs/>
                <w:color w:val="000000" w:themeColor="text1"/>
                <w:highlight w:val="none"/>
              </w:rPr>
            </w:pPr>
          </w:p>
        </w:tc>
      </w:tr>
      <w:tr w14:paraId="61CA1FFE">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631A5C54">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15E2D13F">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46A74BB3">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B5A17B9">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F8CF388">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79BE931">
            <w:pPr>
              <w:adjustRightInd w:val="0"/>
              <w:snapToGrid w:val="0"/>
              <w:jc w:val="center"/>
              <w:rPr>
                <w:rFonts w:ascii="宋体" w:hAnsi="宋体"/>
                <w:bCs/>
                <w:color w:val="000000" w:themeColor="text1"/>
                <w:highlight w:val="none"/>
              </w:rPr>
            </w:pPr>
          </w:p>
        </w:tc>
      </w:tr>
      <w:tr w14:paraId="42F39BB0">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04D411D1">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3BD309D7">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1B89D9D3">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FBB70B4">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6414A74">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90AD3E2">
            <w:pPr>
              <w:adjustRightInd w:val="0"/>
              <w:snapToGrid w:val="0"/>
              <w:jc w:val="center"/>
              <w:rPr>
                <w:rFonts w:ascii="宋体" w:hAnsi="宋体"/>
                <w:bCs/>
                <w:color w:val="000000" w:themeColor="text1"/>
                <w:highlight w:val="none"/>
              </w:rPr>
            </w:pPr>
          </w:p>
        </w:tc>
      </w:tr>
      <w:tr w14:paraId="25B699E7">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3E0D4DD5">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2668EE90">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4BE1ED3E">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F94E1B5">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CE3B6B6">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491D88BA">
            <w:pPr>
              <w:adjustRightInd w:val="0"/>
              <w:snapToGrid w:val="0"/>
              <w:jc w:val="center"/>
              <w:rPr>
                <w:rFonts w:ascii="宋体" w:hAnsi="宋体"/>
                <w:bCs/>
                <w:color w:val="000000" w:themeColor="text1"/>
                <w:highlight w:val="none"/>
              </w:rPr>
            </w:pPr>
          </w:p>
        </w:tc>
      </w:tr>
      <w:tr w14:paraId="21CB7277">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17EED17E">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1E44FEAE">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0E7E07F5">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99A4F73">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EB013CA">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6D7E7C2">
            <w:pPr>
              <w:adjustRightInd w:val="0"/>
              <w:snapToGrid w:val="0"/>
              <w:jc w:val="center"/>
              <w:rPr>
                <w:rFonts w:ascii="宋体" w:hAnsi="宋体"/>
                <w:bCs/>
                <w:color w:val="000000" w:themeColor="text1"/>
                <w:highlight w:val="none"/>
              </w:rPr>
            </w:pPr>
          </w:p>
        </w:tc>
      </w:tr>
      <w:tr w14:paraId="317B76D3">
        <w:tblPrEx>
          <w:tblCellMar>
            <w:top w:w="0" w:type="dxa"/>
            <w:left w:w="54" w:type="dxa"/>
            <w:bottom w:w="0" w:type="dxa"/>
            <w:right w:w="54" w:type="dxa"/>
          </w:tblCellMar>
        </w:tblPrEx>
        <w:trPr>
          <w:trHeight w:val="529" w:hRule="atLeast"/>
          <w:jc w:val="center"/>
        </w:trPr>
        <w:tc>
          <w:tcPr>
            <w:tcW w:w="544" w:type="dxa"/>
            <w:tcBorders>
              <w:top w:val="single" w:color="auto" w:sz="6" w:space="0"/>
              <w:left w:val="single" w:color="auto" w:sz="6" w:space="0"/>
              <w:bottom w:val="single" w:color="auto" w:sz="6" w:space="0"/>
              <w:right w:val="single" w:color="auto" w:sz="6" w:space="0"/>
            </w:tcBorders>
            <w:vAlign w:val="center"/>
          </w:tcPr>
          <w:p w14:paraId="4884B498">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14:paraId="4E10F11B">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14:paraId="0BF156E1">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99AE07E">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5CACB3E">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2DA70CC">
            <w:pPr>
              <w:adjustRightInd w:val="0"/>
              <w:snapToGrid w:val="0"/>
              <w:jc w:val="center"/>
              <w:rPr>
                <w:rFonts w:ascii="宋体" w:hAnsi="宋体"/>
                <w:bCs/>
                <w:color w:val="000000" w:themeColor="text1"/>
                <w:highlight w:val="none"/>
              </w:rPr>
            </w:pPr>
          </w:p>
        </w:tc>
      </w:tr>
    </w:tbl>
    <w:p w14:paraId="65BF56D6">
      <w:pPr>
        <w:adjustRightInd w:val="0"/>
        <w:snapToGrid w:val="0"/>
        <w:spacing w:line="360" w:lineRule="auto"/>
        <w:rPr>
          <w:rFonts w:ascii="宋体" w:hAnsi="宋体"/>
          <w:bCs/>
          <w:color w:val="000000" w:themeColor="text1"/>
          <w:highlight w:val="none"/>
        </w:rPr>
      </w:pPr>
    </w:p>
    <w:p w14:paraId="16233EA2">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说明：1）对“偏离”一栏，填写“无偏离、正偏离、负偏离”；</w:t>
      </w:r>
    </w:p>
    <w:p w14:paraId="4FE3804C">
      <w:pPr>
        <w:adjustRightInd w:val="0"/>
        <w:snapToGrid w:val="0"/>
        <w:spacing w:line="360" w:lineRule="auto"/>
        <w:ind w:firstLine="630" w:firstLineChars="300"/>
        <w:rPr>
          <w:rFonts w:ascii="宋体" w:hAnsi="宋体"/>
          <w:b/>
          <w:bCs/>
          <w:color w:val="000000" w:themeColor="text1"/>
          <w:highlight w:val="none"/>
        </w:rPr>
      </w:pPr>
      <w:r>
        <w:rPr>
          <w:rFonts w:hint="eastAsia" w:ascii="宋体" w:hAnsi="宋体"/>
          <w:bCs/>
          <w:color w:val="000000" w:themeColor="text1"/>
          <w:highlight w:val="none"/>
        </w:rPr>
        <w:t>2）对招标文件中商务条款按上列格式逐条说明。</w:t>
      </w:r>
    </w:p>
    <w:p w14:paraId="0225A2B9">
      <w:pPr>
        <w:adjustRightInd w:val="0"/>
        <w:snapToGrid w:val="0"/>
        <w:spacing w:line="360" w:lineRule="auto"/>
        <w:rPr>
          <w:rFonts w:ascii="宋体" w:hAnsi="宋体"/>
          <w:b/>
          <w:bCs/>
          <w:color w:val="000000" w:themeColor="text1"/>
          <w:highlight w:val="none"/>
        </w:rPr>
      </w:pPr>
      <w:r>
        <w:rPr>
          <w:rFonts w:hint="eastAsia" w:ascii="宋体" w:hAnsi="宋体"/>
          <w:b/>
          <w:bCs/>
          <w:color w:val="000000" w:themeColor="text1"/>
          <w:highlight w:val="none"/>
        </w:rPr>
        <w:t>投标人声明：表中未列全的商务条款，我方均表示完全响应招标文件商务条款的所有要求。</w:t>
      </w:r>
    </w:p>
    <w:p w14:paraId="4C4239C8">
      <w:pPr>
        <w:adjustRightInd w:val="0"/>
        <w:snapToGrid w:val="0"/>
        <w:spacing w:line="360" w:lineRule="auto"/>
        <w:rPr>
          <w:rFonts w:ascii="宋体" w:hAnsi="宋体"/>
          <w:bCs/>
          <w:color w:val="000000" w:themeColor="text1"/>
          <w:highlight w:val="none"/>
        </w:rPr>
      </w:pPr>
    </w:p>
    <w:p w14:paraId="1DB8526B">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30D2E5E8">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207C7F58">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05D52930">
      <w:pPr>
        <w:pStyle w:val="3"/>
        <w:numPr>
          <w:ilvl w:val="0"/>
          <w:numId w:val="0"/>
        </w:numPr>
        <w:spacing w:line="400" w:lineRule="exact"/>
        <w:rPr>
          <w:color w:val="000000" w:themeColor="text1"/>
          <w:highlight w:val="none"/>
        </w:rPr>
      </w:pPr>
      <w:bookmarkStart w:id="1799" w:name="_Toc5400"/>
      <w:bookmarkStart w:id="1800" w:name="_Toc331512926"/>
      <w:bookmarkStart w:id="1801" w:name="_Toc333237814"/>
      <w:bookmarkStart w:id="1802" w:name="_Toc342312468"/>
      <w:bookmarkStart w:id="1803" w:name="_Toc342296786"/>
      <w:bookmarkStart w:id="1804" w:name="_Toc342060400"/>
      <w:bookmarkStart w:id="1805" w:name="_Toc366072554"/>
      <w:bookmarkStart w:id="1806" w:name="_Toc336681960"/>
      <w:bookmarkStart w:id="1807" w:name="_Toc332206734"/>
      <w:bookmarkStart w:id="1808" w:name="_Toc331684067"/>
      <w:bookmarkStart w:id="1809" w:name="_Toc339020258"/>
      <w:bookmarkStart w:id="1810" w:name="_Toc339019914"/>
      <w:bookmarkStart w:id="1811" w:name="_Toc345312622"/>
      <w:bookmarkStart w:id="1812" w:name="_Toc332270372"/>
      <w:bookmarkStart w:id="1813" w:name="_Toc343612945"/>
      <w:bookmarkStart w:id="1814" w:name="_Toc350756475"/>
      <w:bookmarkStart w:id="1815" w:name="_Toc340507467"/>
      <w:bookmarkStart w:id="1816" w:name="_Toc339020040"/>
      <w:bookmarkStart w:id="1817" w:name="_Toc365985203"/>
      <w:bookmarkStart w:id="1818" w:name="_Toc343248443"/>
      <w:bookmarkStart w:id="1819" w:name="_Toc333237703"/>
      <w:bookmarkStart w:id="1820" w:name="_Toc340677095"/>
      <w:bookmarkStart w:id="1821" w:name="_Toc336681605"/>
      <w:bookmarkStart w:id="1822" w:name="_Toc330460011"/>
      <w:bookmarkStart w:id="1823" w:name="_Toc333238659"/>
      <w:bookmarkStart w:id="1824" w:name="_Toc343247125"/>
      <w:bookmarkStart w:id="1825" w:name="_Toc339020120"/>
      <w:bookmarkStart w:id="1826" w:name="_Toc337632383"/>
      <w:bookmarkStart w:id="1827" w:name="_Toc333935712"/>
      <w:bookmarkStart w:id="1828" w:name="_Toc333935371"/>
      <w:bookmarkStart w:id="1829" w:name="_Toc340672894"/>
      <w:bookmarkStart w:id="1830" w:name="_Toc339362325"/>
      <w:bookmarkStart w:id="1831" w:name="_Toc339441112"/>
      <w:bookmarkStart w:id="1832" w:name="_Toc342398155"/>
      <w:bookmarkStart w:id="1833" w:name="_Toc341348365"/>
      <w:bookmarkStart w:id="1834" w:name="_Toc350438774"/>
      <w:bookmarkStart w:id="1835" w:name="_Toc365967097"/>
      <w:r>
        <w:rPr>
          <w:rFonts w:hint="eastAsia"/>
          <w:color w:val="000000" w:themeColor="text1"/>
          <w:highlight w:val="none"/>
        </w:rPr>
        <w:t>附件</w:t>
      </w:r>
      <w:r>
        <w:rPr>
          <w:rFonts w:hint="eastAsia"/>
          <w:color w:val="000000" w:themeColor="text1"/>
          <w:highlight w:val="none"/>
          <w:lang w:val="en-US" w:eastAsia="zh-CN"/>
        </w:rPr>
        <w:t>四</w:t>
      </w:r>
      <w:r>
        <w:rPr>
          <w:rFonts w:hint="eastAsia"/>
          <w:color w:val="000000" w:themeColor="text1"/>
          <w:highlight w:val="none"/>
        </w:rPr>
        <w:t>：技术条款偏离一览表</w:t>
      </w:r>
      <w:bookmarkEnd w:id="1799"/>
    </w:p>
    <w:p w14:paraId="7A343AFB">
      <w:pPr>
        <w:adjustRightInd w:val="0"/>
        <w:snapToGrid w:val="0"/>
        <w:spacing w:line="360" w:lineRule="auto"/>
        <w:jc w:val="left"/>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14:paraId="4D71A485">
      <w:pPr>
        <w:adjustRightInd w:val="0"/>
        <w:snapToGrid w:val="0"/>
        <w:spacing w:line="360" w:lineRule="auto"/>
        <w:ind w:left="1050" w:hanging="1050" w:hangingChars="500"/>
        <w:jc w:val="left"/>
        <w:rPr>
          <w:rFonts w:ascii="宋体" w:hAnsi="宋体"/>
          <w:b/>
          <w:bCs/>
          <w:cap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r>
        <w:rPr>
          <w:rFonts w:hint="eastAsia" w:ascii="宋体" w:hAnsi="宋体"/>
          <w:b/>
          <w:bCs/>
          <w:caps/>
          <w:color w:val="000000" w:themeColor="text1"/>
          <w:highlight w:val="none"/>
          <w:u w:val="single"/>
        </w:rPr>
        <w:t xml:space="preserve"> </w:t>
      </w:r>
    </w:p>
    <w:tbl>
      <w:tblPr>
        <w:tblStyle w:val="46"/>
        <w:tblW w:w="9271" w:type="dxa"/>
        <w:jc w:val="center"/>
        <w:tblLayout w:type="fixed"/>
        <w:tblCellMar>
          <w:top w:w="0" w:type="dxa"/>
          <w:left w:w="54" w:type="dxa"/>
          <w:bottom w:w="0" w:type="dxa"/>
          <w:right w:w="54" w:type="dxa"/>
        </w:tblCellMar>
      </w:tblPr>
      <w:tblGrid>
        <w:gridCol w:w="661"/>
        <w:gridCol w:w="1116"/>
        <w:gridCol w:w="2845"/>
        <w:gridCol w:w="3190"/>
        <w:gridCol w:w="850"/>
        <w:gridCol w:w="609"/>
      </w:tblGrid>
      <w:tr w14:paraId="2727262C">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0711630D">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序号</w:t>
            </w:r>
          </w:p>
        </w:tc>
        <w:tc>
          <w:tcPr>
            <w:tcW w:w="1116" w:type="dxa"/>
            <w:tcBorders>
              <w:top w:val="single" w:color="auto" w:sz="6" w:space="0"/>
              <w:left w:val="single" w:color="auto" w:sz="6" w:space="0"/>
              <w:bottom w:val="single" w:color="auto" w:sz="6" w:space="0"/>
              <w:right w:val="single" w:color="auto" w:sz="4" w:space="0"/>
            </w:tcBorders>
            <w:vAlign w:val="center"/>
          </w:tcPr>
          <w:p w14:paraId="38FD937C">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招标文件条目</w:t>
            </w:r>
          </w:p>
        </w:tc>
        <w:tc>
          <w:tcPr>
            <w:tcW w:w="2845" w:type="dxa"/>
            <w:tcBorders>
              <w:top w:val="single" w:color="auto" w:sz="6" w:space="0"/>
              <w:left w:val="single" w:color="auto" w:sz="4" w:space="0"/>
              <w:bottom w:val="single" w:color="auto" w:sz="6" w:space="0"/>
              <w:right w:val="single" w:color="auto" w:sz="6" w:space="0"/>
            </w:tcBorders>
            <w:vAlign w:val="center"/>
          </w:tcPr>
          <w:p w14:paraId="06AE07F7">
            <w:pPr>
              <w:adjustRightInd w:val="0"/>
              <w:snapToGrid w:val="0"/>
              <w:jc w:val="center"/>
              <w:rPr>
                <w:rFonts w:ascii="宋体" w:hAnsi="宋体"/>
                <w:bCs/>
                <w:color w:val="000000" w:themeColor="text1"/>
                <w:highlight w:val="none"/>
              </w:rPr>
            </w:pPr>
            <w:r>
              <w:rPr>
                <w:rFonts w:hAnsi="宋体"/>
                <w:color w:val="000000" w:themeColor="text1"/>
                <w:szCs w:val="21"/>
                <w:highlight w:val="none"/>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39110A95">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402D35C8">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偏离</w:t>
            </w:r>
          </w:p>
          <w:p w14:paraId="565DE22E">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3CE3B51B">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说明</w:t>
            </w:r>
          </w:p>
        </w:tc>
      </w:tr>
      <w:tr w14:paraId="7EBD9B31">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7817864A">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38598F7F">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48A671A5">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3977F79">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356385D7">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3488FAE">
            <w:pPr>
              <w:adjustRightInd w:val="0"/>
              <w:snapToGrid w:val="0"/>
              <w:jc w:val="center"/>
              <w:rPr>
                <w:rFonts w:ascii="宋体" w:hAnsi="宋体"/>
                <w:bCs/>
                <w:color w:val="000000" w:themeColor="text1"/>
                <w:highlight w:val="none"/>
              </w:rPr>
            </w:pPr>
          </w:p>
        </w:tc>
      </w:tr>
      <w:tr w14:paraId="6C4114D8">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22565053">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76D4CC61">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11F90980">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F09B41A">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173CACDE">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4EC3E1E9">
            <w:pPr>
              <w:adjustRightInd w:val="0"/>
              <w:snapToGrid w:val="0"/>
              <w:jc w:val="center"/>
              <w:rPr>
                <w:rFonts w:ascii="宋体" w:hAnsi="宋体"/>
                <w:bCs/>
                <w:color w:val="000000" w:themeColor="text1"/>
                <w:highlight w:val="none"/>
              </w:rPr>
            </w:pPr>
          </w:p>
        </w:tc>
      </w:tr>
      <w:tr w14:paraId="72CAB655">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6DE9B450">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02C985A8">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672C9A3A">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9A0F447">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2AF8051">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AB1C9EC">
            <w:pPr>
              <w:adjustRightInd w:val="0"/>
              <w:snapToGrid w:val="0"/>
              <w:jc w:val="center"/>
              <w:rPr>
                <w:rFonts w:ascii="宋体" w:hAnsi="宋体"/>
                <w:bCs/>
                <w:color w:val="000000" w:themeColor="text1"/>
                <w:highlight w:val="none"/>
              </w:rPr>
            </w:pPr>
          </w:p>
        </w:tc>
      </w:tr>
      <w:tr w14:paraId="17061809">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73778801">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59185CA2">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71DB6EE5">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470F7974">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59E929BB">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B7E27B3">
            <w:pPr>
              <w:adjustRightInd w:val="0"/>
              <w:snapToGrid w:val="0"/>
              <w:jc w:val="center"/>
              <w:rPr>
                <w:rFonts w:ascii="宋体" w:hAnsi="宋体"/>
                <w:bCs/>
                <w:color w:val="000000" w:themeColor="text1"/>
                <w:highlight w:val="none"/>
              </w:rPr>
            </w:pPr>
          </w:p>
        </w:tc>
      </w:tr>
      <w:tr w14:paraId="0E5673E8">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34A51C8F">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23D05239">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601259CD">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DE227FE">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42EEA81">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3451C24A">
            <w:pPr>
              <w:adjustRightInd w:val="0"/>
              <w:snapToGrid w:val="0"/>
              <w:jc w:val="center"/>
              <w:rPr>
                <w:rFonts w:ascii="宋体" w:hAnsi="宋体"/>
                <w:bCs/>
                <w:color w:val="000000" w:themeColor="text1"/>
                <w:highlight w:val="none"/>
              </w:rPr>
            </w:pPr>
          </w:p>
        </w:tc>
      </w:tr>
      <w:tr w14:paraId="5A7C8BCA">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7B036E2E">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0847504D">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1BE83B10">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1EE5583">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A996B5D">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4570BECE">
            <w:pPr>
              <w:adjustRightInd w:val="0"/>
              <w:snapToGrid w:val="0"/>
              <w:jc w:val="center"/>
              <w:rPr>
                <w:rFonts w:ascii="宋体" w:hAnsi="宋体"/>
                <w:bCs/>
                <w:color w:val="000000" w:themeColor="text1"/>
                <w:highlight w:val="none"/>
              </w:rPr>
            </w:pPr>
          </w:p>
        </w:tc>
      </w:tr>
      <w:tr w14:paraId="20E26558">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5FD947D4">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58D27AFA">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0B40EA4F">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8DE68B8">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7D1C8C8">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4FE8E22A">
            <w:pPr>
              <w:adjustRightInd w:val="0"/>
              <w:snapToGrid w:val="0"/>
              <w:jc w:val="center"/>
              <w:rPr>
                <w:rFonts w:ascii="宋体" w:hAnsi="宋体"/>
                <w:bCs/>
                <w:color w:val="000000" w:themeColor="text1"/>
                <w:highlight w:val="none"/>
              </w:rPr>
            </w:pPr>
          </w:p>
        </w:tc>
      </w:tr>
      <w:tr w14:paraId="06D86840">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0F00153C">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0E790B57">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6C0BA6BB">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D8594EE">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7ADDE1DD">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55412503">
            <w:pPr>
              <w:adjustRightInd w:val="0"/>
              <w:snapToGrid w:val="0"/>
              <w:jc w:val="center"/>
              <w:rPr>
                <w:rFonts w:ascii="宋体" w:hAnsi="宋体"/>
                <w:bCs/>
                <w:color w:val="000000" w:themeColor="text1"/>
                <w:highlight w:val="none"/>
              </w:rPr>
            </w:pPr>
          </w:p>
        </w:tc>
      </w:tr>
      <w:tr w14:paraId="128459CF">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62B26BF6">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11A36FC9">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31BBC93F">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214D198D">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4239EB16">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7334E9E">
            <w:pPr>
              <w:adjustRightInd w:val="0"/>
              <w:snapToGrid w:val="0"/>
              <w:jc w:val="center"/>
              <w:rPr>
                <w:rFonts w:ascii="宋体" w:hAnsi="宋体"/>
                <w:bCs/>
                <w:color w:val="000000" w:themeColor="text1"/>
                <w:highlight w:val="none"/>
              </w:rPr>
            </w:pPr>
          </w:p>
        </w:tc>
      </w:tr>
      <w:tr w14:paraId="398AF4E3">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06CA8E07">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2C429C33">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177CFB5C">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EAB5F88">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D5D313E">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2CFC6470">
            <w:pPr>
              <w:adjustRightInd w:val="0"/>
              <w:snapToGrid w:val="0"/>
              <w:jc w:val="center"/>
              <w:rPr>
                <w:rFonts w:ascii="宋体" w:hAnsi="宋体"/>
                <w:bCs/>
                <w:color w:val="000000" w:themeColor="text1"/>
                <w:highlight w:val="none"/>
              </w:rPr>
            </w:pPr>
          </w:p>
        </w:tc>
      </w:tr>
      <w:tr w14:paraId="6A69A230">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24E86298">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0D309865">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2F0C7C3E">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1F72F98">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0FD2E5B1">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B95150D">
            <w:pPr>
              <w:adjustRightInd w:val="0"/>
              <w:snapToGrid w:val="0"/>
              <w:jc w:val="center"/>
              <w:rPr>
                <w:rFonts w:ascii="宋体" w:hAnsi="宋体"/>
                <w:bCs/>
                <w:color w:val="000000" w:themeColor="text1"/>
                <w:highlight w:val="none"/>
              </w:rPr>
            </w:pPr>
          </w:p>
        </w:tc>
      </w:tr>
      <w:tr w14:paraId="2EE882BB">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55FCB477">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267F5751">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754165A9">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5E55FC99">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FDE3E60">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7D387114">
            <w:pPr>
              <w:adjustRightInd w:val="0"/>
              <w:snapToGrid w:val="0"/>
              <w:jc w:val="center"/>
              <w:rPr>
                <w:rFonts w:ascii="宋体" w:hAnsi="宋体"/>
                <w:bCs/>
                <w:color w:val="000000" w:themeColor="text1"/>
                <w:highlight w:val="none"/>
              </w:rPr>
            </w:pPr>
          </w:p>
        </w:tc>
      </w:tr>
      <w:tr w14:paraId="70D3F173">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69985870">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4E510349">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2CFFB5BD">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089B84F1">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6F9A3249">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14793062">
            <w:pPr>
              <w:adjustRightInd w:val="0"/>
              <w:snapToGrid w:val="0"/>
              <w:jc w:val="center"/>
              <w:rPr>
                <w:rFonts w:ascii="宋体" w:hAnsi="宋体"/>
                <w:bCs/>
                <w:color w:val="000000" w:themeColor="text1"/>
                <w:highlight w:val="none"/>
              </w:rPr>
            </w:pPr>
          </w:p>
        </w:tc>
      </w:tr>
      <w:tr w14:paraId="4328745F">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6DD56437">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08651DB3">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5A477DFB">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1FC4C514">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26C5F8A1">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64E9FEA4">
            <w:pPr>
              <w:adjustRightInd w:val="0"/>
              <w:snapToGrid w:val="0"/>
              <w:jc w:val="center"/>
              <w:rPr>
                <w:rFonts w:ascii="宋体" w:hAnsi="宋体"/>
                <w:bCs/>
                <w:color w:val="000000" w:themeColor="text1"/>
                <w:highlight w:val="none"/>
              </w:rPr>
            </w:pPr>
          </w:p>
        </w:tc>
      </w:tr>
      <w:tr w14:paraId="39B0577F">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14:paraId="1A27EB82">
            <w:pPr>
              <w:adjustRightInd w:val="0"/>
              <w:snapToGrid w:val="0"/>
              <w:jc w:val="center"/>
              <w:rPr>
                <w:rFonts w:ascii="宋体" w:hAnsi="宋体"/>
                <w:bCs/>
                <w:color w:val="000000" w:themeColor="text1"/>
                <w:highlight w:val="none"/>
              </w:rPr>
            </w:pPr>
          </w:p>
        </w:tc>
        <w:tc>
          <w:tcPr>
            <w:tcW w:w="1116" w:type="dxa"/>
            <w:tcBorders>
              <w:top w:val="single" w:color="auto" w:sz="6" w:space="0"/>
              <w:left w:val="single" w:color="auto" w:sz="6" w:space="0"/>
              <w:bottom w:val="single" w:color="auto" w:sz="6" w:space="0"/>
              <w:right w:val="single" w:color="auto" w:sz="4" w:space="0"/>
            </w:tcBorders>
            <w:vAlign w:val="center"/>
          </w:tcPr>
          <w:p w14:paraId="026EBEF6">
            <w:pPr>
              <w:adjustRightInd w:val="0"/>
              <w:snapToGrid w:val="0"/>
              <w:jc w:val="center"/>
              <w:rPr>
                <w:rFonts w:ascii="宋体" w:hAnsi="宋体"/>
                <w:bCs/>
                <w:color w:val="000000" w:themeColor="text1"/>
                <w:highlight w:val="none"/>
              </w:rPr>
            </w:pPr>
          </w:p>
        </w:tc>
        <w:tc>
          <w:tcPr>
            <w:tcW w:w="2845" w:type="dxa"/>
            <w:tcBorders>
              <w:top w:val="single" w:color="auto" w:sz="6" w:space="0"/>
              <w:left w:val="single" w:color="auto" w:sz="4" w:space="0"/>
              <w:bottom w:val="single" w:color="auto" w:sz="6" w:space="0"/>
              <w:right w:val="single" w:color="auto" w:sz="6" w:space="0"/>
            </w:tcBorders>
            <w:vAlign w:val="center"/>
          </w:tcPr>
          <w:p w14:paraId="1DC2E702">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14:paraId="39A2C32F">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14:paraId="13173122">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14:paraId="0B41FD8C">
            <w:pPr>
              <w:adjustRightInd w:val="0"/>
              <w:snapToGrid w:val="0"/>
              <w:jc w:val="center"/>
              <w:rPr>
                <w:rFonts w:ascii="宋体" w:hAnsi="宋体"/>
                <w:bCs/>
                <w:color w:val="000000" w:themeColor="text1"/>
                <w:highlight w:val="none"/>
              </w:rPr>
            </w:pPr>
          </w:p>
        </w:tc>
      </w:tr>
    </w:tbl>
    <w:p w14:paraId="681986C1">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说明：1）对“偏离”一栏，填写“无偏离、正偏离、负偏离”；</w:t>
      </w:r>
    </w:p>
    <w:p w14:paraId="63DA67AC">
      <w:pPr>
        <w:adjustRightInd w:val="0"/>
        <w:snapToGrid w:val="0"/>
        <w:spacing w:line="360" w:lineRule="auto"/>
        <w:ind w:firstLine="630" w:firstLineChars="300"/>
        <w:rPr>
          <w:rFonts w:ascii="宋体" w:hAnsi="宋体"/>
          <w:b/>
          <w:bCs/>
          <w:color w:val="000000" w:themeColor="text1"/>
          <w:highlight w:val="none"/>
        </w:rPr>
      </w:pPr>
      <w:r>
        <w:rPr>
          <w:rFonts w:hint="eastAsia" w:ascii="宋体" w:hAnsi="宋体"/>
          <w:bCs/>
          <w:color w:val="000000" w:themeColor="text1"/>
          <w:highlight w:val="none"/>
        </w:rPr>
        <w:t>2）对招标文件中技术条款按上列格式逐条说明。</w:t>
      </w:r>
    </w:p>
    <w:p w14:paraId="2C45E730">
      <w:pPr>
        <w:adjustRightInd w:val="0"/>
        <w:snapToGrid w:val="0"/>
        <w:spacing w:line="360" w:lineRule="auto"/>
        <w:ind w:firstLine="630" w:firstLineChars="300"/>
        <w:rPr>
          <w:rFonts w:ascii="宋体" w:hAnsi="宋体"/>
          <w:bCs/>
          <w:color w:val="000000" w:themeColor="text1"/>
          <w:highlight w:val="none"/>
        </w:rPr>
      </w:pPr>
    </w:p>
    <w:p w14:paraId="15DF7191">
      <w:pPr>
        <w:adjustRightInd w:val="0"/>
        <w:snapToGrid w:val="0"/>
        <w:spacing w:line="360" w:lineRule="auto"/>
        <w:rPr>
          <w:rFonts w:ascii="宋体" w:hAnsi="宋体"/>
          <w:b/>
          <w:bCs/>
          <w:color w:val="000000" w:themeColor="text1"/>
          <w:highlight w:val="none"/>
        </w:rPr>
      </w:pPr>
    </w:p>
    <w:p w14:paraId="0D880011">
      <w:pPr>
        <w:adjustRightInd w:val="0"/>
        <w:snapToGrid w:val="0"/>
        <w:spacing w:line="360" w:lineRule="auto"/>
        <w:rPr>
          <w:rFonts w:ascii="宋体" w:hAnsi="宋体"/>
          <w:b/>
          <w:bCs/>
          <w:color w:val="000000" w:themeColor="text1"/>
          <w:highlight w:val="none"/>
        </w:rPr>
      </w:pPr>
      <w:r>
        <w:rPr>
          <w:rFonts w:hint="eastAsia" w:ascii="宋体" w:hAnsi="宋体"/>
          <w:b/>
          <w:bCs/>
          <w:color w:val="000000" w:themeColor="text1"/>
          <w:highlight w:val="none"/>
        </w:rPr>
        <w:t>投标人声明：表中未列全的技术条款，我方均表示完全响应招标文件技术条款的所有要求。</w:t>
      </w:r>
    </w:p>
    <w:p w14:paraId="033E2EEF">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630A52B5">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51AB147D">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14:paraId="1D14044C">
      <w:pPr>
        <w:pStyle w:val="3"/>
        <w:numPr>
          <w:ilvl w:val="1"/>
          <w:numId w:val="0"/>
        </w:numPr>
        <w:spacing w:line="400" w:lineRule="exact"/>
        <w:rPr>
          <w:color w:val="000000" w:themeColor="text1"/>
          <w:highlight w:val="none"/>
        </w:rPr>
        <w:sectPr>
          <w:footerReference r:id="rId13" w:type="default"/>
          <w:pgSz w:w="11906" w:h="16838"/>
          <w:pgMar w:top="1474" w:right="1418" w:bottom="1474" w:left="1418" w:header="851" w:footer="850" w:gutter="0"/>
          <w:cols w:space="0" w:num="1"/>
          <w:titlePg/>
          <w:docGrid w:linePitch="312" w:charSpace="0"/>
        </w:sectPr>
      </w:pPr>
      <w:bookmarkStart w:id="1836" w:name="_Toc332270376"/>
      <w:bookmarkStart w:id="1837" w:name="_Toc337632387"/>
      <w:bookmarkStart w:id="1838" w:name="_Toc342060404"/>
      <w:bookmarkStart w:id="1839" w:name="_Toc333237818"/>
      <w:bookmarkStart w:id="1840" w:name="_Toc339020044"/>
      <w:bookmarkStart w:id="1841" w:name="_Toc350438778"/>
      <w:bookmarkStart w:id="1842" w:name="_Toc343612949"/>
      <w:bookmarkStart w:id="1843" w:name="_Toc331684071"/>
      <w:bookmarkStart w:id="1844" w:name="_Toc339362329"/>
      <w:bookmarkStart w:id="1845" w:name="_Toc342312472"/>
      <w:bookmarkStart w:id="1846" w:name="_Toc365967104"/>
      <w:bookmarkStart w:id="1847" w:name="_Toc432695228"/>
      <w:bookmarkStart w:id="1848" w:name="_Toc332206738"/>
      <w:bookmarkStart w:id="1849" w:name="_Toc343248447"/>
      <w:bookmarkStart w:id="1850" w:name="_Toc339441116"/>
      <w:bookmarkStart w:id="1851" w:name="_Toc339020124"/>
      <w:bookmarkStart w:id="1852" w:name="_Toc333935716"/>
      <w:bookmarkStart w:id="1853" w:name="_Toc342398159"/>
      <w:bookmarkStart w:id="1854" w:name="_Toc366072561"/>
      <w:bookmarkStart w:id="1855" w:name="_Toc365985210"/>
      <w:bookmarkStart w:id="1856" w:name="_Toc350756479"/>
      <w:bookmarkStart w:id="1857" w:name="_Toc343247129"/>
      <w:bookmarkStart w:id="1858" w:name="_Toc345312626"/>
      <w:bookmarkStart w:id="1859" w:name="_Toc336681964"/>
      <w:bookmarkStart w:id="1860" w:name="_Toc330460015"/>
      <w:bookmarkStart w:id="1861" w:name="_Toc341348369"/>
      <w:bookmarkStart w:id="1862" w:name="_Toc331512930"/>
      <w:bookmarkStart w:id="1863" w:name="_Toc339020262"/>
      <w:bookmarkStart w:id="1864" w:name="_Toc342296790"/>
      <w:bookmarkStart w:id="1865" w:name="_Toc340507471"/>
      <w:bookmarkStart w:id="1866" w:name="_Toc336681609"/>
      <w:bookmarkStart w:id="1867" w:name="_Toc333238663"/>
      <w:bookmarkStart w:id="1868" w:name="_Toc333237707"/>
      <w:bookmarkStart w:id="1869" w:name="_Toc340677099"/>
      <w:bookmarkStart w:id="1870" w:name="_Toc340672898"/>
      <w:bookmarkStart w:id="1871" w:name="_Toc339019918"/>
      <w:bookmarkStart w:id="1872" w:name="_Toc333935375"/>
    </w:p>
    <w:p w14:paraId="4E28BAA0">
      <w:pPr>
        <w:pStyle w:val="3"/>
        <w:numPr>
          <w:ilvl w:val="1"/>
          <w:numId w:val="0"/>
        </w:numPr>
        <w:spacing w:line="400" w:lineRule="exact"/>
        <w:rPr>
          <w:color w:val="000000" w:themeColor="text1"/>
          <w:highlight w:val="none"/>
        </w:rPr>
      </w:pPr>
      <w:bookmarkStart w:id="1873" w:name="_Toc5512"/>
      <w:r>
        <w:rPr>
          <w:rFonts w:hint="eastAsia"/>
          <w:color w:val="000000" w:themeColor="text1"/>
          <w:highlight w:val="none"/>
        </w:rPr>
        <w:t>附件</w:t>
      </w:r>
      <w:r>
        <w:rPr>
          <w:rFonts w:hint="eastAsia"/>
          <w:color w:val="000000" w:themeColor="text1"/>
          <w:highlight w:val="none"/>
          <w:lang w:val="en-US" w:eastAsia="zh-CN"/>
        </w:rPr>
        <w:t>五</w:t>
      </w:r>
      <w:r>
        <w:rPr>
          <w:rFonts w:hint="eastAsia"/>
          <w:color w:val="000000" w:themeColor="text1"/>
          <w:highlight w:val="none"/>
        </w:rPr>
        <w:t>：同类业绩一览表</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14:paraId="16B839FE">
      <w:pPr>
        <w:adjustRightInd w:val="0"/>
        <w:snapToGrid w:val="0"/>
        <w:spacing w:line="360" w:lineRule="auto"/>
        <w:jc w:val="left"/>
        <w:rPr>
          <w:rFonts w:ascii="宋体" w:hAnsi="宋体"/>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szCs w:val="21"/>
          <w:highlight w:val="none"/>
        </w:rPr>
        <w:t xml:space="preserve">           </w:t>
      </w:r>
    </w:p>
    <w:p w14:paraId="6844E93A">
      <w:pPr>
        <w:adjustRightInd w:val="0"/>
        <w:snapToGrid w:val="0"/>
        <w:spacing w:line="360" w:lineRule="auto"/>
        <w:ind w:left="1050" w:hanging="1050" w:hangingChars="500"/>
        <w:jc w:val="left"/>
        <w:rPr>
          <w:rFonts w:ascii="宋体" w:hAnsi="宋体"/>
          <w:bCs/>
          <w:color w:val="000000" w:themeColor="text1"/>
          <w:highlight w:val="none"/>
        </w:rPr>
      </w:pPr>
      <w:r>
        <w:rPr>
          <w:rFonts w:hint="eastAsia" w:ascii="宋体" w:hAnsi="宋体"/>
          <w:bCs/>
          <w:color w:val="000000" w:themeColor="text1"/>
          <w:szCs w:val="21"/>
          <w:highlight w:val="none"/>
        </w:rPr>
        <w:t>项目名称：</w:t>
      </w:r>
      <w:r>
        <w:rPr>
          <w:rFonts w:hint="eastAsia"/>
          <w:color w:val="000000" w:themeColor="text1"/>
          <w:szCs w:val="21"/>
          <w:highlight w:val="none"/>
          <w:u w:val="single"/>
        </w:rPr>
        <w:t xml:space="preserve">                          </w:t>
      </w:r>
    </w:p>
    <w:tbl>
      <w:tblPr>
        <w:tblStyle w:val="46"/>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6196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1698C5E8">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序号</w:t>
            </w:r>
          </w:p>
        </w:tc>
        <w:tc>
          <w:tcPr>
            <w:tcW w:w="1215" w:type="dxa"/>
            <w:vAlign w:val="center"/>
          </w:tcPr>
          <w:p w14:paraId="4A1AC0B1">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项目名称</w:t>
            </w:r>
          </w:p>
        </w:tc>
        <w:tc>
          <w:tcPr>
            <w:tcW w:w="1267" w:type="dxa"/>
            <w:vAlign w:val="center"/>
          </w:tcPr>
          <w:p w14:paraId="52E4CB03">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内容</w:t>
            </w:r>
          </w:p>
        </w:tc>
        <w:tc>
          <w:tcPr>
            <w:tcW w:w="1117" w:type="dxa"/>
            <w:vAlign w:val="center"/>
          </w:tcPr>
          <w:p w14:paraId="5377C0C2">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数量</w:t>
            </w:r>
          </w:p>
        </w:tc>
        <w:tc>
          <w:tcPr>
            <w:tcW w:w="1400" w:type="dxa"/>
            <w:vAlign w:val="center"/>
          </w:tcPr>
          <w:p w14:paraId="50F47B06">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中标金额（元）</w:t>
            </w:r>
          </w:p>
        </w:tc>
        <w:tc>
          <w:tcPr>
            <w:tcW w:w="1233" w:type="dxa"/>
            <w:vAlign w:val="center"/>
          </w:tcPr>
          <w:p w14:paraId="00F486FE">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完成日期</w:t>
            </w:r>
          </w:p>
        </w:tc>
        <w:tc>
          <w:tcPr>
            <w:tcW w:w="1183" w:type="dxa"/>
            <w:vAlign w:val="center"/>
          </w:tcPr>
          <w:p w14:paraId="151BD62B">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用户单位</w:t>
            </w:r>
          </w:p>
        </w:tc>
        <w:tc>
          <w:tcPr>
            <w:tcW w:w="1220" w:type="dxa"/>
            <w:vAlign w:val="center"/>
          </w:tcPr>
          <w:p w14:paraId="2096D9FB">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联系电话</w:t>
            </w:r>
          </w:p>
        </w:tc>
        <w:tc>
          <w:tcPr>
            <w:tcW w:w="817" w:type="dxa"/>
            <w:vAlign w:val="center"/>
          </w:tcPr>
          <w:p w14:paraId="7366FA01">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备注</w:t>
            </w:r>
          </w:p>
        </w:tc>
      </w:tr>
      <w:tr w14:paraId="45E0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B3A5711">
            <w:pPr>
              <w:pStyle w:val="5"/>
              <w:snapToGrid w:val="0"/>
              <w:ind w:firstLine="0"/>
              <w:jc w:val="center"/>
              <w:rPr>
                <w:rFonts w:hAnsi="宋体"/>
                <w:bCs/>
                <w:color w:val="000000" w:themeColor="text1"/>
                <w:kern w:val="2"/>
                <w:sz w:val="21"/>
                <w:szCs w:val="24"/>
                <w:highlight w:val="none"/>
              </w:rPr>
            </w:pPr>
          </w:p>
        </w:tc>
        <w:tc>
          <w:tcPr>
            <w:tcW w:w="1215" w:type="dxa"/>
            <w:vAlign w:val="center"/>
          </w:tcPr>
          <w:p w14:paraId="313256FE">
            <w:pPr>
              <w:pStyle w:val="5"/>
              <w:snapToGrid w:val="0"/>
              <w:ind w:firstLine="0"/>
              <w:jc w:val="center"/>
              <w:rPr>
                <w:rFonts w:hAnsi="宋体"/>
                <w:bCs/>
                <w:color w:val="000000" w:themeColor="text1"/>
                <w:kern w:val="2"/>
                <w:sz w:val="21"/>
                <w:szCs w:val="24"/>
                <w:highlight w:val="none"/>
              </w:rPr>
            </w:pPr>
          </w:p>
        </w:tc>
        <w:tc>
          <w:tcPr>
            <w:tcW w:w="1267" w:type="dxa"/>
            <w:vAlign w:val="center"/>
          </w:tcPr>
          <w:p w14:paraId="673E6732">
            <w:pPr>
              <w:pStyle w:val="5"/>
              <w:snapToGrid w:val="0"/>
              <w:jc w:val="center"/>
              <w:rPr>
                <w:rFonts w:hAnsi="宋体"/>
                <w:bCs/>
                <w:color w:val="000000" w:themeColor="text1"/>
                <w:kern w:val="2"/>
                <w:sz w:val="21"/>
                <w:szCs w:val="24"/>
                <w:highlight w:val="none"/>
              </w:rPr>
            </w:pPr>
          </w:p>
        </w:tc>
        <w:tc>
          <w:tcPr>
            <w:tcW w:w="1117" w:type="dxa"/>
            <w:vAlign w:val="center"/>
          </w:tcPr>
          <w:p w14:paraId="77244539">
            <w:pPr>
              <w:pStyle w:val="5"/>
              <w:snapToGrid w:val="0"/>
              <w:ind w:firstLine="0"/>
              <w:jc w:val="center"/>
              <w:rPr>
                <w:rFonts w:hAnsi="宋体"/>
                <w:bCs/>
                <w:color w:val="000000" w:themeColor="text1"/>
                <w:kern w:val="2"/>
                <w:sz w:val="21"/>
                <w:szCs w:val="24"/>
                <w:highlight w:val="none"/>
              </w:rPr>
            </w:pPr>
          </w:p>
        </w:tc>
        <w:tc>
          <w:tcPr>
            <w:tcW w:w="1400" w:type="dxa"/>
            <w:vAlign w:val="center"/>
          </w:tcPr>
          <w:p w14:paraId="482ABAD0">
            <w:pPr>
              <w:pStyle w:val="5"/>
              <w:snapToGrid w:val="0"/>
              <w:jc w:val="center"/>
              <w:rPr>
                <w:rFonts w:hAnsi="宋体"/>
                <w:bCs/>
                <w:color w:val="000000" w:themeColor="text1"/>
                <w:kern w:val="2"/>
                <w:sz w:val="21"/>
                <w:szCs w:val="24"/>
                <w:highlight w:val="none"/>
              </w:rPr>
            </w:pPr>
          </w:p>
        </w:tc>
        <w:tc>
          <w:tcPr>
            <w:tcW w:w="1233" w:type="dxa"/>
            <w:vAlign w:val="center"/>
          </w:tcPr>
          <w:p w14:paraId="3794E8AE">
            <w:pPr>
              <w:pStyle w:val="5"/>
              <w:snapToGrid w:val="0"/>
              <w:jc w:val="center"/>
              <w:rPr>
                <w:rFonts w:hAnsi="宋体"/>
                <w:bCs/>
                <w:color w:val="000000" w:themeColor="text1"/>
                <w:kern w:val="2"/>
                <w:sz w:val="21"/>
                <w:szCs w:val="24"/>
                <w:highlight w:val="none"/>
              </w:rPr>
            </w:pPr>
          </w:p>
        </w:tc>
        <w:tc>
          <w:tcPr>
            <w:tcW w:w="1183" w:type="dxa"/>
            <w:vAlign w:val="center"/>
          </w:tcPr>
          <w:p w14:paraId="0AD53E1E">
            <w:pPr>
              <w:pStyle w:val="5"/>
              <w:snapToGrid w:val="0"/>
              <w:jc w:val="center"/>
              <w:rPr>
                <w:rFonts w:hAnsi="宋体"/>
                <w:bCs/>
                <w:color w:val="000000" w:themeColor="text1"/>
                <w:kern w:val="2"/>
                <w:sz w:val="21"/>
                <w:szCs w:val="24"/>
                <w:highlight w:val="none"/>
              </w:rPr>
            </w:pPr>
          </w:p>
        </w:tc>
        <w:tc>
          <w:tcPr>
            <w:tcW w:w="1220" w:type="dxa"/>
            <w:vAlign w:val="center"/>
          </w:tcPr>
          <w:p w14:paraId="48EC7E88">
            <w:pPr>
              <w:pStyle w:val="5"/>
              <w:snapToGrid w:val="0"/>
              <w:jc w:val="center"/>
              <w:rPr>
                <w:rFonts w:hAnsi="宋体"/>
                <w:bCs/>
                <w:color w:val="000000" w:themeColor="text1"/>
                <w:kern w:val="2"/>
                <w:sz w:val="21"/>
                <w:szCs w:val="24"/>
                <w:highlight w:val="none"/>
              </w:rPr>
            </w:pPr>
          </w:p>
        </w:tc>
        <w:tc>
          <w:tcPr>
            <w:tcW w:w="817" w:type="dxa"/>
            <w:vAlign w:val="center"/>
          </w:tcPr>
          <w:p w14:paraId="11822815">
            <w:pPr>
              <w:pStyle w:val="5"/>
              <w:snapToGrid w:val="0"/>
              <w:jc w:val="center"/>
              <w:rPr>
                <w:rFonts w:hAnsi="宋体"/>
                <w:bCs/>
                <w:color w:val="000000" w:themeColor="text1"/>
                <w:kern w:val="2"/>
                <w:sz w:val="21"/>
                <w:szCs w:val="24"/>
                <w:highlight w:val="none"/>
              </w:rPr>
            </w:pPr>
          </w:p>
        </w:tc>
      </w:tr>
      <w:tr w14:paraId="6FA0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0495FCF">
            <w:pPr>
              <w:pStyle w:val="5"/>
              <w:snapToGrid w:val="0"/>
              <w:jc w:val="center"/>
              <w:rPr>
                <w:rFonts w:hAnsi="宋体"/>
                <w:bCs/>
                <w:color w:val="000000" w:themeColor="text1"/>
                <w:kern w:val="2"/>
                <w:sz w:val="21"/>
                <w:szCs w:val="24"/>
                <w:highlight w:val="none"/>
              </w:rPr>
            </w:pPr>
          </w:p>
        </w:tc>
        <w:tc>
          <w:tcPr>
            <w:tcW w:w="1215" w:type="dxa"/>
            <w:vAlign w:val="center"/>
          </w:tcPr>
          <w:p w14:paraId="07AD3BD1">
            <w:pPr>
              <w:pStyle w:val="5"/>
              <w:snapToGrid w:val="0"/>
              <w:jc w:val="center"/>
              <w:rPr>
                <w:rFonts w:hAnsi="宋体"/>
                <w:bCs/>
                <w:color w:val="000000" w:themeColor="text1"/>
                <w:kern w:val="2"/>
                <w:sz w:val="21"/>
                <w:szCs w:val="24"/>
                <w:highlight w:val="none"/>
              </w:rPr>
            </w:pPr>
          </w:p>
        </w:tc>
        <w:tc>
          <w:tcPr>
            <w:tcW w:w="1267" w:type="dxa"/>
            <w:vAlign w:val="center"/>
          </w:tcPr>
          <w:p w14:paraId="705B3E07">
            <w:pPr>
              <w:pStyle w:val="5"/>
              <w:snapToGrid w:val="0"/>
              <w:jc w:val="center"/>
              <w:rPr>
                <w:rFonts w:hAnsi="宋体"/>
                <w:bCs/>
                <w:color w:val="000000" w:themeColor="text1"/>
                <w:kern w:val="2"/>
                <w:sz w:val="21"/>
                <w:szCs w:val="24"/>
                <w:highlight w:val="none"/>
              </w:rPr>
            </w:pPr>
          </w:p>
        </w:tc>
        <w:tc>
          <w:tcPr>
            <w:tcW w:w="1117" w:type="dxa"/>
            <w:vAlign w:val="center"/>
          </w:tcPr>
          <w:p w14:paraId="6A3CB8E7">
            <w:pPr>
              <w:pStyle w:val="5"/>
              <w:snapToGrid w:val="0"/>
              <w:jc w:val="center"/>
              <w:rPr>
                <w:rFonts w:hAnsi="宋体"/>
                <w:bCs/>
                <w:color w:val="000000" w:themeColor="text1"/>
                <w:kern w:val="2"/>
                <w:sz w:val="21"/>
                <w:szCs w:val="24"/>
                <w:highlight w:val="none"/>
              </w:rPr>
            </w:pPr>
          </w:p>
        </w:tc>
        <w:tc>
          <w:tcPr>
            <w:tcW w:w="1400" w:type="dxa"/>
            <w:vAlign w:val="center"/>
          </w:tcPr>
          <w:p w14:paraId="05C77EAA">
            <w:pPr>
              <w:pStyle w:val="5"/>
              <w:snapToGrid w:val="0"/>
              <w:jc w:val="center"/>
              <w:rPr>
                <w:rFonts w:hAnsi="宋体"/>
                <w:bCs/>
                <w:color w:val="000000" w:themeColor="text1"/>
                <w:kern w:val="2"/>
                <w:sz w:val="21"/>
                <w:szCs w:val="24"/>
                <w:highlight w:val="none"/>
              </w:rPr>
            </w:pPr>
          </w:p>
        </w:tc>
        <w:tc>
          <w:tcPr>
            <w:tcW w:w="1233" w:type="dxa"/>
            <w:vAlign w:val="center"/>
          </w:tcPr>
          <w:p w14:paraId="3F808360">
            <w:pPr>
              <w:pStyle w:val="5"/>
              <w:snapToGrid w:val="0"/>
              <w:jc w:val="center"/>
              <w:rPr>
                <w:rFonts w:hAnsi="宋体"/>
                <w:bCs/>
                <w:color w:val="000000" w:themeColor="text1"/>
                <w:kern w:val="2"/>
                <w:sz w:val="21"/>
                <w:szCs w:val="24"/>
                <w:highlight w:val="none"/>
              </w:rPr>
            </w:pPr>
          </w:p>
        </w:tc>
        <w:tc>
          <w:tcPr>
            <w:tcW w:w="1183" w:type="dxa"/>
            <w:vAlign w:val="center"/>
          </w:tcPr>
          <w:p w14:paraId="4D910777">
            <w:pPr>
              <w:pStyle w:val="5"/>
              <w:snapToGrid w:val="0"/>
              <w:jc w:val="center"/>
              <w:rPr>
                <w:rFonts w:hAnsi="宋体"/>
                <w:bCs/>
                <w:color w:val="000000" w:themeColor="text1"/>
                <w:kern w:val="2"/>
                <w:sz w:val="21"/>
                <w:szCs w:val="24"/>
                <w:highlight w:val="none"/>
              </w:rPr>
            </w:pPr>
          </w:p>
        </w:tc>
        <w:tc>
          <w:tcPr>
            <w:tcW w:w="1220" w:type="dxa"/>
            <w:vAlign w:val="center"/>
          </w:tcPr>
          <w:p w14:paraId="7072131C">
            <w:pPr>
              <w:pStyle w:val="5"/>
              <w:snapToGrid w:val="0"/>
              <w:jc w:val="center"/>
              <w:rPr>
                <w:rFonts w:hAnsi="宋体"/>
                <w:bCs/>
                <w:color w:val="000000" w:themeColor="text1"/>
                <w:kern w:val="2"/>
                <w:sz w:val="21"/>
                <w:szCs w:val="24"/>
                <w:highlight w:val="none"/>
              </w:rPr>
            </w:pPr>
          </w:p>
        </w:tc>
        <w:tc>
          <w:tcPr>
            <w:tcW w:w="817" w:type="dxa"/>
            <w:vAlign w:val="center"/>
          </w:tcPr>
          <w:p w14:paraId="230EC135">
            <w:pPr>
              <w:pStyle w:val="5"/>
              <w:snapToGrid w:val="0"/>
              <w:jc w:val="center"/>
              <w:rPr>
                <w:rFonts w:hAnsi="宋体"/>
                <w:bCs/>
                <w:color w:val="000000" w:themeColor="text1"/>
                <w:kern w:val="2"/>
                <w:sz w:val="21"/>
                <w:szCs w:val="24"/>
                <w:highlight w:val="none"/>
              </w:rPr>
            </w:pPr>
          </w:p>
        </w:tc>
      </w:tr>
      <w:tr w14:paraId="64AD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321A9E41">
            <w:pPr>
              <w:pStyle w:val="5"/>
              <w:snapToGrid w:val="0"/>
              <w:jc w:val="center"/>
              <w:rPr>
                <w:rFonts w:hAnsi="宋体"/>
                <w:bCs/>
                <w:color w:val="000000" w:themeColor="text1"/>
                <w:kern w:val="2"/>
                <w:sz w:val="21"/>
                <w:szCs w:val="24"/>
                <w:highlight w:val="none"/>
              </w:rPr>
            </w:pPr>
          </w:p>
        </w:tc>
        <w:tc>
          <w:tcPr>
            <w:tcW w:w="1215" w:type="dxa"/>
            <w:vAlign w:val="center"/>
          </w:tcPr>
          <w:p w14:paraId="39E72C54">
            <w:pPr>
              <w:pStyle w:val="5"/>
              <w:snapToGrid w:val="0"/>
              <w:jc w:val="center"/>
              <w:rPr>
                <w:rFonts w:hAnsi="宋体"/>
                <w:bCs/>
                <w:color w:val="000000" w:themeColor="text1"/>
                <w:kern w:val="2"/>
                <w:sz w:val="21"/>
                <w:szCs w:val="24"/>
                <w:highlight w:val="none"/>
              </w:rPr>
            </w:pPr>
          </w:p>
        </w:tc>
        <w:tc>
          <w:tcPr>
            <w:tcW w:w="1267" w:type="dxa"/>
            <w:vAlign w:val="center"/>
          </w:tcPr>
          <w:p w14:paraId="5107BB28">
            <w:pPr>
              <w:pStyle w:val="5"/>
              <w:snapToGrid w:val="0"/>
              <w:jc w:val="center"/>
              <w:rPr>
                <w:rFonts w:hAnsi="宋体"/>
                <w:bCs/>
                <w:color w:val="000000" w:themeColor="text1"/>
                <w:kern w:val="2"/>
                <w:sz w:val="21"/>
                <w:szCs w:val="24"/>
                <w:highlight w:val="none"/>
              </w:rPr>
            </w:pPr>
          </w:p>
        </w:tc>
        <w:tc>
          <w:tcPr>
            <w:tcW w:w="1117" w:type="dxa"/>
            <w:vAlign w:val="center"/>
          </w:tcPr>
          <w:p w14:paraId="7CF3FE83">
            <w:pPr>
              <w:pStyle w:val="5"/>
              <w:snapToGrid w:val="0"/>
              <w:jc w:val="center"/>
              <w:rPr>
                <w:rFonts w:hAnsi="宋体"/>
                <w:bCs/>
                <w:color w:val="000000" w:themeColor="text1"/>
                <w:kern w:val="2"/>
                <w:sz w:val="21"/>
                <w:szCs w:val="24"/>
                <w:highlight w:val="none"/>
              </w:rPr>
            </w:pPr>
          </w:p>
        </w:tc>
        <w:tc>
          <w:tcPr>
            <w:tcW w:w="1400" w:type="dxa"/>
            <w:vAlign w:val="center"/>
          </w:tcPr>
          <w:p w14:paraId="59D9B8CF">
            <w:pPr>
              <w:pStyle w:val="5"/>
              <w:snapToGrid w:val="0"/>
              <w:jc w:val="center"/>
              <w:rPr>
                <w:rFonts w:hAnsi="宋体"/>
                <w:bCs/>
                <w:color w:val="000000" w:themeColor="text1"/>
                <w:kern w:val="2"/>
                <w:sz w:val="21"/>
                <w:szCs w:val="24"/>
                <w:highlight w:val="none"/>
              </w:rPr>
            </w:pPr>
          </w:p>
        </w:tc>
        <w:tc>
          <w:tcPr>
            <w:tcW w:w="1233" w:type="dxa"/>
            <w:vAlign w:val="center"/>
          </w:tcPr>
          <w:p w14:paraId="095A5601">
            <w:pPr>
              <w:pStyle w:val="5"/>
              <w:snapToGrid w:val="0"/>
              <w:jc w:val="center"/>
              <w:rPr>
                <w:rFonts w:hAnsi="宋体"/>
                <w:bCs/>
                <w:color w:val="000000" w:themeColor="text1"/>
                <w:kern w:val="2"/>
                <w:sz w:val="21"/>
                <w:szCs w:val="24"/>
                <w:highlight w:val="none"/>
              </w:rPr>
            </w:pPr>
          </w:p>
        </w:tc>
        <w:tc>
          <w:tcPr>
            <w:tcW w:w="1183" w:type="dxa"/>
            <w:vAlign w:val="center"/>
          </w:tcPr>
          <w:p w14:paraId="1EB5E871">
            <w:pPr>
              <w:pStyle w:val="5"/>
              <w:snapToGrid w:val="0"/>
              <w:jc w:val="center"/>
              <w:rPr>
                <w:rFonts w:hAnsi="宋体"/>
                <w:bCs/>
                <w:color w:val="000000" w:themeColor="text1"/>
                <w:kern w:val="2"/>
                <w:sz w:val="21"/>
                <w:szCs w:val="24"/>
                <w:highlight w:val="none"/>
              </w:rPr>
            </w:pPr>
          </w:p>
        </w:tc>
        <w:tc>
          <w:tcPr>
            <w:tcW w:w="1220" w:type="dxa"/>
            <w:vAlign w:val="center"/>
          </w:tcPr>
          <w:p w14:paraId="48E0043A">
            <w:pPr>
              <w:pStyle w:val="5"/>
              <w:snapToGrid w:val="0"/>
              <w:jc w:val="center"/>
              <w:rPr>
                <w:rFonts w:hAnsi="宋体"/>
                <w:bCs/>
                <w:color w:val="000000" w:themeColor="text1"/>
                <w:kern w:val="2"/>
                <w:sz w:val="21"/>
                <w:szCs w:val="24"/>
                <w:highlight w:val="none"/>
              </w:rPr>
            </w:pPr>
          </w:p>
        </w:tc>
        <w:tc>
          <w:tcPr>
            <w:tcW w:w="817" w:type="dxa"/>
            <w:vAlign w:val="center"/>
          </w:tcPr>
          <w:p w14:paraId="5F4D873C">
            <w:pPr>
              <w:pStyle w:val="5"/>
              <w:snapToGrid w:val="0"/>
              <w:jc w:val="center"/>
              <w:rPr>
                <w:rFonts w:hAnsi="宋体"/>
                <w:bCs/>
                <w:color w:val="000000" w:themeColor="text1"/>
                <w:kern w:val="2"/>
                <w:sz w:val="21"/>
                <w:szCs w:val="24"/>
                <w:highlight w:val="none"/>
              </w:rPr>
            </w:pPr>
          </w:p>
        </w:tc>
      </w:tr>
      <w:tr w14:paraId="54E6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3F972A3C">
            <w:pPr>
              <w:pStyle w:val="5"/>
              <w:snapToGrid w:val="0"/>
              <w:jc w:val="center"/>
              <w:rPr>
                <w:rFonts w:hAnsi="宋体"/>
                <w:bCs/>
                <w:color w:val="000000" w:themeColor="text1"/>
                <w:kern w:val="2"/>
                <w:sz w:val="21"/>
                <w:szCs w:val="24"/>
                <w:highlight w:val="none"/>
              </w:rPr>
            </w:pPr>
          </w:p>
        </w:tc>
        <w:tc>
          <w:tcPr>
            <w:tcW w:w="1215" w:type="dxa"/>
            <w:vAlign w:val="center"/>
          </w:tcPr>
          <w:p w14:paraId="195F4B30">
            <w:pPr>
              <w:pStyle w:val="5"/>
              <w:snapToGrid w:val="0"/>
              <w:jc w:val="center"/>
              <w:rPr>
                <w:rFonts w:hAnsi="宋体"/>
                <w:bCs/>
                <w:color w:val="000000" w:themeColor="text1"/>
                <w:kern w:val="2"/>
                <w:sz w:val="21"/>
                <w:szCs w:val="24"/>
                <w:highlight w:val="none"/>
              </w:rPr>
            </w:pPr>
          </w:p>
        </w:tc>
        <w:tc>
          <w:tcPr>
            <w:tcW w:w="1267" w:type="dxa"/>
            <w:vAlign w:val="center"/>
          </w:tcPr>
          <w:p w14:paraId="2ED68ECD">
            <w:pPr>
              <w:pStyle w:val="5"/>
              <w:snapToGrid w:val="0"/>
              <w:jc w:val="center"/>
              <w:rPr>
                <w:rFonts w:hAnsi="宋体"/>
                <w:bCs/>
                <w:color w:val="000000" w:themeColor="text1"/>
                <w:kern w:val="2"/>
                <w:sz w:val="21"/>
                <w:szCs w:val="24"/>
                <w:highlight w:val="none"/>
              </w:rPr>
            </w:pPr>
          </w:p>
        </w:tc>
        <w:tc>
          <w:tcPr>
            <w:tcW w:w="1117" w:type="dxa"/>
            <w:vAlign w:val="center"/>
          </w:tcPr>
          <w:p w14:paraId="04BB8F7D">
            <w:pPr>
              <w:pStyle w:val="5"/>
              <w:snapToGrid w:val="0"/>
              <w:jc w:val="center"/>
              <w:rPr>
                <w:rFonts w:hAnsi="宋体"/>
                <w:bCs/>
                <w:color w:val="000000" w:themeColor="text1"/>
                <w:kern w:val="2"/>
                <w:sz w:val="21"/>
                <w:szCs w:val="24"/>
                <w:highlight w:val="none"/>
              </w:rPr>
            </w:pPr>
          </w:p>
        </w:tc>
        <w:tc>
          <w:tcPr>
            <w:tcW w:w="1400" w:type="dxa"/>
            <w:vAlign w:val="center"/>
          </w:tcPr>
          <w:p w14:paraId="6D4B2531">
            <w:pPr>
              <w:pStyle w:val="5"/>
              <w:snapToGrid w:val="0"/>
              <w:jc w:val="center"/>
              <w:rPr>
                <w:rFonts w:hAnsi="宋体"/>
                <w:bCs/>
                <w:color w:val="000000" w:themeColor="text1"/>
                <w:kern w:val="2"/>
                <w:sz w:val="21"/>
                <w:szCs w:val="24"/>
                <w:highlight w:val="none"/>
              </w:rPr>
            </w:pPr>
          </w:p>
        </w:tc>
        <w:tc>
          <w:tcPr>
            <w:tcW w:w="1233" w:type="dxa"/>
            <w:vAlign w:val="center"/>
          </w:tcPr>
          <w:p w14:paraId="7136C08F">
            <w:pPr>
              <w:pStyle w:val="5"/>
              <w:snapToGrid w:val="0"/>
              <w:jc w:val="center"/>
              <w:rPr>
                <w:rFonts w:hAnsi="宋体"/>
                <w:bCs/>
                <w:color w:val="000000" w:themeColor="text1"/>
                <w:kern w:val="2"/>
                <w:sz w:val="21"/>
                <w:szCs w:val="24"/>
                <w:highlight w:val="none"/>
              </w:rPr>
            </w:pPr>
          </w:p>
        </w:tc>
        <w:tc>
          <w:tcPr>
            <w:tcW w:w="1183" w:type="dxa"/>
            <w:vAlign w:val="center"/>
          </w:tcPr>
          <w:p w14:paraId="78C46A6F">
            <w:pPr>
              <w:pStyle w:val="5"/>
              <w:snapToGrid w:val="0"/>
              <w:jc w:val="center"/>
              <w:rPr>
                <w:rFonts w:hAnsi="宋体"/>
                <w:bCs/>
                <w:color w:val="000000" w:themeColor="text1"/>
                <w:kern w:val="2"/>
                <w:sz w:val="21"/>
                <w:szCs w:val="24"/>
                <w:highlight w:val="none"/>
              </w:rPr>
            </w:pPr>
          </w:p>
        </w:tc>
        <w:tc>
          <w:tcPr>
            <w:tcW w:w="1220" w:type="dxa"/>
            <w:vAlign w:val="center"/>
          </w:tcPr>
          <w:p w14:paraId="24362639">
            <w:pPr>
              <w:pStyle w:val="5"/>
              <w:snapToGrid w:val="0"/>
              <w:jc w:val="center"/>
              <w:rPr>
                <w:rFonts w:hAnsi="宋体"/>
                <w:bCs/>
                <w:color w:val="000000" w:themeColor="text1"/>
                <w:kern w:val="2"/>
                <w:sz w:val="21"/>
                <w:szCs w:val="24"/>
                <w:highlight w:val="none"/>
              </w:rPr>
            </w:pPr>
          </w:p>
        </w:tc>
        <w:tc>
          <w:tcPr>
            <w:tcW w:w="817" w:type="dxa"/>
            <w:vAlign w:val="center"/>
          </w:tcPr>
          <w:p w14:paraId="46BB52B2">
            <w:pPr>
              <w:pStyle w:val="5"/>
              <w:snapToGrid w:val="0"/>
              <w:jc w:val="center"/>
              <w:rPr>
                <w:rFonts w:hAnsi="宋体"/>
                <w:bCs/>
                <w:color w:val="000000" w:themeColor="text1"/>
                <w:kern w:val="2"/>
                <w:sz w:val="21"/>
                <w:szCs w:val="24"/>
                <w:highlight w:val="none"/>
              </w:rPr>
            </w:pPr>
          </w:p>
        </w:tc>
      </w:tr>
      <w:tr w14:paraId="0615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5D7A8AC">
            <w:pPr>
              <w:pStyle w:val="5"/>
              <w:snapToGrid w:val="0"/>
              <w:jc w:val="center"/>
              <w:rPr>
                <w:rFonts w:hAnsi="宋体"/>
                <w:bCs/>
                <w:color w:val="000000" w:themeColor="text1"/>
                <w:kern w:val="2"/>
                <w:sz w:val="21"/>
                <w:szCs w:val="24"/>
                <w:highlight w:val="none"/>
              </w:rPr>
            </w:pPr>
          </w:p>
        </w:tc>
        <w:tc>
          <w:tcPr>
            <w:tcW w:w="1215" w:type="dxa"/>
            <w:vAlign w:val="center"/>
          </w:tcPr>
          <w:p w14:paraId="1A86EB5E">
            <w:pPr>
              <w:pStyle w:val="5"/>
              <w:snapToGrid w:val="0"/>
              <w:jc w:val="center"/>
              <w:rPr>
                <w:rFonts w:hAnsi="宋体"/>
                <w:bCs/>
                <w:color w:val="000000" w:themeColor="text1"/>
                <w:kern w:val="2"/>
                <w:sz w:val="21"/>
                <w:szCs w:val="24"/>
                <w:highlight w:val="none"/>
              </w:rPr>
            </w:pPr>
          </w:p>
        </w:tc>
        <w:tc>
          <w:tcPr>
            <w:tcW w:w="1267" w:type="dxa"/>
            <w:vAlign w:val="center"/>
          </w:tcPr>
          <w:p w14:paraId="3DFFD87E">
            <w:pPr>
              <w:pStyle w:val="5"/>
              <w:snapToGrid w:val="0"/>
              <w:jc w:val="center"/>
              <w:rPr>
                <w:rFonts w:hAnsi="宋体"/>
                <w:bCs/>
                <w:color w:val="000000" w:themeColor="text1"/>
                <w:kern w:val="2"/>
                <w:sz w:val="21"/>
                <w:szCs w:val="24"/>
                <w:highlight w:val="none"/>
              </w:rPr>
            </w:pPr>
          </w:p>
        </w:tc>
        <w:tc>
          <w:tcPr>
            <w:tcW w:w="1117" w:type="dxa"/>
            <w:vAlign w:val="center"/>
          </w:tcPr>
          <w:p w14:paraId="5C7417C6">
            <w:pPr>
              <w:pStyle w:val="5"/>
              <w:snapToGrid w:val="0"/>
              <w:jc w:val="center"/>
              <w:rPr>
                <w:rFonts w:hAnsi="宋体"/>
                <w:bCs/>
                <w:color w:val="000000" w:themeColor="text1"/>
                <w:kern w:val="2"/>
                <w:sz w:val="21"/>
                <w:szCs w:val="24"/>
                <w:highlight w:val="none"/>
              </w:rPr>
            </w:pPr>
          </w:p>
        </w:tc>
        <w:tc>
          <w:tcPr>
            <w:tcW w:w="1400" w:type="dxa"/>
            <w:vAlign w:val="center"/>
          </w:tcPr>
          <w:p w14:paraId="206D14C8">
            <w:pPr>
              <w:pStyle w:val="5"/>
              <w:snapToGrid w:val="0"/>
              <w:jc w:val="center"/>
              <w:rPr>
                <w:rFonts w:hAnsi="宋体"/>
                <w:bCs/>
                <w:color w:val="000000" w:themeColor="text1"/>
                <w:kern w:val="2"/>
                <w:sz w:val="21"/>
                <w:szCs w:val="24"/>
                <w:highlight w:val="none"/>
              </w:rPr>
            </w:pPr>
          </w:p>
        </w:tc>
        <w:tc>
          <w:tcPr>
            <w:tcW w:w="1233" w:type="dxa"/>
            <w:vAlign w:val="center"/>
          </w:tcPr>
          <w:p w14:paraId="411D6479">
            <w:pPr>
              <w:pStyle w:val="5"/>
              <w:snapToGrid w:val="0"/>
              <w:jc w:val="center"/>
              <w:rPr>
                <w:rFonts w:hAnsi="宋体"/>
                <w:bCs/>
                <w:color w:val="000000" w:themeColor="text1"/>
                <w:kern w:val="2"/>
                <w:sz w:val="21"/>
                <w:szCs w:val="24"/>
                <w:highlight w:val="none"/>
              </w:rPr>
            </w:pPr>
          </w:p>
        </w:tc>
        <w:tc>
          <w:tcPr>
            <w:tcW w:w="1183" w:type="dxa"/>
            <w:vAlign w:val="center"/>
          </w:tcPr>
          <w:p w14:paraId="438EF259">
            <w:pPr>
              <w:pStyle w:val="5"/>
              <w:snapToGrid w:val="0"/>
              <w:jc w:val="center"/>
              <w:rPr>
                <w:rFonts w:hAnsi="宋体"/>
                <w:bCs/>
                <w:color w:val="000000" w:themeColor="text1"/>
                <w:kern w:val="2"/>
                <w:sz w:val="21"/>
                <w:szCs w:val="24"/>
                <w:highlight w:val="none"/>
              </w:rPr>
            </w:pPr>
          </w:p>
        </w:tc>
        <w:tc>
          <w:tcPr>
            <w:tcW w:w="1220" w:type="dxa"/>
            <w:vAlign w:val="center"/>
          </w:tcPr>
          <w:p w14:paraId="16275115">
            <w:pPr>
              <w:pStyle w:val="5"/>
              <w:snapToGrid w:val="0"/>
              <w:jc w:val="center"/>
              <w:rPr>
                <w:rFonts w:hAnsi="宋体"/>
                <w:bCs/>
                <w:color w:val="000000" w:themeColor="text1"/>
                <w:kern w:val="2"/>
                <w:sz w:val="21"/>
                <w:szCs w:val="24"/>
                <w:highlight w:val="none"/>
              </w:rPr>
            </w:pPr>
          </w:p>
        </w:tc>
        <w:tc>
          <w:tcPr>
            <w:tcW w:w="817" w:type="dxa"/>
            <w:vAlign w:val="center"/>
          </w:tcPr>
          <w:p w14:paraId="10F480F2">
            <w:pPr>
              <w:pStyle w:val="5"/>
              <w:snapToGrid w:val="0"/>
              <w:jc w:val="center"/>
              <w:rPr>
                <w:rFonts w:hAnsi="宋体"/>
                <w:bCs/>
                <w:color w:val="000000" w:themeColor="text1"/>
                <w:kern w:val="2"/>
                <w:sz w:val="21"/>
                <w:szCs w:val="24"/>
                <w:highlight w:val="none"/>
              </w:rPr>
            </w:pPr>
          </w:p>
        </w:tc>
      </w:tr>
      <w:tr w14:paraId="4CA1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0D3C4BE">
            <w:pPr>
              <w:pStyle w:val="5"/>
              <w:snapToGrid w:val="0"/>
              <w:jc w:val="center"/>
              <w:rPr>
                <w:rFonts w:hAnsi="宋体"/>
                <w:bCs/>
                <w:color w:val="000000" w:themeColor="text1"/>
                <w:kern w:val="2"/>
                <w:sz w:val="21"/>
                <w:szCs w:val="24"/>
                <w:highlight w:val="none"/>
              </w:rPr>
            </w:pPr>
          </w:p>
        </w:tc>
        <w:tc>
          <w:tcPr>
            <w:tcW w:w="1215" w:type="dxa"/>
            <w:vAlign w:val="center"/>
          </w:tcPr>
          <w:p w14:paraId="25F476DF">
            <w:pPr>
              <w:pStyle w:val="5"/>
              <w:snapToGrid w:val="0"/>
              <w:jc w:val="center"/>
              <w:rPr>
                <w:rFonts w:hAnsi="宋体"/>
                <w:bCs/>
                <w:color w:val="000000" w:themeColor="text1"/>
                <w:kern w:val="2"/>
                <w:sz w:val="21"/>
                <w:szCs w:val="24"/>
                <w:highlight w:val="none"/>
              </w:rPr>
            </w:pPr>
          </w:p>
        </w:tc>
        <w:tc>
          <w:tcPr>
            <w:tcW w:w="1267" w:type="dxa"/>
            <w:vAlign w:val="center"/>
          </w:tcPr>
          <w:p w14:paraId="3B91978B">
            <w:pPr>
              <w:pStyle w:val="5"/>
              <w:snapToGrid w:val="0"/>
              <w:jc w:val="center"/>
              <w:rPr>
                <w:rFonts w:hAnsi="宋体"/>
                <w:bCs/>
                <w:color w:val="000000" w:themeColor="text1"/>
                <w:kern w:val="2"/>
                <w:sz w:val="21"/>
                <w:szCs w:val="24"/>
                <w:highlight w:val="none"/>
              </w:rPr>
            </w:pPr>
          </w:p>
        </w:tc>
        <w:tc>
          <w:tcPr>
            <w:tcW w:w="1117" w:type="dxa"/>
            <w:vAlign w:val="center"/>
          </w:tcPr>
          <w:p w14:paraId="30DE3FCE">
            <w:pPr>
              <w:pStyle w:val="5"/>
              <w:snapToGrid w:val="0"/>
              <w:jc w:val="center"/>
              <w:rPr>
                <w:rFonts w:hAnsi="宋体"/>
                <w:bCs/>
                <w:color w:val="000000" w:themeColor="text1"/>
                <w:kern w:val="2"/>
                <w:sz w:val="21"/>
                <w:szCs w:val="24"/>
                <w:highlight w:val="none"/>
              </w:rPr>
            </w:pPr>
          </w:p>
        </w:tc>
        <w:tc>
          <w:tcPr>
            <w:tcW w:w="1400" w:type="dxa"/>
            <w:vAlign w:val="center"/>
          </w:tcPr>
          <w:p w14:paraId="10079D17">
            <w:pPr>
              <w:pStyle w:val="5"/>
              <w:snapToGrid w:val="0"/>
              <w:jc w:val="center"/>
              <w:rPr>
                <w:rFonts w:hAnsi="宋体"/>
                <w:bCs/>
                <w:color w:val="000000" w:themeColor="text1"/>
                <w:kern w:val="2"/>
                <w:sz w:val="21"/>
                <w:szCs w:val="24"/>
                <w:highlight w:val="none"/>
              </w:rPr>
            </w:pPr>
          </w:p>
        </w:tc>
        <w:tc>
          <w:tcPr>
            <w:tcW w:w="1233" w:type="dxa"/>
            <w:vAlign w:val="center"/>
          </w:tcPr>
          <w:p w14:paraId="1D8A4F75">
            <w:pPr>
              <w:pStyle w:val="5"/>
              <w:snapToGrid w:val="0"/>
              <w:jc w:val="center"/>
              <w:rPr>
                <w:rFonts w:hAnsi="宋体"/>
                <w:bCs/>
                <w:color w:val="000000" w:themeColor="text1"/>
                <w:kern w:val="2"/>
                <w:sz w:val="21"/>
                <w:szCs w:val="24"/>
                <w:highlight w:val="none"/>
              </w:rPr>
            </w:pPr>
          </w:p>
        </w:tc>
        <w:tc>
          <w:tcPr>
            <w:tcW w:w="1183" w:type="dxa"/>
            <w:vAlign w:val="center"/>
          </w:tcPr>
          <w:p w14:paraId="227A2C99">
            <w:pPr>
              <w:pStyle w:val="5"/>
              <w:snapToGrid w:val="0"/>
              <w:jc w:val="center"/>
              <w:rPr>
                <w:rFonts w:hAnsi="宋体"/>
                <w:bCs/>
                <w:color w:val="000000" w:themeColor="text1"/>
                <w:kern w:val="2"/>
                <w:sz w:val="21"/>
                <w:szCs w:val="24"/>
                <w:highlight w:val="none"/>
              </w:rPr>
            </w:pPr>
          </w:p>
        </w:tc>
        <w:tc>
          <w:tcPr>
            <w:tcW w:w="1220" w:type="dxa"/>
            <w:vAlign w:val="center"/>
          </w:tcPr>
          <w:p w14:paraId="303D6E3C">
            <w:pPr>
              <w:pStyle w:val="5"/>
              <w:snapToGrid w:val="0"/>
              <w:jc w:val="center"/>
              <w:rPr>
                <w:rFonts w:hAnsi="宋体"/>
                <w:bCs/>
                <w:color w:val="000000" w:themeColor="text1"/>
                <w:kern w:val="2"/>
                <w:sz w:val="21"/>
                <w:szCs w:val="24"/>
                <w:highlight w:val="none"/>
              </w:rPr>
            </w:pPr>
          </w:p>
        </w:tc>
        <w:tc>
          <w:tcPr>
            <w:tcW w:w="817" w:type="dxa"/>
            <w:vAlign w:val="center"/>
          </w:tcPr>
          <w:p w14:paraId="0F16A131">
            <w:pPr>
              <w:pStyle w:val="5"/>
              <w:snapToGrid w:val="0"/>
              <w:jc w:val="center"/>
              <w:rPr>
                <w:rFonts w:hAnsi="宋体"/>
                <w:bCs/>
                <w:color w:val="000000" w:themeColor="text1"/>
                <w:kern w:val="2"/>
                <w:sz w:val="21"/>
                <w:szCs w:val="24"/>
                <w:highlight w:val="none"/>
              </w:rPr>
            </w:pPr>
          </w:p>
        </w:tc>
      </w:tr>
      <w:tr w14:paraId="0036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5620644B">
            <w:pPr>
              <w:pStyle w:val="5"/>
              <w:snapToGrid w:val="0"/>
              <w:jc w:val="center"/>
              <w:rPr>
                <w:rFonts w:hAnsi="宋体"/>
                <w:bCs/>
                <w:color w:val="000000" w:themeColor="text1"/>
                <w:kern w:val="2"/>
                <w:sz w:val="21"/>
                <w:szCs w:val="24"/>
                <w:highlight w:val="none"/>
              </w:rPr>
            </w:pPr>
          </w:p>
        </w:tc>
        <w:tc>
          <w:tcPr>
            <w:tcW w:w="1215" w:type="dxa"/>
            <w:vAlign w:val="center"/>
          </w:tcPr>
          <w:p w14:paraId="0F42FB06">
            <w:pPr>
              <w:pStyle w:val="5"/>
              <w:snapToGrid w:val="0"/>
              <w:jc w:val="center"/>
              <w:rPr>
                <w:rFonts w:hAnsi="宋体"/>
                <w:bCs/>
                <w:color w:val="000000" w:themeColor="text1"/>
                <w:kern w:val="2"/>
                <w:sz w:val="21"/>
                <w:szCs w:val="24"/>
                <w:highlight w:val="none"/>
              </w:rPr>
            </w:pPr>
          </w:p>
        </w:tc>
        <w:tc>
          <w:tcPr>
            <w:tcW w:w="1267" w:type="dxa"/>
            <w:vAlign w:val="center"/>
          </w:tcPr>
          <w:p w14:paraId="7E010EB7">
            <w:pPr>
              <w:pStyle w:val="5"/>
              <w:snapToGrid w:val="0"/>
              <w:jc w:val="center"/>
              <w:rPr>
                <w:rFonts w:hAnsi="宋体"/>
                <w:bCs/>
                <w:color w:val="000000" w:themeColor="text1"/>
                <w:kern w:val="2"/>
                <w:sz w:val="21"/>
                <w:szCs w:val="24"/>
                <w:highlight w:val="none"/>
              </w:rPr>
            </w:pPr>
          </w:p>
        </w:tc>
        <w:tc>
          <w:tcPr>
            <w:tcW w:w="1117" w:type="dxa"/>
            <w:vAlign w:val="center"/>
          </w:tcPr>
          <w:p w14:paraId="7D1E49CA">
            <w:pPr>
              <w:pStyle w:val="5"/>
              <w:snapToGrid w:val="0"/>
              <w:jc w:val="center"/>
              <w:rPr>
                <w:rFonts w:hAnsi="宋体"/>
                <w:bCs/>
                <w:color w:val="000000" w:themeColor="text1"/>
                <w:kern w:val="2"/>
                <w:sz w:val="21"/>
                <w:szCs w:val="24"/>
                <w:highlight w:val="none"/>
              </w:rPr>
            </w:pPr>
          </w:p>
        </w:tc>
        <w:tc>
          <w:tcPr>
            <w:tcW w:w="1400" w:type="dxa"/>
            <w:vAlign w:val="center"/>
          </w:tcPr>
          <w:p w14:paraId="2274A293">
            <w:pPr>
              <w:pStyle w:val="5"/>
              <w:snapToGrid w:val="0"/>
              <w:jc w:val="center"/>
              <w:rPr>
                <w:rFonts w:hAnsi="宋体"/>
                <w:bCs/>
                <w:color w:val="000000" w:themeColor="text1"/>
                <w:kern w:val="2"/>
                <w:sz w:val="21"/>
                <w:szCs w:val="24"/>
                <w:highlight w:val="none"/>
              </w:rPr>
            </w:pPr>
          </w:p>
        </w:tc>
        <w:tc>
          <w:tcPr>
            <w:tcW w:w="1233" w:type="dxa"/>
            <w:vAlign w:val="center"/>
          </w:tcPr>
          <w:p w14:paraId="6422A873">
            <w:pPr>
              <w:pStyle w:val="5"/>
              <w:snapToGrid w:val="0"/>
              <w:jc w:val="center"/>
              <w:rPr>
                <w:rFonts w:hAnsi="宋体"/>
                <w:bCs/>
                <w:color w:val="000000" w:themeColor="text1"/>
                <w:kern w:val="2"/>
                <w:sz w:val="21"/>
                <w:szCs w:val="24"/>
                <w:highlight w:val="none"/>
              </w:rPr>
            </w:pPr>
          </w:p>
        </w:tc>
        <w:tc>
          <w:tcPr>
            <w:tcW w:w="1183" w:type="dxa"/>
            <w:vAlign w:val="center"/>
          </w:tcPr>
          <w:p w14:paraId="4033BAEC">
            <w:pPr>
              <w:pStyle w:val="5"/>
              <w:snapToGrid w:val="0"/>
              <w:jc w:val="center"/>
              <w:rPr>
                <w:rFonts w:hAnsi="宋体"/>
                <w:bCs/>
                <w:color w:val="000000" w:themeColor="text1"/>
                <w:kern w:val="2"/>
                <w:sz w:val="21"/>
                <w:szCs w:val="24"/>
                <w:highlight w:val="none"/>
              </w:rPr>
            </w:pPr>
          </w:p>
        </w:tc>
        <w:tc>
          <w:tcPr>
            <w:tcW w:w="1220" w:type="dxa"/>
            <w:vAlign w:val="center"/>
          </w:tcPr>
          <w:p w14:paraId="5FAE7EDB">
            <w:pPr>
              <w:pStyle w:val="5"/>
              <w:snapToGrid w:val="0"/>
              <w:jc w:val="center"/>
              <w:rPr>
                <w:rFonts w:hAnsi="宋体"/>
                <w:bCs/>
                <w:color w:val="000000" w:themeColor="text1"/>
                <w:kern w:val="2"/>
                <w:sz w:val="21"/>
                <w:szCs w:val="24"/>
                <w:highlight w:val="none"/>
              </w:rPr>
            </w:pPr>
          </w:p>
        </w:tc>
        <w:tc>
          <w:tcPr>
            <w:tcW w:w="817" w:type="dxa"/>
            <w:vAlign w:val="center"/>
          </w:tcPr>
          <w:p w14:paraId="636EDDC6">
            <w:pPr>
              <w:pStyle w:val="5"/>
              <w:snapToGrid w:val="0"/>
              <w:jc w:val="center"/>
              <w:rPr>
                <w:rFonts w:hAnsi="宋体"/>
                <w:bCs/>
                <w:color w:val="000000" w:themeColor="text1"/>
                <w:kern w:val="2"/>
                <w:sz w:val="21"/>
                <w:szCs w:val="24"/>
                <w:highlight w:val="none"/>
              </w:rPr>
            </w:pPr>
          </w:p>
        </w:tc>
      </w:tr>
    </w:tbl>
    <w:p w14:paraId="6510C141">
      <w:pPr>
        <w:pStyle w:val="5"/>
        <w:snapToGrid w:val="0"/>
        <w:spacing w:line="360" w:lineRule="auto"/>
        <w:ind w:firstLine="0"/>
        <w:rPr>
          <w:rFonts w:hAnsi="宋体"/>
          <w:bCs/>
          <w:color w:val="000000" w:themeColor="text1"/>
          <w:sz w:val="21"/>
          <w:highlight w:val="none"/>
        </w:rPr>
      </w:pPr>
      <w:r>
        <w:rPr>
          <w:rFonts w:hint="eastAsia" w:hAnsi="宋体"/>
          <w:bCs/>
          <w:color w:val="000000" w:themeColor="text1"/>
          <w:sz w:val="21"/>
          <w:highlight w:val="none"/>
        </w:rPr>
        <w:t>注：如本表格式内容不能满足需要，投标人可自行划表填写，但必须体现以上内容。</w:t>
      </w:r>
    </w:p>
    <w:p w14:paraId="218035A5">
      <w:pPr>
        <w:pStyle w:val="5"/>
        <w:snapToGrid w:val="0"/>
        <w:spacing w:line="360" w:lineRule="auto"/>
        <w:rPr>
          <w:rFonts w:hAnsi="宋体"/>
          <w:bCs/>
          <w:color w:val="000000" w:themeColor="text1"/>
          <w:sz w:val="21"/>
          <w:highlight w:val="none"/>
        </w:rPr>
      </w:pPr>
    </w:p>
    <w:p w14:paraId="2A6C38F1">
      <w:pPr>
        <w:pStyle w:val="5"/>
        <w:snapToGrid w:val="0"/>
        <w:spacing w:line="360" w:lineRule="auto"/>
        <w:rPr>
          <w:rFonts w:hAnsi="宋体"/>
          <w:bCs/>
          <w:color w:val="000000" w:themeColor="text1"/>
          <w:sz w:val="21"/>
          <w:highlight w:val="none"/>
        </w:rPr>
      </w:pPr>
    </w:p>
    <w:p w14:paraId="6AB049B9">
      <w:pPr>
        <w:pStyle w:val="5"/>
        <w:snapToGrid w:val="0"/>
        <w:spacing w:line="360" w:lineRule="auto"/>
        <w:rPr>
          <w:rFonts w:hAnsi="宋体"/>
          <w:bCs/>
          <w:color w:val="000000" w:themeColor="text1"/>
          <w:sz w:val="21"/>
          <w:highlight w:val="none"/>
        </w:rPr>
      </w:pPr>
    </w:p>
    <w:p w14:paraId="3BA811C9">
      <w:pPr>
        <w:pStyle w:val="5"/>
        <w:snapToGrid w:val="0"/>
        <w:spacing w:line="360" w:lineRule="auto"/>
        <w:rPr>
          <w:rFonts w:hAnsi="宋体"/>
          <w:bCs/>
          <w:color w:val="000000" w:themeColor="text1"/>
          <w:sz w:val="21"/>
          <w:highlight w:val="none"/>
        </w:rPr>
      </w:pPr>
    </w:p>
    <w:p w14:paraId="6F72EC0E">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6C250C6F">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489A4C19">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3F45D064">
      <w:pPr>
        <w:pStyle w:val="3"/>
        <w:numPr>
          <w:ilvl w:val="1"/>
          <w:numId w:val="0"/>
        </w:numPr>
        <w:jc w:val="both"/>
        <w:rPr>
          <w:color w:val="000000" w:themeColor="text1"/>
          <w:highlight w:val="none"/>
        </w:rPr>
        <w:sectPr>
          <w:pgSz w:w="11906" w:h="16838"/>
          <w:pgMar w:top="1474" w:right="1418" w:bottom="1474" w:left="1418" w:header="851" w:footer="851" w:gutter="0"/>
          <w:cols w:space="720" w:num="1"/>
          <w:titlePg/>
          <w:docGrid w:linePitch="312" w:charSpace="0"/>
        </w:sectPr>
      </w:pPr>
    </w:p>
    <w:p w14:paraId="2528E343">
      <w:pPr>
        <w:pStyle w:val="3"/>
        <w:numPr>
          <w:ilvl w:val="0"/>
          <w:numId w:val="0"/>
        </w:numPr>
        <w:spacing w:line="400" w:lineRule="exact"/>
        <w:rPr>
          <w:rFonts w:hAnsi="黑体" w:cs="黑体"/>
          <w:color w:val="000000" w:themeColor="text1"/>
          <w:highlight w:val="none"/>
        </w:rPr>
      </w:pPr>
      <w:bookmarkStart w:id="1874" w:name="_Toc18114"/>
      <w:bookmarkStart w:id="1875" w:name="_Toc432695229"/>
      <w:bookmarkStart w:id="1876" w:name="_Toc430771089"/>
      <w:bookmarkStart w:id="1877" w:name="_Toc432682754"/>
      <w:bookmarkStart w:id="1878" w:name="_Toc333935376"/>
      <w:bookmarkStart w:id="1879" w:name="_Toc343247130"/>
      <w:bookmarkStart w:id="1880" w:name="_Toc339019919"/>
      <w:bookmarkStart w:id="1881" w:name="_Toc342296791"/>
      <w:bookmarkStart w:id="1882" w:name="_Toc332206739"/>
      <w:bookmarkStart w:id="1883" w:name="_Toc336681610"/>
      <w:bookmarkStart w:id="1884" w:name="_Toc340672899"/>
      <w:bookmarkStart w:id="1885" w:name="_Toc341348370"/>
      <w:bookmarkStart w:id="1886" w:name="_Toc342398160"/>
      <w:bookmarkStart w:id="1887" w:name="_Toc350438779"/>
      <w:bookmarkStart w:id="1888" w:name="_Toc333238664"/>
      <w:bookmarkStart w:id="1889" w:name="_Toc333237708"/>
      <w:bookmarkStart w:id="1890" w:name="_Toc333237819"/>
      <w:bookmarkStart w:id="1891" w:name="_Toc343248448"/>
      <w:bookmarkStart w:id="1892" w:name="_Toc331684072"/>
      <w:bookmarkStart w:id="1893" w:name="_Toc339441117"/>
      <w:bookmarkStart w:id="1894" w:name="_Toc331512931"/>
      <w:bookmarkStart w:id="1895" w:name="_Toc342060405"/>
      <w:bookmarkStart w:id="1896" w:name="_Toc365967105"/>
      <w:bookmarkStart w:id="1897" w:name="_Toc342312473"/>
      <w:bookmarkStart w:id="1898" w:name="_Toc339020045"/>
      <w:bookmarkStart w:id="1899" w:name="_Toc343612950"/>
      <w:bookmarkStart w:id="1900" w:name="_Toc339362330"/>
      <w:bookmarkStart w:id="1901" w:name="_Toc366072562"/>
      <w:bookmarkStart w:id="1902" w:name="_Toc345312627"/>
      <w:bookmarkStart w:id="1903" w:name="_Toc332270377"/>
      <w:bookmarkStart w:id="1904" w:name="_Toc340677100"/>
      <w:bookmarkStart w:id="1905" w:name="_Toc365985211"/>
      <w:bookmarkStart w:id="1906" w:name="_Toc350756480"/>
      <w:bookmarkStart w:id="1907" w:name="_Toc339020263"/>
      <w:bookmarkStart w:id="1908" w:name="_Toc330460016"/>
      <w:bookmarkStart w:id="1909" w:name="_Toc337632388"/>
      <w:bookmarkStart w:id="1910" w:name="_Toc333935717"/>
      <w:bookmarkStart w:id="1911" w:name="_Toc102451601"/>
      <w:bookmarkStart w:id="1912" w:name="_Toc339020125"/>
      <w:bookmarkStart w:id="1913" w:name="_Toc336681965"/>
      <w:bookmarkStart w:id="1914" w:name="_Toc340507472"/>
      <w:r>
        <w:rPr>
          <w:rFonts w:hint="eastAsia"/>
          <w:color w:val="000000" w:themeColor="text1"/>
          <w:highlight w:val="none"/>
        </w:rPr>
        <w:t>附件</w:t>
      </w:r>
      <w:r>
        <w:rPr>
          <w:rFonts w:hint="eastAsia"/>
          <w:color w:val="000000" w:themeColor="text1"/>
          <w:highlight w:val="none"/>
          <w:lang w:val="en-US" w:eastAsia="zh-CN"/>
        </w:rPr>
        <w:t>六</w:t>
      </w:r>
      <w:r>
        <w:rPr>
          <w:rFonts w:hint="eastAsia"/>
          <w:color w:val="000000" w:themeColor="text1"/>
          <w:highlight w:val="none"/>
        </w:rPr>
        <w:t>：</w:t>
      </w:r>
      <w:r>
        <w:rPr>
          <w:rFonts w:hint="eastAsia" w:hAnsi="黑体" w:cs="黑体"/>
          <w:color w:val="000000" w:themeColor="text1"/>
          <w:highlight w:val="none"/>
        </w:rPr>
        <w:t>中小微企业声明函</w:t>
      </w:r>
      <w:bookmarkEnd w:id="1874"/>
      <w:bookmarkEnd w:id="1875"/>
      <w:bookmarkEnd w:id="1876"/>
      <w:bookmarkEnd w:id="1877"/>
    </w:p>
    <w:p w14:paraId="4684C420">
      <w:pPr>
        <w:spacing w:line="440" w:lineRule="exact"/>
        <w:ind w:firstLine="420"/>
        <w:rPr>
          <w:rFonts w:ascii="宋体"/>
          <w:color w:val="000000" w:themeColor="text1"/>
          <w:highlight w:val="none"/>
        </w:rPr>
      </w:pPr>
      <w:r>
        <w:rPr>
          <w:rFonts w:hint="eastAsia" w:ascii="宋体" w:hAnsi="宋体" w:cs="宋体"/>
          <w:color w:val="000000" w:themeColor="text1"/>
          <w:highlight w:val="none"/>
        </w:rPr>
        <w:t>本公司郑重声明，根据</w:t>
      </w:r>
      <w:r>
        <w:rPr>
          <w:rFonts w:ascii="宋体" w:hAnsi="宋体"/>
          <w:color w:val="000000" w:themeColor="text1"/>
          <w:szCs w:val="21"/>
          <w:highlight w:val="none"/>
        </w:rPr>
        <w:t>《政府采购促进中小企业发展管理办法》（财库﹝2020﹞46 号）</w:t>
      </w:r>
      <w:r>
        <w:rPr>
          <w:rFonts w:hint="eastAsia" w:ascii="宋体" w:hAnsi="宋体" w:cs="宋体"/>
          <w:color w:val="000000" w:themeColor="text1"/>
          <w:highlight w:val="none"/>
        </w:rPr>
        <w:t>的规定，本公司为</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（请填写：中型、小型、微型）企业。即，本公司同时满足以下条件：</w:t>
      </w:r>
    </w:p>
    <w:p w14:paraId="20BE5DF4">
      <w:pPr>
        <w:spacing w:line="440" w:lineRule="exact"/>
        <w:ind w:firstLine="420"/>
        <w:rPr>
          <w:rFonts w:ascii="宋体"/>
          <w:color w:val="000000" w:themeColor="text1"/>
          <w:highlight w:val="none"/>
        </w:rPr>
      </w:pPr>
      <w:r>
        <w:rPr>
          <w:rFonts w:ascii="宋体" w:hAnsi="宋体" w:cs="宋体"/>
          <w:color w:val="000000" w:themeColor="text1"/>
          <w:highlight w:val="none"/>
        </w:rPr>
        <w:t xml:space="preserve"> 1.</w:t>
      </w:r>
      <w:r>
        <w:rPr>
          <w:rFonts w:hint="eastAsia" w:ascii="宋体" w:hAnsi="宋体" w:cs="宋体"/>
          <w:color w:val="000000" w:themeColor="text1"/>
          <w:highlight w:val="none"/>
        </w:rPr>
        <w:t>根据《工业和信息化部、国家统计局、国家发展和改革委员会、财政部关于印发中小企业划型标准规定的通知》（工信部联企业</w:t>
      </w:r>
      <w:r>
        <w:rPr>
          <w:rFonts w:ascii="宋体" w:hAnsi="宋体" w:cs="宋体"/>
          <w:color w:val="000000" w:themeColor="text1"/>
          <w:highlight w:val="none"/>
        </w:rPr>
        <w:t xml:space="preserve">[2011]300 </w:t>
      </w:r>
      <w:r>
        <w:rPr>
          <w:rFonts w:hint="eastAsia" w:ascii="宋体" w:hAnsi="宋体" w:cs="宋体"/>
          <w:color w:val="000000" w:themeColor="text1"/>
          <w:highlight w:val="none"/>
        </w:rPr>
        <w:t>号）规定的划分标准：第四条第</w:t>
      </w:r>
      <w:r>
        <w:rPr>
          <w:rFonts w:ascii="宋体" w:hAnsi="宋体" w:cs="宋体"/>
          <w:color w:val="000000" w:themeColor="text1"/>
          <w:highlight w:val="none"/>
          <w:u w:val="single"/>
        </w:rPr>
        <w:t>______</w:t>
      </w:r>
      <w:r>
        <w:rPr>
          <w:rFonts w:hint="eastAsia" w:ascii="宋体" w:hAnsi="宋体" w:cs="宋体"/>
          <w:color w:val="000000" w:themeColor="text1"/>
          <w:highlight w:val="none"/>
        </w:rPr>
        <w:t>项</w:t>
      </w:r>
      <w:r>
        <w:rPr>
          <w:rFonts w:ascii="宋体" w:hAnsi="宋体" w:cs="宋体"/>
          <w:color w:val="000000" w:themeColor="text1"/>
          <w:highlight w:val="none"/>
          <w:u w:val="single"/>
        </w:rPr>
        <w:t>_________</w:t>
      </w:r>
      <w:r>
        <w:rPr>
          <w:rFonts w:hint="eastAsia" w:ascii="宋体" w:hAnsi="宋体" w:cs="宋体"/>
          <w:color w:val="000000" w:themeColor="text1"/>
          <w:highlight w:val="none"/>
        </w:rPr>
        <w:t>行业，本公司（此处填写从业人员或营业收入的具体数据），为</w:t>
      </w:r>
      <w:r>
        <w:rPr>
          <w:rFonts w:ascii="宋体" w:hAnsi="宋体" w:cs="宋体"/>
          <w:color w:val="000000" w:themeColor="text1"/>
          <w:highlight w:val="none"/>
          <w:u w:val="single"/>
        </w:rPr>
        <w:t xml:space="preserve"> ______</w:t>
      </w:r>
      <w:r>
        <w:rPr>
          <w:rFonts w:hint="eastAsia" w:ascii="宋体" w:hAnsi="宋体" w:cs="宋体"/>
          <w:color w:val="000000" w:themeColor="text1"/>
          <w:highlight w:val="none"/>
        </w:rPr>
        <w:t>（请填写：中型、小型、微型）企业。</w:t>
      </w:r>
    </w:p>
    <w:p w14:paraId="294A9C4D">
      <w:pPr>
        <w:spacing w:line="440" w:lineRule="exact"/>
        <w:rPr>
          <w:rFonts w:ascii="宋体"/>
          <w:color w:val="000000" w:themeColor="text1"/>
          <w:highlight w:val="none"/>
        </w:rPr>
      </w:pPr>
      <w:r>
        <w:rPr>
          <w:rFonts w:ascii="宋体" w:hAnsi="宋体" w:cs="宋体"/>
          <w:color w:val="000000" w:themeColor="text1"/>
          <w:highlight w:val="none"/>
        </w:rPr>
        <w:t xml:space="preserve">     2.</w:t>
      </w:r>
      <w:r>
        <w:rPr>
          <w:rFonts w:hint="eastAsia" w:ascii="宋体" w:hAnsi="宋体" w:cs="宋体"/>
          <w:color w:val="000000" w:themeColor="text1"/>
          <w:highlight w:val="none"/>
        </w:rPr>
        <w:t>本公司参加</w:t>
      </w:r>
      <w:r>
        <w:rPr>
          <w:rFonts w:hint="eastAsia" w:ascii="宋体" w:hAnsi="宋体"/>
          <w:color w:val="000000" w:themeColor="text1"/>
          <w:highlight w:val="none"/>
        </w:rPr>
        <w:t>（项目名称：）</w:t>
      </w:r>
      <w:r>
        <w:rPr>
          <w:rFonts w:hint="eastAsia" w:ascii="宋体" w:hAnsi="宋体" w:cs="宋体"/>
          <w:color w:val="000000" w:themeColor="text1"/>
          <w:highlight w:val="none"/>
        </w:rPr>
        <w:t>（项目编号：）采购活动提供本企业制造的货物，由本企业承担工程、提供服务，或者提供其他</w:t>
      </w:r>
      <w:r>
        <w:rPr>
          <w:rFonts w:ascii="宋体" w:hAnsi="宋体" w:cs="宋体"/>
          <w:color w:val="000000" w:themeColor="text1"/>
          <w:highlight w:val="none"/>
          <w:u w:val="single"/>
        </w:rPr>
        <w:t>______</w:t>
      </w:r>
      <w:r>
        <w:rPr>
          <w:rFonts w:hint="eastAsia" w:ascii="宋体" w:hAnsi="宋体" w:cs="宋体"/>
          <w:color w:val="000000" w:themeColor="text1"/>
          <w:highlight w:val="none"/>
        </w:rPr>
        <w:t>（请填写：中型、小型、微型）企业制造的货物。本条所称货物不包括使用大型企业注册商标的货物。本公司对上述声明的真实性负责。如有虚假，将依法承担相应责任。</w:t>
      </w:r>
    </w:p>
    <w:p w14:paraId="7D254E4A">
      <w:pPr>
        <w:spacing w:line="440" w:lineRule="exact"/>
        <w:rPr>
          <w:rFonts w:ascii="宋体"/>
          <w:color w:val="000000" w:themeColor="text1"/>
          <w:highlight w:val="none"/>
        </w:rPr>
      </w:pPr>
      <w:r>
        <w:rPr>
          <w:rFonts w:hint="eastAsia" w:ascii="宋体" w:hAnsi="宋体" w:cs="宋体"/>
          <w:color w:val="000000" w:themeColor="text1"/>
          <w:highlight w:val="none"/>
        </w:rPr>
        <w:t>本公司对上述声明的真实性负责。如有虚假，将依法承担相应责任。</w:t>
      </w:r>
    </w:p>
    <w:p w14:paraId="0558188F">
      <w:pPr>
        <w:spacing w:line="440" w:lineRule="exact"/>
        <w:rPr>
          <w:rFonts w:ascii="宋体"/>
          <w:color w:val="000000" w:themeColor="text1"/>
          <w:highlight w:val="none"/>
        </w:rPr>
      </w:pPr>
    </w:p>
    <w:p w14:paraId="71D2E118">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30C34DE0">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3A524320">
      <w:pPr>
        <w:spacing w:line="440" w:lineRule="exact"/>
        <w:rPr>
          <w:rFonts w:ascii="宋体"/>
          <w:color w:val="000000" w:themeColor="text1"/>
          <w:highlight w:val="none"/>
        </w:rPr>
      </w:pPr>
      <w:r>
        <w:rPr>
          <w:rFonts w:ascii="宋体" w:hAnsi="宋体"/>
          <w:color w:val="000000" w:themeColor="text1"/>
          <w:szCs w:val="21"/>
          <w:highlight w:val="none"/>
        </w:rPr>
        <w:t>日期：</w:t>
      </w:r>
      <w:r>
        <w:rPr>
          <w:rFonts w:ascii="宋体" w:hAnsi="宋体"/>
          <w:color w:val="000000" w:themeColor="text1"/>
          <w:szCs w:val="21"/>
          <w:highlight w:val="none"/>
          <w:u w:val="single"/>
        </w:rPr>
        <w:t xml:space="preserve">       </w:t>
      </w:r>
      <w:r>
        <w:rPr>
          <w:rFonts w:ascii="宋体" w:hAnsi="宋体"/>
          <w:color w:val="000000" w:themeColor="text1"/>
          <w:szCs w:val="21"/>
          <w:highlight w:val="none"/>
        </w:rPr>
        <w:t>年</w:t>
      </w:r>
      <w:r>
        <w:rPr>
          <w:rFonts w:ascii="宋体" w:hAnsi="宋体"/>
          <w:color w:val="000000" w:themeColor="text1"/>
          <w:szCs w:val="21"/>
          <w:highlight w:val="none"/>
          <w:u w:val="single"/>
        </w:rPr>
        <w:t xml:space="preserve">     </w:t>
      </w:r>
      <w:r>
        <w:rPr>
          <w:rFonts w:ascii="宋体" w:hAnsi="宋体"/>
          <w:color w:val="000000" w:themeColor="text1"/>
          <w:szCs w:val="21"/>
          <w:highlight w:val="none"/>
        </w:rPr>
        <w:t>月</w:t>
      </w:r>
      <w:r>
        <w:rPr>
          <w:rFonts w:ascii="宋体" w:hAnsi="宋体"/>
          <w:color w:val="000000" w:themeColor="text1"/>
          <w:szCs w:val="21"/>
          <w:highlight w:val="none"/>
          <w:u w:val="single"/>
        </w:rPr>
        <w:t xml:space="preserve">      </w:t>
      </w:r>
      <w:r>
        <w:rPr>
          <w:rFonts w:ascii="宋体" w:hAnsi="宋体"/>
          <w:color w:val="000000" w:themeColor="text1"/>
          <w:szCs w:val="21"/>
          <w:highlight w:val="none"/>
        </w:rPr>
        <w:t>日</w:t>
      </w:r>
    </w:p>
    <w:p w14:paraId="7AEBC465">
      <w:pPr>
        <w:spacing w:line="440" w:lineRule="exact"/>
        <w:rPr>
          <w:rFonts w:ascii="宋体"/>
          <w:color w:val="000000" w:themeColor="text1"/>
          <w:highlight w:val="none"/>
        </w:rPr>
      </w:pPr>
    </w:p>
    <w:p w14:paraId="30347A2D">
      <w:pPr>
        <w:spacing w:line="440" w:lineRule="exact"/>
        <w:jc w:val="center"/>
        <w:rPr>
          <w:rFonts w:ascii="宋体"/>
          <w:color w:val="000000" w:themeColor="text1"/>
          <w:highlight w:val="none"/>
        </w:rPr>
      </w:pPr>
    </w:p>
    <w:p w14:paraId="41058ABD">
      <w:pPr>
        <w:spacing w:line="440" w:lineRule="exact"/>
        <w:jc w:val="center"/>
        <w:rPr>
          <w:rFonts w:ascii="宋体"/>
          <w:color w:val="000000" w:themeColor="text1"/>
          <w:highlight w:val="none"/>
        </w:rPr>
      </w:pPr>
    </w:p>
    <w:p w14:paraId="7FACDD25">
      <w:pPr>
        <w:spacing w:line="440" w:lineRule="exact"/>
        <w:jc w:val="center"/>
        <w:rPr>
          <w:rFonts w:ascii="宋体"/>
          <w:color w:val="000000" w:themeColor="text1"/>
          <w:highlight w:val="none"/>
        </w:rPr>
      </w:pPr>
    </w:p>
    <w:p w14:paraId="20C6B8C7">
      <w:pPr>
        <w:spacing w:line="440" w:lineRule="exact"/>
        <w:jc w:val="center"/>
        <w:rPr>
          <w:rFonts w:ascii="宋体"/>
          <w:color w:val="000000" w:themeColor="text1"/>
          <w:highlight w:val="none"/>
        </w:rPr>
      </w:pPr>
    </w:p>
    <w:p w14:paraId="3EE811CB">
      <w:pPr>
        <w:spacing w:line="440" w:lineRule="exact"/>
        <w:jc w:val="center"/>
        <w:rPr>
          <w:rFonts w:ascii="宋体"/>
          <w:color w:val="000000" w:themeColor="text1"/>
          <w:highlight w:val="none"/>
        </w:rPr>
      </w:pPr>
    </w:p>
    <w:p w14:paraId="7A306EBD">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说明：提供其他中小微企业制造的货物，必须同时提供该中小微企业的声明函。</w:t>
      </w:r>
    </w:p>
    <w:p w14:paraId="30CBA711">
      <w:pPr>
        <w:pStyle w:val="5"/>
        <w:rPr>
          <w:color w:val="000000" w:themeColor="text1"/>
          <w:highlight w:val="none"/>
        </w:rPr>
      </w:pPr>
    </w:p>
    <w:p w14:paraId="077D1C8C">
      <w:pPr>
        <w:pStyle w:val="5"/>
        <w:rPr>
          <w:color w:val="000000" w:themeColor="text1"/>
          <w:highlight w:val="none"/>
        </w:rPr>
      </w:pPr>
    </w:p>
    <w:p w14:paraId="54EB2DA1">
      <w:pPr>
        <w:pStyle w:val="5"/>
        <w:rPr>
          <w:color w:val="000000" w:themeColor="text1"/>
          <w:highlight w:val="none"/>
        </w:rPr>
      </w:pPr>
    </w:p>
    <w:p w14:paraId="3DD56B7B">
      <w:pPr>
        <w:pStyle w:val="5"/>
        <w:rPr>
          <w:color w:val="000000" w:themeColor="text1"/>
          <w:highlight w:val="none"/>
        </w:rPr>
      </w:pPr>
    </w:p>
    <w:p w14:paraId="1FFBFD9F">
      <w:pPr>
        <w:pStyle w:val="5"/>
        <w:rPr>
          <w:color w:val="000000" w:themeColor="text1"/>
          <w:highlight w:val="none"/>
        </w:rPr>
      </w:pPr>
    </w:p>
    <w:p w14:paraId="79CA1FDC">
      <w:pPr>
        <w:pStyle w:val="5"/>
        <w:rPr>
          <w:color w:val="000000" w:themeColor="text1"/>
          <w:highlight w:val="none"/>
        </w:rPr>
      </w:pPr>
    </w:p>
    <w:p w14:paraId="6408333F">
      <w:pPr>
        <w:pStyle w:val="5"/>
        <w:rPr>
          <w:color w:val="000000" w:themeColor="text1"/>
          <w:highlight w:val="none"/>
        </w:rPr>
      </w:pPr>
    </w:p>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14:paraId="5A077C6B">
      <w:pPr>
        <w:pStyle w:val="3"/>
        <w:keepLines w:val="0"/>
        <w:numPr>
          <w:ilvl w:val="0"/>
          <w:numId w:val="0"/>
        </w:numPr>
        <w:tabs>
          <w:tab w:val="left" w:pos="851"/>
        </w:tabs>
        <w:spacing w:before="0" w:after="0" w:line="360" w:lineRule="auto"/>
        <w:rPr>
          <w:rFonts w:ascii="宋体" w:eastAsia="宋体"/>
          <w:color w:val="000000" w:themeColor="text1"/>
          <w:szCs w:val="21"/>
          <w:highlight w:val="none"/>
        </w:rPr>
      </w:pPr>
      <w:bookmarkStart w:id="1915" w:name="_Toc27303"/>
      <w:bookmarkStart w:id="1916" w:name="_Toc32373"/>
      <w:bookmarkStart w:id="1917" w:name="_Toc434832511"/>
      <w:r>
        <w:rPr>
          <w:rFonts w:hint="eastAsia"/>
          <w:color w:val="000000" w:themeColor="text1"/>
          <w:highlight w:val="none"/>
        </w:rPr>
        <w:t>附件</w:t>
      </w:r>
      <w:r>
        <w:rPr>
          <w:rFonts w:hint="eastAsia"/>
          <w:color w:val="000000" w:themeColor="text1"/>
          <w:highlight w:val="none"/>
          <w:lang w:val="en-US" w:eastAsia="zh-CN"/>
        </w:rPr>
        <w:t>七</w:t>
      </w:r>
      <w:r>
        <w:rPr>
          <w:rFonts w:hint="eastAsia"/>
          <w:color w:val="000000" w:themeColor="text1"/>
          <w:highlight w:val="none"/>
        </w:rPr>
        <w:t>：</w:t>
      </w:r>
      <w:r>
        <w:rPr>
          <w:rFonts w:hint="eastAsia" w:hAnsi="黑体" w:cs="黑体"/>
          <w:color w:val="000000" w:themeColor="text1"/>
          <w:highlight w:val="none"/>
        </w:rPr>
        <w:t>残疾人福利性单位声明函</w:t>
      </w:r>
      <w:bookmarkEnd w:id="1915"/>
      <w:bookmarkEnd w:id="1916"/>
    </w:p>
    <w:p w14:paraId="5EF9A49C">
      <w:pPr>
        <w:spacing w:line="360" w:lineRule="auto"/>
        <w:jc w:val="center"/>
        <w:rPr>
          <w:rFonts w:ascii="宋体" w:hAnsi="宋体"/>
          <w:b/>
          <w:color w:val="000000" w:themeColor="text1"/>
          <w:sz w:val="24"/>
          <w:highlight w:val="none"/>
        </w:rPr>
      </w:pPr>
    </w:p>
    <w:p w14:paraId="7E5F4968">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残疾人福利性单位声明函</w:t>
      </w:r>
    </w:p>
    <w:p w14:paraId="649428B1">
      <w:pPr>
        <w:spacing w:line="360" w:lineRule="auto"/>
        <w:jc w:val="center"/>
        <w:rPr>
          <w:rFonts w:ascii="宋体" w:hAnsi="宋体"/>
          <w:b/>
          <w:color w:val="000000" w:themeColor="text1"/>
          <w:sz w:val="24"/>
          <w:highlight w:val="none"/>
        </w:rPr>
      </w:pPr>
    </w:p>
    <w:p w14:paraId="2C271072">
      <w:pPr>
        <w:spacing w:line="480" w:lineRule="auto"/>
        <w:jc w:val="left"/>
        <w:rPr>
          <w:rFonts w:ascii="宋体" w:hAnsi="宋体" w:cs="宋体"/>
          <w:color w:val="000000" w:themeColor="text1"/>
          <w:highlight w:val="none"/>
        </w:rPr>
      </w:pPr>
      <w:r>
        <w:rPr>
          <w:rFonts w:hint="eastAsia" w:ascii="宋体" w:hAnsi="宋体" w:cs="宋体"/>
          <w:color w:val="000000" w:themeColor="text1"/>
          <w:highlight w:val="none"/>
        </w:rPr>
        <w:t xml:space="preserve"> </w:t>
      </w:r>
      <w:r>
        <w:rPr>
          <w:rFonts w:ascii="宋体" w:hAnsi="宋体" w:cs="宋体"/>
          <w:color w:val="000000" w:themeColor="text1"/>
          <w:highlight w:val="none"/>
        </w:rPr>
        <w:t xml:space="preserve">   </w:t>
      </w:r>
      <w:r>
        <w:rPr>
          <w:rFonts w:hint="eastAsia" w:ascii="宋体" w:hAnsi="宋体" w:cs="宋体"/>
          <w:color w:val="000000" w:themeColor="text1"/>
          <w:highlight w:val="none"/>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93C702">
      <w:pPr>
        <w:spacing w:line="48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本单位对上述声明的真实性负责。如有虚假，将依法承担相应责任。</w:t>
      </w:r>
    </w:p>
    <w:p w14:paraId="1DD40CA9">
      <w:pPr>
        <w:spacing w:line="360" w:lineRule="auto"/>
        <w:ind w:firstLine="420" w:firstLineChars="200"/>
        <w:rPr>
          <w:rFonts w:ascii="宋体" w:hAnsi="宋体" w:cs="宋体"/>
          <w:color w:val="000000" w:themeColor="text1"/>
          <w:highlight w:val="none"/>
        </w:rPr>
      </w:pPr>
    </w:p>
    <w:p w14:paraId="680A05B3">
      <w:pPr>
        <w:adjustRightInd w:val="0"/>
        <w:snapToGrid w:val="0"/>
        <w:spacing w:line="440" w:lineRule="exact"/>
        <w:rPr>
          <w:rFonts w:ascii="宋体" w:hAnsi="宋体"/>
          <w:bCs/>
          <w:color w:val="000000" w:themeColor="text1"/>
          <w:szCs w:val="21"/>
          <w:highlight w:val="none"/>
        </w:rPr>
      </w:pPr>
    </w:p>
    <w:p w14:paraId="74466382">
      <w:pPr>
        <w:adjustRightInd w:val="0"/>
        <w:snapToGrid w:val="0"/>
        <w:spacing w:line="440" w:lineRule="exact"/>
        <w:rPr>
          <w:rFonts w:ascii="宋体" w:hAnsi="宋体"/>
          <w:bCs/>
          <w:color w:val="000000" w:themeColor="text1"/>
          <w:szCs w:val="21"/>
          <w:highlight w:val="none"/>
        </w:rPr>
      </w:pPr>
    </w:p>
    <w:p w14:paraId="6FD32A7C">
      <w:pPr>
        <w:adjustRightInd w:val="0"/>
        <w:snapToGrid w:val="0"/>
        <w:spacing w:line="440" w:lineRule="exact"/>
        <w:rPr>
          <w:rFonts w:ascii="宋体" w:hAnsi="宋体"/>
          <w:bCs/>
          <w:color w:val="000000" w:themeColor="text1"/>
          <w:szCs w:val="21"/>
          <w:highlight w:val="none"/>
        </w:rPr>
      </w:pPr>
    </w:p>
    <w:p w14:paraId="33516C18">
      <w:pPr>
        <w:adjustRightInd w:val="0"/>
        <w:snapToGrid w:val="0"/>
        <w:spacing w:line="440" w:lineRule="exact"/>
        <w:rPr>
          <w:rFonts w:ascii="宋体" w:hAnsi="宋体"/>
          <w:bCs/>
          <w:color w:val="000000" w:themeColor="text1"/>
          <w:szCs w:val="21"/>
          <w:highlight w:val="none"/>
        </w:rPr>
      </w:pPr>
    </w:p>
    <w:p w14:paraId="00B7F1E3">
      <w:pPr>
        <w:adjustRightInd w:val="0"/>
        <w:snapToGrid w:val="0"/>
        <w:spacing w:line="440" w:lineRule="exact"/>
        <w:rPr>
          <w:rFonts w:ascii="宋体" w:hAnsi="宋体"/>
          <w:bCs/>
          <w:color w:val="000000" w:themeColor="text1"/>
          <w:szCs w:val="21"/>
          <w:highlight w:val="none"/>
        </w:rPr>
      </w:pPr>
      <w:r>
        <w:rPr>
          <w:rFonts w:hint="eastAsia" w:ascii="宋体" w:hAnsi="宋体"/>
          <w:bCs/>
          <w:color w:val="000000" w:themeColor="text1"/>
          <w:szCs w:val="21"/>
          <w:highlight w:val="none"/>
        </w:rPr>
        <w:t>投标人法定代表人（负责人）或授权代理人（签字）：</w:t>
      </w:r>
      <w:r>
        <w:rPr>
          <w:rFonts w:hint="eastAsia" w:ascii="宋体" w:hAnsi="宋体"/>
          <w:bCs/>
          <w:color w:val="000000" w:themeColor="text1"/>
          <w:szCs w:val="21"/>
          <w:highlight w:val="none"/>
          <w:u w:val="single"/>
        </w:rPr>
        <w:t xml:space="preserve">                            </w:t>
      </w:r>
    </w:p>
    <w:p w14:paraId="3A0E6B5E">
      <w:pPr>
        <w:adjustRightInd w:val="0"/>
        <w:snapToGrid w:val="0"/>
        <w:spacing w:line="440" w:lineRule="exact"/>
        <w:rPr>
          <w:rFonts w:ascii="宋体" w:hAnsi="宋体"/>
          <w:bCs/>
          <w:color w:val="000000" w:themeColor="text1"/>
          <w:szCs w:val="21"/>
          <w:highlight w:val="none"/>
        </w:rPr>
      </w:pPr>
      <w:r>
        <w:rPr>
          <w:rFonts w:hint="eastAsia" w:ascii="宋体" w:hAnsi="宋体"/>
          <w:bCs/>
          <w:color w:val="000000" w:themeColor="text1"/>
          <w:szCs w:val="21"/>
          <w:highlight w:val="none"/>
        </w:rPr>
        <w:t>投标人名称（公章）：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14:paraId="4CDE4D61">
      <w:pPr>
        <w:pStyle w:val="5"/>
        <w:spacing w:line="360" w:lineRule="auto"/>
        <w:ind w:firstLine="0"/>
        <w:rPr>
          <w:rFonts w:hAnsi="宋体" w:cs="宋体"/>
          <w:color w:val="000000" w:themeColor="text1"/>
          <w:kern w:val="2"/>
          <w:sz w:val="21"/>
          <w:szCs w:val="24"/>
          <w:highlight w:val="none"/>
        </w:rPr>
      </w:pPr>
      <w:r>
        <w:rPr>
          <w:rFonts w:hAnsi="宋体"/>
          <w:color w:val="000000" w:themeColor="text1"/>
          <w:sz w:val="21"/>
          <w:szCs w:val="21"/>
          <w:highlight w:val="none"/>
        </w:rPr>
        <w:t>日期：</w:t>
      </w:r>
      <w:r>
        <w:rPr>
          <w:rFonts w:hAnsi="宋体"/>
          <w:color w:val="000000" w:themeColor="text1"/>
          <w:sz w:val="21"/>
          <w:szCs w:val="21"/>
          <w:highlight w:val="none"/>
          <w:u w:val="single"/>
        </w:rPr>
        <w:t xml:space="preserve">       </w:t>
      </w:r>
      <w:r>
        <w:rPr>
          <w:rFonts w:hAnsi="宋体"/>
          <w:color w:val="000000" w:themeColor="text1"/>
          <w:sz w:val="21"/>
          <w:szCs w:val="21"/>
          <w:highlight w:val="none"/>
        </w:rPr>
        <w:t>年</w:t>
      </w:r>
      <w:r>
        <w:rPr>
          <w:rFonts w:hAnsi="宋体"/>
          <w:color w:val="000000" w:themeColor="text1"/>
          <w:sz w:val="21"/>
          <w:szCs w:val="21"/>
          <w:highlight w:val="none"/>
          <w:u w:val="single"/>
        </w:rPr>
        <w:t xml:space="preserve">     </w:t>
      </w:r>
      <w:r>
        <w:rPr>
          <w:rFonts w:hAnsi="宋体"/>
          <w:color w:val="000000" w:themeColor="text1"/>
          <w:sz w:val="21"/>
          <w:szCs w:val="21"/>
          <w:highlight w:val="none"/>
        </w:rPr>
        <w:t>月</w:t>
      </w:r>
      <w:r>
        <w:rPr>
          <w:rFonts w:hAnsi="宋体"/>
          <w:color w:val="000000" w:themeColor="text1"/>
          <w:sz w:val="21"/>
          <w:szCs w:val="21"/>
          <w:highlight w:val="none"/>
          <w:u w:val="single"/>
        </w:rPr>
        <w:t xml:space="preserve">      </w:t>
      </w:r>
      <w:r>
        <w:rPr>
          <w:rFonts w:hAnsi="宋体"/>
          <w:color w:val="000000" w:themeColor="text1"/>
          <w:sz w:val="21"/>
          <w:szCs w:val="21"/>
          <w:highlight w:val="none"/>
        </w:rPr>
        <w:t>日</w:t>
      </w:r>
    </w:p>
    <w:p w14:paraId="17037D71">
      <w:pPr>
        <w:pStyle w:val="5"/>
        <w:rPr>
          <w:color w:val="000000" w:themeColor="text1"/>
          <w:highlight w:val="none"/>
        </w:rPr>
      </w:pPr>
    </w:p>
    <w:p w14:paraId="5579247E">
      <w:pPr>
        <w:pStyle w:val="5"/>
        <w:rPr>
          <w:color w:val="000000" w:themeColor="text1"/>
          <w:highlight w:val="none"/>
        </w:rPr>
      </w:pPr>
    </w:p>
    <w:p w14:paraId="487DB878">
      <w:pPr>
        <w:pStyle w:val="5"/>
        <w:rPr>
          <w:color w:val="000000" w:themeColor="text1"/>
          <w:highlight w:val="none"/>
        </w:rPr>
      </w:pPr>
    </w:p>
    <w:p w14:paraId="69BEF746">
      <w:pPr>
        <w:pStyle w:val="5"/>
        <w:rPr>
          <w:color w:val="000000" w:themeColor="text1"/>
          <w:highlight w:val="none"/>
        </w:rPr>
      </w:pPr>
    </w:p>
    <w:p w14:paraId="657CDB06">
      <w:pPr>
        <w:pStyle w:val="5"/>
        <w:rPr>
          <w:color w:val="000000" w:themeColor="text1"/>
          <w:highlight w:val="none"/>
        </w:rPr>
      </w:pPr>
    </w:p>
    <w:p w14:paraId="56F7E4B5">
      <w:pPr>
        <w:pStyle w:val="5"/>
        <w:rPr>
          <w:color w:val="000000" w:themeColor="text1"/>
          <w:highlight w:val="none"/>
        </w:rPr>
      </w:pPr>
    </w:p>
    <w:p w14:paraId="30282DEC">
      <w:pPr>
        <w:pStyle w:val="5"/>
        <w:rPr>
          <w:color w:val="000000" w:themeColor="text1"/>
          <w:highlight w:val="none"/>
        </w:rPr>
      </w:pPr>
    </w:p>
    <w:p w14:paraId="14BD54BF">
      <w:pPr>
        <w:pStyle w:val="5"/>
        <w:rPr>
          <w:color w:val="000000" w:themeColor="text1"/>
          <w:highlight w:val="none"/>
        </w:rPr>
      </w:pPr>
    </w:p>
    <w:p w14:paraId="0F457970">
      <w:pPr>
        <w:pStyle w:val="5"/>
        <w:rPr>
          <w:color w:val="000000" w:themeColor="text1"/>
          <w:highlight w:val="none"/>
        </w:rPr>
      </w:pPr>
    </w:p>
    <w:p w14:paraId="19D62571">
      <w:pPr>
        <w:pStyle w:val="5"/>
        <w:rPr>
          <w:color w:val="000000" w:themeColor="text1"/>
          <w:highlight w:val="none"/>
        </w:rPr>
      </w:pPr>
    </w:p>
    <w:p w14:paraId="68F5EABA">
      <w:pPr>
        <w:pStyle w:val="5"/>
        <w:rPr>
          <w:color w:val="000000" w:themeColor="text1"/>
          <w:highlight w:val="none"/>
        </w:rPr>
      </w:pPr>
    </w:p>
    <w:p w14:paraId="50F063A7">
      <w:pPr>
        <w:pStyle w:val="3"/>
        <w:numPr>
          <w:ilvl w:val="1"/>
          <w:numId w:val="0"/>
        </w:numPr>
        <w:spacing w:line="400" w:lineRule="exact"/>
        <w:rPr>
          <w:color w:val="000000" w:themeColor="text1"/>
          <w:highlight w:val="none"/>
        </w:rPr>
      </w:pPr>
      <w:bookmarkStart w:id="1918" w:name="_Toc10930"/>
      <w:bookmarkStart w:id="1919" w:name="_Toc432695230"/>
      <w:bookmarkStart w:id="1920" w:name="_Toc9858"/>
      <w:r>
        <w:rPr>
          <w:rFonts w:hint="eastAsia"/>
          <w:color w:val="000000" w:themeColor="text1"/>
          <w:highlight w:val="none"/>
        </w:rPr>
        <w:t>附件</w:t>
      </w:r>
      <w:r>
        <w:rPr>
          <w:rFonts w:hint="eastAsia"/>
          <w:color w:val="000000" w:themeColor="text1"/>
          <w:highlight w:val="none"/>
          <w:lang w:val="en-US" w:eastAsia="zh-CN"/>
        </w:rPr>
        <w:t>八</w:t>
      </w:r>
      <w:r>
        <w:rPr>
          <w:rFonts w:hint="eastAsia"/>
          <w:color w:val="000000" w:themeColor="text1"/>
          <w:highlight w:val="none"/>
        </w:rPr>
        <w:t>：中标服务费承诺</w:t>
      </w:r>
      <w:bookmarkEnd w:id="1918"/>
      <w:bookmarkEnd w:id="1919"/>
      <w:bookmarkEnd w:id="1920"/>
    </w:p>
    <w:p w14:paraId="75F42067">
      <w:pPr>
        <w:spacing w:line="360" w:lineRule="auto"/>
        <w:rPr>
          <w:rFonts w:ascii="宋体" w:hAnsi="宋体"/>
          <w:color w:val="000000" w:themeColor="text1"/>
          <w:highlight w:val="none"/>
        </w:rPr>
      </w:pPr>
      <w:r>
        <w:rPr>
          <w:rFonts w:hint="eastAsia" w:ascii="宋体" w:hAnsi="宋体"/>
          <w:color w:val="000000" w:themeColor="text1"/>
          <w:highlight w:val="none"/>
        </w:rPr>
        <w:t>致</w:t>
      </w:r>
      <w:r>
        <w:rPr>
          <w:rFonts w:hint="eastAsia" w:ascii="宋体" w:hAnsi="宋体"/>
          <w:color w:val="000000" w:themeColor="text1"/>
          <w:highlight w:val="none"/>
          <w:u w:val="single"/>
        </w:rPr>
        <w:t>广东业信采购招标有限公司</w:t>
      </w:r>
      <w:r>
        <w:rPr>
          <w:rFonts w:hint="eastAsia" w:ascii="宋体" w:hAnsi="宋体"/>
          <w:color w:val="000000" w:themeColor="text1"/>
          <w:highlight w:val="none"/>
        </w:rPr>
        <w:t>：</w:t>
      </w:r>
    </w:p>
    <w:p w14:paraId="435358D8">
      <w:pPr>
        <w:spacing w:line="360" w:lineRule="auto"/>
        <w:rPr>
          <w:rFonts w:ascii="宋体" w:hAnsi="宋体"/>
          <w:color w:val="000000" w:themeColor="text1"/>
          <w:highlight w:val="none"/>
        </w:rPr>
      </w:pPr>
    </w:p>
    <w:p w14:paraId="23F7F44D">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针对贵方组织的（项目名称：</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）招标（项目编号: </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），我方承诺：</w:t>
      </w:r>
    </w:p>
    <w:p w14:paraId="45F03F94">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1. 若我方中标，将严格遵照本项目招标文件的规定向代理采购机构缴纳中标服务费。</w:t>
      </w:r>
    </w:p>
    <w:p w14:paraId="72420A9E">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2. 若我方中标后拒绝如数缴纳或未按本项目招标文件规定的期限缴纳中标服务费，则视为我方自动放弃该中标结果，贵</w:t>
      </w:r>
      <w:r>
        <w:rPr>
          <w:rFonts w:hint="eastAsia" w:ascii="宋体" w:hAnsi="宋体"/>
          <w:color w:val="000000" w:themeColor="text1"/>
          <w:szCs w:val="21"/>
          <w:highlight w:val="none"/>
        </w:rPr>
        <w:t>方</w:t>
      </w:r>
      <w:r>
        <w:rPr>
          <w:rFonts w:hint="eastAsia" w:ascii="宋体" w:hAnsi="宋体"/>
          <w:color w:val="000000" w:themeColor="text1"/>
          <w:highlight w:val="none"/>
        </w:rPr>
        <w:t>有权重新确定中标结果，</w:t>
      </w:r>
      <w:r>
        <w:rPr>
          <w:rFonts w:hint="eastAsia" w:ascii="宋体"/>
          <w:color w:val="000000" w:themeColor="text1"/>
          <w:highlight w:val="none"/>
        </w:rPr>
        <w:t>我方对此无任何异议。</w:t>
      </w:r>
    </w:p>
    <w:p w14:paraId="7355BEE0">
      <w:pPr>
        <w:spacing w:line="440" w:lineRule="exact"/>
        <w:rPr>
          <w:rFonts w:ascii="宋体" w:hAnsi="宋体"/>
          <w:color w:val="000000" w:themeColor="text1"/>
          <w:highlight w:val="none"/>
        </w:rPr>
      </w:pPr>
      <w:r>
        <w:rPr>
          <w:rFonts w:hint="eastAsia" w:ascii="宋体" w:hAnsi="宋体"/>
          <w:color w:val="000000" w:themeColor="text1"/>
          <w:highlight w:val="none"/>
        </w:rPr>
        <w:t xml:space="preserve">     </w:t>
      </w:r>
    </w:p>
    <w:p w14:paraId="4B35124D">
      <w:pPr>
        <w:spacing w:line="440" w:lineRule="exact"/>
        <w:ind w:firstLine="420" w:firstLineChars="200"/>
        <w:rPr>
          <w:rFonts w:ascii="宋体" w:hAnsi="宋体"/>
          <w:color w:val="000000" w:themeColor="text1"/>
          <w:highlight w:val="none"/>
        </w:rPr>
      </w:pPr>
    </w:p>
    <w:p w14:paraId="7C9C868A">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0F76D664">
      <w:pPr>
        <w:adjustRightInd w:val="0"/>
        <w:snapToGrid w:val="0"/>
        <w:spacing w:line="440" w:lineRule="exact"/>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1516B5E5">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77A5ABE0">
      <w:pPr>
        <w:rPr>
          <w:color w:val="000000" w:themeColor="text1"/>
          <w:highlight w:val="none"/>
        </w:rPr>
        <w:sectPr>
          <w:pgSz w:w="11906" w:h="16838"/>
          <w:pgMar w:top="1474" w:right="1418" w:bottom="1474" w:left="1418" w:header="851" w:footer="851" w:gutter="0"/>
          <w:cols w:space="720" w:num="1"/>
          <w:titlePg/>
          <w:docGrid w:linePitch="312" w:charSpace="0"/>
        </w:sectPr>
      </w:pPr>
    </w:p>
    <w:p w14:paraId="3E61FBC2">
      <w:pPr>
        <w:pStyle w:val="3"/>
        <w:numPr>
          <w:ilvl w:val="1"/>
          <w:numId w:val="0"/>
        </w:numPr>
        <w:spacing w:line="400" w:lineRule="exact"/>
        <w:rPr>
          <w:color w:val="000000" w:themeColor="text1"/>
          <w:highlight w:val="none"/>
        </w:rPr>
      </w:pPr>
      <w:bookmarkStart w:id="1921" w:name="_Toc326065622"/>
      <w:bookmarkStart w:id="1922" w:name="_Toc12304"/>
      <w:bookmarkStart w:id="1923" w:name="_Toc333237820"/>
      <w:bookmarkStart w:id="1924" w:name="_Toc340677101"/>
      <w:bookmarkStart w:id="1925" w:name="_Toc336681611"/>
      <w:bookmarkStart w:id="1926" w:name="_Toc342398161"/>
      <w:bookmarkStart w:id="1927" w:name="_Toc333935377"/>
      <w:bookmarkStart w:id="1928" w:name="_Toc337632389"/>
      <w:bookmarkStart w:id="1929" w:name="_Toc343248449"/>
      <w:bookmarkStart w:id="1930" w:name="_Toc339362331"/>
      <w:bookmarkStart w:id="1931" w:name="_Toc342312474"/>
      <w:bookmarkStart w:id="1932" w:name="_Toc339020264"/>
      <w:bookmarkStart w:id="1933" w:name="_Toc350756481"/>
      <w:bookmarkStart w:id="1934" w:name="_Toc333237709"/>
      <w:bookmarkStart w:id="1935" w:name="_Toc339020126"/>
      <w:bookmarkStart w:id="1936" w:name="_Toc350438780"/>
      <w:bookmarkStart w:id="1937" w:name="_Toc340672900"/>
      <w:bookmarkStart w:id="1938" w:name="_Toc432695231"/>
      <w:bookmarkStart w:id="1939" w:name="_Toc333238665"/>
      <w:bookmarkStart w:id="1940" w:name="_Toc340507473"/>
      <w:bookmarkStart w:id="1941" w:name="_Toc341348371"/>
      <w:bookmarkStart w:id="1942" w:name="_Toc342296792"/>
      <w:bookmarkStart w:id="1943" w:name="_Toc331512932"/>
      <w:bookmarkStart w:id="1944" w:name="_Toc365985212"/>
      <w:bookmarkStart w:id="1945" w:name="_Toc339019920"/>
      <w:bookmarkStart w:id="1946" w:name="_Toc10463"/>
      <w:bookmarkStart w:id="1947" w:name="_Toc365967106"/>
      <w:bookmarkStart w:id="1948" w:name="_Toc343247131"/>
      <w:bookmarkStart w:id="1949" w:name="_Toc331684073"/>
      <w:bookmarkStart w:id="1950" w:name="_Toc332206740"/>
      <w:bookmarkStart w:id="1951" w:name="_Toc366072563"/>
      <w:bookmarkStart w:id="1952" w:name="_Toc336681966"/>
      <w:bookmarkStart w:id="1953" w:name="_Toc342060406"/>
      <w:bookmarkStart w:id="1954" w:name="_Toc332270378"/>
      <w:bookmarkStart w:id="1955" w:name="_Toc339020046"/>
      <w:bookmarkStart w:id="1956" w:name="_Toc330460017"/>
      <w:bookmarkStart w:id="1957" w:name="_Toc339441118"/>
      <w:bookmarkStart w:id="1958" w:name="_Toc345312628"/>
      <w:bookmarkStart w:id="1959" w:name="_Toc333935718"/>
      <w:bookmarkStart w:id="1960" w:name="_Toc343612951"/>
      <w:r>
        <w:rPr>
          <w:rFonts w:hint="eastAsia"/>
          <w:color w:val="000000" w:themeColor="text1"/>
          <w:highlight w:val="none"/>
        </w:rPr>
        <w:t>附件</w:t>
      </w:r>
      <w:r>
        <w:rPr>
          <w:rFonts w:hint="eastAsia"/>
          <w:color w:val="000000" w:themeColor="text1"/>
          <w:highlight w:val="none"/>
          <w:lang w:val="en-US" w:eastAsia="zh-CN"/>
        </w:rPr>
        <w:t>九</w:t>
      </w:r>
      <w:r>
        <w:rPr>
          <w:rFonts w:hint="eastAsia"/>
          <w:color w:val="000000" w:themeColor="text1"/>
          <w:highlight w:val="none"/>
        </w:rPr>
        <w:t>：</w:t>
      </w:r>
      <w:bookmarkEnd w:id="1921"/>
      <w:r>
        <w:rPr>
          <w:rFonts w:hint="eastAsia"/>
          <w:color w:val="000000" w:themeColor="text1"/>
          <w:highlight w:val="none"/>
        </w:rPr>
        <w:t>投标人提交的其它商务和技术资料</w:t>
      </w:r>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14:paraId="2D7509D8">
      <w:pPr>
        <w:adjustRightInd w:val="0"/>
        <w:snapToGrid w:val="0"/>
        <w:spacing w:line="360" w:lineRule="auto"/>
        <w:jc w:val="left"/>
        <w:rPr>
          <w:rFonts w:ascii="宋体" w:hAnsi="宋体"/>
          <w:bCs/>
          <w:color w:val="000000" w:themeColor="text1"/>
          <w:highlight w:val="none"/>
        </w:rPr>
      </w:pPr>
    </w:p>
    <w:p w14:paraId="150C301B">
      <w:pPr>
        <w:adjustRightInd w:val="0"/>
        <w:snapToGrid w:val="0"/>
        <w:spacing w:line="360" w:lineRule="auto"/>
        <w:jc w:val="left"/>
        <w:rPr>
          <w:rFonts w:ascii="宋体" w:hAnsi="宋体"/>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szCs w:val="21"/>
          <w:highlight w:val="none"/>
        </w:rPr>
        <w:t xml:space="preserve">           </w:t>
      </w:r>
    </w:p>
    <w:p w14:paraId="661CEFA3">
      <w:pPr>
        <w:adjustRightInd w:val="0"/>
        <w:snapToGrid w:val="0"/>
        <w:spacing w:line="360" w:lineRule="auto"/>
        <w:ind w:left="1050" w:hanging="1050" w:hangingChars="500"/>
        <w:jc w:val="left"/>
        <w:rPr>
          <w:rFonts w:ascii="宋体" w:hAnsi="宋体"/>
          <w:bCs/>
          <w:color w:val="000000" w:themeColor="text1"/>
          <w:highlight w:val="none"/>
        </w:rPr>
      </w:pPr>
      <w:r>
        <w:rPr>
          <w:rFonts w:hint="eastAsia" w:ascii="宋体" w:hAnsi="宋体"/>
          <w:bCs/>
          <w:color w:val="000000" w:themeColor="text1"/>
          <w:szCs w:val="21"/>
          <w:highlight w:val="none"/>
        </w:rPr>
        <w:t>项目名称：</w:t>
      </w:r>
      <w:r>
        <w:rPr>
          <w:rFonts w:hint="eastAsia"/>
          <w:color w:val="000000" w:themeColor="text1"/>
          <w:szCs w:val="21"/>
          <w:highlight w:val="none"/>
          <w:u w:val="single"/>
        </w:rPr>
        <w:t xml:space="preserve">                          </w:t>
      </w:r>
    </w:p>
    <w:p w14:paraId="2B6486FA">
      <w:pPr>
        <w:adjustRightInd w:val="0"/>
        <w:snapToGrid w:val="0"/>
        <w:spacing w:line="360" w:lineRule="auto"/>
        <w:ind w:left="1050" w:hanging="1050" w:hangingChars="500"/>
        <w:jc w:val="left"/>
        <w:rPr>
          <w:rFonts w:ascii="宋体" w:hAnsi="宋体"/>
          <w:bCs/>
          <w:color w:val="000000" w:themeColor="text1"/>
          <w:highlight w:val="none"/>
        </w:rPr>
      </w:pPr>
    </w:p>
    <w:p w14:paraId="19001778">
      <w:pPr>
        <w:pStyle w:val="5"/>
        <w:spacing w:line="360" w:lineRule="auto"/>
        <w:rPr>
          <w:rFonts w:hAnsi="宋体"/>
          <w:bCs/>
          <w:color w:val="000000" w:themeColor="text1"/>
          <w:sz w:val="21"/>
          <w:highlight w:val="none"/>
        </w:rPr>
      </w:pPr>
    </w:p>
    <w:p w14:paraId="2B72F471">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本节无格式要求，投标人可根据自身实际情况以及招标文件评分细则规定的详细评审内容和应当提供的证明材料进行编制。</w:t>
      </w:r>
    </w:p>
    <w:p w14:paraId="5D567648">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一、</w:t>
      </w:r>
      <w:r>
        <w:rPr>
          <w:rFonts w:hAnsi="宋体"/>
          <w:bCs/>
          <w:color w:val="000000" w:themeColor="text1"/>
          <w:sz w:val="21"/>
          <w:highlight w:val="none"/>
        </w:rPr>
        <w:t>...</w:t>
      </w:r>
    </w:p>
    <w:p w14:paraId="3767D91D">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二、</w:t>
      </w:r>
      <w:r>
        <w:rPr>
          <w:rFonts w:hAnsi="宋体"/>
          <w:bCs/>
          <w:color w:val="000000" w:themeColor="text1"/>
          <w:sz w:val="21"/>
          <w:highlight w:val="none"/>
        </w:rPr>
        <w:t>...</w:t>
      </w:r>
    </w:p>
    <w:p w14:paraId="286DAAC3">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三、</w:t>
      </w:r>
      <w:r>
        <w:rPr>
          <w:rFonts w:hAnsi="宋体"/>
          <w:bCs/>
          <w:color w:val="000000" w:themeColor="text1"/>
          <w:sz w:val="21"/>
          <w:highlight w:val="none"/>
        </w:rPr>
        <w:t>...</w:t>
      </w:r>
    </w:p>
    <w:p w14:paraId="20EC8FF4">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四、</w:t>
      </w:r>
      <w:r>
        <w:rPr>
          <w:rFonts w:hAnsi="宋体"/>
          <w:bCs/>
          <w:color w:val="000000" w:themeColor="text1"/>
          <w:sz w:val="21"/>
          <w:highlight w:val="none"/>
        </w:rPr>
        <w:t>...</w:t>
      </w:r>
    </w:p>
    <w:p w14:paraId="70E97E74">
      <w:pPr>
        <w:adjustRightInd w:val="0"/>
        <w:snapToGrid w:val="0"/>
        <w:spacing w:line="440" w:lineRule="exact"/>
        <w:rPr>
          <w:rFonts w:ascii="宋体" w:hAnsi="宋体"/>
          <w:bCs/>
          <w:color w:val="000000" w:themeColor="text1"/>
          <w:highlight w:val="none"/>
        </w:rPr>
      </w:pPr>
    </w:p>
    <w:p w14:paraId="3AE183F5">
      <w:pPr>
        <w:adjustRightInd w:val="0"/>
        <w:snapToGrid w:val="0"/>
        <w:spacing w:line="440" w:lineRule="exact"/>
        <w:rPr>
          <w:rFonts w:ascii="宋体" w:hAnsi="宋体"/>
          <w:bCs/>
          <w:color w:val="000000" w:themeColor="text1"/>
          <w:highlight w:val="none"/>
        </w:rPr>
      </w:pPr>
    </w:p>
    <w:p w14:paraId="2A948730">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14:paraId="66C939A1">
      <w:pPr>
        <w:adjustRightInd w:val="0"/>
        <w:snapToGrid w:val="0"/>
        <w:spacing w:line="440" w:lineRule="exact"/>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14:paraId="44AFF9D3">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14:paraId="5DD9161C">
      <w:pPr>
        <w:pStyle w:val="5"/>
        <w:spacing w:line="360" w:lineRule="auto"/>
        <w:rPr>
          <w:color w:val="000000" w:themeColor="text1"/>
          <w:highlight w:val="none"/>
        </w:rPr>
      </w:pPr>
    </w:p>
    <w:p w14:paraId="3EB92C0A">
      <w:pPr>
        <w:adjustRightInd w:val="0"/>
        <w:snapToGrid w:val="0"/>
        <w:spacing w:line="440" w:lineRule="exact"/>
        <w:rPr>
          <w:color w:val="000000" w:themeColor="text1"/>
          <w:highlight w:val="none"/>
        </w:rPr>
      </w:pPr>
      <w:r>
        <w:rPr>
          <w:rFonts w:hint="eastAsia"/>
          <w:color w:val="000000" w:themeColor="text1"/>
          <w:highlight w:val="none"/>
        </w:rPr>
        <w:t>（投标人认为本节无须提交的，应注明“本节空白”字样）。</w:t>
      </w:r>
    </w:p>
    <w:p w14:paraId="4C1C8707">
      <w:pPr>
        <w:pStyle w:val="5"/>
        <w:rPr>
          <w:color w:val="000000" w:themeColor="text1"/>
          <w:highlight w:val="none"/>
        </w:rPr>
      </w:pPr>
    </w:p>
    <w:p w14:paraId="0CD2582B">
      <w:pPr>
        <w:pStyle w:val="5"/>
        <w:rPr>
          <w:color w:val="000000" w:themeColor="text1"/>
          <w:highlight w:val="none"/>
        </w:rPr>
      </w:pPr>
    </w:p>
    <w:p w14:paraId="3B4E584C">
      <w:pPr>
        <w:pStyle w:val="5"/>
        <w:rPr>
          <w:color w:val="000000" w:themeColor="text1"/>
          <w:highlight w:val="none"/>
        </w:rPr>
      </w:pPr>
    </w:p>
    <w:p w14:paraId="67EAC157">
      <w:pPr>
        <w:pStyle w:val="5"/>
        <w:rPr>
          <w:color w:val="000000" w:themeColor="text1"/>
          <w:highlight w:val="none"/>
        </w:rPr>
      </w:pPr>
    </w:p>
    <w:p w14:paraId="16D4CBFA">
      <w:pPr>
        <w:pStyle w:val="5"/>
        <w:rPr>
          <w:color w:val="000000" w:themeColor="text1"/>
          <w:highlight w:val="none"/>
        </w:rPr>
      </w:pPr>
    </w:p>
    <w:p w14:paraId="1F67A8BE">
      <w:pPr>
        <w:pStyle w:val="5"/>
        <w:rPr>
          <w:color w:val="000000" w:themeColor="text1"/>
          <w:highlight w:val="none"/>
        </w:rPr>
      </w:pPr>
    </w:p>
    <w:p w14:paraId="02166A44">
      <w:pPr>
        <w:pStyle w:val="5"/>
        <w:rPr>
          <w:color w:val="000000" w:themeColor="text1"/>
          <w:highlight w:val="none"/>
        </w:rPr>
      </w:pPr>
    </w:p>
    <w:p w14:paraId="5C99A41D">
      <w:pPr>
        <w:pStyle w:val="5"/>
        <w:rPr>
          <w:color w:val="000000" w:themeColor="text1"/>
          <w:highlight w:val="none"/>
        </w:rPr>
      </w:pPr>
    </w:p>
    <w:p w14:paraId="5882EF9B">
      <w:pPr>
        <w:pStyle w:val="5"/>
        <w:rPr>
          <w:color w:val="000000" w:themeColor="text1"/>
          <w:highlight w:val="none"/>
        </w:rPr>
      </w:pPr>
    </w:p>
    <w:p w14:paraId="26D3170A">
      <w:pPr>
        <w:pStyle w:val="5"/>
        <w:rPr>
          <w:color w:val="000000" w:themeColor="text1"/>
          <w:highlight w:val="none"/>
        </w:rPr>
      </w:pPr>
    </w:p>
    <w:p w14:paraId="36164738">
      <w:pPr>
        <w:pStyle w:val="5"/>
        <w:rPr>
          <w:color w:val="000000" w:themeColor="text1"/>
          <w:highlight w:val="none"/>
        </w:rPr>
      </w:pPr>
    </w:p>
    <w:p w14:paraId="79D5B857">
      <w:pPr>
        <w:pStyle w:val="5"/>
        <w:rPr>
          <w:color w:val="000000" w:themeColor="text1"/>
          <w:highlight w:val="none"/>
        </w:rPr>
      </w:pPr>
    </w:p>
    <w:p w14:paraId="040F105C">
      <w:pPr>
        <w:ind w:left="0" w:leftChars="0"/>
        <w:jc w:val="left"/>
        <w:rPr>
          <w:rFonts w:hint="eastAsia" w:ascii="仿宋" w:hAnsi="仿宋" w:eastAsia="仿宋" w:cs="仿宋"/>
          <w:color w:val="000000" w:themeColor="text1"/>
          <w:kern w:val="0"/>
          <w:sz w:val="32"/>
          <w:szCs w:val="32"/>
          <w:highlight w:val="none"/>
          <w:u w:val="none" w:color="auto"/>
          <w:lang w:val="en-US" w:eastAsia="zh-CN"/>
        </w:rPr>
      </w:pPr>
      <w:r>
        <w:rPr>
          <w:rFonts w:hint="eastAsia" w:ascii="仿宋" w:hAnsi="仿宋" w:eastAsia="仿宋" w:cs="仿宋"/>
          <w:color w:val="000000" w:themeColor="text1"/>
          <w:kern w:val="0"/>
          <w:sz w:val="32"/>
          <w:szCs w:val="32"/>
          <w:highlight w:val="none"/>
          <w:u w:val="none" w:color="auto"/>
          <w:lang w:val="en-US" w:eastAsia="zh-CN"/>
        </w:rPr>
        <w:t>附件</w:t>
      </w:r>
    </w:p>
    <w:p w14:paraId="0949A72F">
      <w:pPr>
        <w:ind w:left="0" w:leftChars="0"/>
        <w:jc w:val="center"/>
        <w:rPr>
          <w:rFonts w:hint="eastAsia" w:ascii="宋体" w:hAnsi="宋体" w:eastAsia="宋体" w:cs="宋体"/>
          <w:b/>
          <w:bCs/>
          <w:color w:val="000000" w:themeColor="text1"/>
          <w:kern w:val="0"/>
          <w:sz w:val="32"/>
          <w:szCs w:val="32"/>
          <w:highlight w:val="none"/>
          <w:u w:val="none" w:color="auto"/>
          <w:lang w:val="en-US" w:eastAsia="zh-CN"/>
        </w:rPr>
      </w:pPr>
      <w:r>
        <w:rPr>
          <w:rFonts w:hint="eastAsia" w:ascii="宋体" w:hAnsi="宋体" w:eastAsia="宋体" w:cs="宋体"/>
          <w:b/>
          <w:bCs/>
          <w:color w:val="000000" w:themeColor="text1"/>
          <w:kern w:val="0"/>
          <w:sz w:val="32"/>
          <w:szCs w:val="32"/>
          <w:highlight w:val="none"/>
          <w:u w:val="none" w:color="auto"/>
          <w:lang w:val="en-US" w:eastAsia="zh-CN"/>
        </w:rPr>
        <w:t>阳江市政府采购供应商资格信用承诺函</w:t>
      </w:r>
    </w:p>
    <w:p w14:paraId="2AE1218C">
      <w:pPr>
        <w:ind w:left="0" w:leftChars="0"/>
        <w:jc w:val="center"/>
        <w:rPr>
          <w:rFonts w:hint="eastAsia" w:ascii="仿宋" w:hAnsi="仿宋" w:eastAsia="仿宋" w:cs="仿宋"/>
          <w:color w:val="000000" w:themeColor="text1"/>
          <w:kern w:val="0"/>
          <w:sz w:val="32"/>
          <w:szCs w:val="32"/>
          <w:highlight w:val="none"/>
          <w:u w:val="none" w:color="auto"/>
          <w:lang w:val="en-US" w:eastAsia="zh-CN"/>
        </w:rPr>
      </w:pPr>
      <w:r>
        <w:rPr>
          <w:rFonts w:hint="eastAsia" w:ascii="仿宋" w:hAnsi="仿宋" w:eastAsia="仿宋" w:cs="仿宋"/>
          <w:color w:val="000000" w:themeColor="text1"/>
          <w:kern w:val="0"/>
          <w:sz w:val="32"/>
          <w:szCs w:val="32"/>
          <w:highlight w:val="none"/>
          <w:u w:val="none" w:color="auto"/>
          <w:lang w:val="en-US" w:eastAsia="zh-CN"/>
        </w:rPr>
        <w:t>(样本)</w:t>
      </w:r>
    </w:p>
    <w:p w14:paraId="523DAC69">
      <w:pPr>
        <w:bidi w:val="0"/>
        <w:rPr>
          <w:rFonts w:hint="eastAsia"/>
          <w:color w:val="000000" w:themeColor="text1"/>
          <w:highlight w:val="none"/>
          <w:lang w:val="en-US" w:eastAsia="zh-CN"/>
        </w:rPr>
      </w:pPr>
    </w:p>
    <w:p w14:paraId="1D3BE1C2">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我 方 自 愿 参 加    ( 项 目 名 称 )    项 目 ( 项 目 编 号：        )的政府采购活动，并郑重承诺符合《中华人民共和国政府采购法》第二十二条第一款第(二)项、第(三)项、第(四)项、第(五)项规定条件，具体包括:</w:t>
      </w:r>
    </w:p>
    <w:p w14:paraId="11CA11E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1.具有良好的商业信誉和健全的财务会计制度;</w:t>
      </w:r>
    </w:p>
    <w:p w14:paraId="22889E11">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2.具有履行合同所必需的设备和专业技术能力;</w:t>
      </w:r>
    </w:p>
    <w:p w14:paraId="1782A2BA">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3.具有依法缴纳税收和社会保障资金的良好记录;</w:t>
      </w:r>
    </w:p>
    <w:p w14:paraId="74C326EA">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4.参加政府采购活动前三年内，在经营活动中没有重大违法记录。</w:t>
      </w:r>
    </w:p>
    <w:p w14:paraId="04ABECB7">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52E5840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特此承诺。</w:t>
      </w:r>
    </w:p>
    <w:p w14:paraId="5F5977B9">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供应商名称(公章):</w:t>
      </w:r>
    </w:p>
    <w:p w14:paraId="36776F89">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统一社会信用代码:</w:t>
      </w:r>
    </w:p>
    <w:p w14:paraId="592FA24C">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法定代表人或授权代表(签名):</w:t>
      </w:r>
    </w:p>
    <w:p w14:paraId="298876C4">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rPr>
      </w:pPr>
      <w:r>
        <w:rPr>
          <w:rFonts w:hint="eastAsia" w:ascii="仿宋" w:hAnsi="仿宋" w:eastAsia="仿宋" w:cs="仿宋"/>
          <w:color w:val="000000" w:themeColor="text1"/>
          <w:kern w:val="0"/>
          <w:sz w:val="28"/>
          <w:szCs w:val="28"/>
          <w:highlight w:val="none"/>
          <w:u w:val="none" w:color="auto"/>
          <w:lang w:val="en-US" w:eastAsia="zh-CN"/>
        </w:rPr>
        <w:t>日期:   年  月  日</w:t>
      </w:r>
    </w:p>
    <w:p w14:paraId="19C95D86">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color w:val="000000" w:themeColor="text1"/>
          <w:kern w:val="0"/>
          <w:sz w:val="28"/>
          <w:szCs w:val="28"/>
          <w:highlight w:val="none"/>
          <w:lang w:val="en-US" w:eastAsia="zh-CN"/>
        </w:rPr>
      </w:pPr>
      <w:r>
        <w:rPr>
          <w:rFonts w:hint="eastAsia" w:ascii="仿宋" w:hAnsi="仿宋" w:eastAsia="仿宋" w:cs="仿宋"/>
          <w:color w:val="000000" w:themeColor="text1"/>
          <w:kern w:val="0"/>
          <w:sz w:val="28"/>
          <w:szCs w:val="28"/>
          <w:highlight w:val="none"/>
          <w:u w:val="none" w:color="auto"/>
          <w:lang w:val="en-US" w:eastAsia="zh-CN"/>
        </w:rPr>
        <w:t>注:供应商的法定代表人(其他组织的为负责人)或者授权代表的签名或盖章应真实、有效，如由授权代表签名或盖章的，应提供“法定代表人授权书”</w:t>
      </w:r>
    </w:p>
    <w:p w14:paraId="4EE65F02">
      <w:pPr>
        <w:pStyle w:val="5"/>
        <w:rPr>
          <w:color w:val="000000" w:themeColor="text1"/>
          <w:highlight w:val="none"/>
        </w:rPr>
      </w:pPr>
    </w:p>
    <w:p w14:paraId="2FCE4BED">
      <w:pPr>
        <w:pStyle w:val="5"/>
        <w:rPr>
          <w:color w:val="000000" w:themeColor="text1"/>
          <w:highlight w:val="none"/>
        </w:rPr>
      </w:pPr>
    </w:p>
    <w:p w14:paraId="74322394">
      <w:pPr>
        <w:pStyle w:val="5"/>
        <w:rPr>
          <w:color w:val="000000" w:themeColor="text1"/>
          <w:highlight w:val="none"/>
        </w:rPr>
      </w:pPr>
    </w:p>
    <w:p w14:paraId="2BE77100">
      <w:pPr>
        <w:pStyle w:val="5"/>
        <w:rPr>
          <w:color w:val="000000" w:themeColor="text1"/>
          <w:highlight w:val="none"/>
        </w:rPr>
      </w:pPr>
    </w:p>
    <w:p w14:paraId="2C199D65">
      <w:pPr>
        <w:pStyle w:val="5"/>
        <w:rPr>
          <w:color w:val="000000" w:themeColor="text1"/>
          <w:highlight w:val="none"/>
        </w:rPr>
      </w:pPr>
    </w:p>
    <w:p w14:paraId="687674B9">
      <w:pPr>
        <w:pStyle w:val="5"/>
        <w:rPr>
          <w:color w:val="000000" w:themeColor="text1"/>
          <w:highlight w:val="none"/>
        </w:rPr>
      </w:pPr>
    </w:p>
    <w:p w14:paraId="1DF4F574">
      <w:pPr>
        <w:pStyle w:val="5"/>
        <w:rPr>
          <w:color w:val="000000" w:themeColor="text1"/>
          <w:highlight w:val="none"/>
        </w:rPr>
      </w:pPr>
    </w:p>
    <w:p w14:paraId="52628B73">
      <w:pPr>
        <w:pStyle w:val="5"/>
        <w:rPr>
          <w:color w:val="000000" w:themeColor="text1"/>
          <w:highlight w:val="none"/>
        </w:rPr>
      </w:pPr>
    </w:p>
    <w:p w14:paraId="53D7D1C9">
      <w:pPr>
        <w:pStyle w:val="5"/>
        <w:rPr>
          <w:color w:val="000000" w:themeColor="text1"/>
          <w:highlight w:val="none"/>
        </w:rPr>
      </w:pPr>
    </w:p>
    <w:p w14:paraId="28BCAC3E">
      <w:pPr>
        <w:pStyle w:val="5"/>
        <w:rPr>
          <w:color w:val="000000" w:themeColor="text1"/>
          <w:highlight w:val="none"/>
        </w:rPr>
      </w:pPr>
    </w:p>
    <w:p w14:paraId="6AB4C437">
      <w:pPr>
        <w:pStyle w:val="5"/>
        <w:ind w:firstLine="0"/>
        <w:rPr>
          <w:color w:val="000000" w:themeColor="text1"/>
          <w:highlight w:val="none"/>
        </w:rPr>
      </w:pPr>
    </w:p>
    <w:p w14:paraId="39FF2004">
      <w:pPr>
        <w:pStyle w:val="5"/>
        <w:rPr>
          <w:color w:val="000000" w:themeColor="text1"/>
          <w:highlight w:val="none"/>
        </w:rPr>
      </w:pPr>
    </w:p>
    <w:p w14:paraId="1120BD94">
      <w:pPr>
        <w:pStyle w:val="5"/>
        <w:rPr>
          <w:color w:val="000000" w:themeColor="text1"/>
          <w:highlight w:val="none"/>
        </w:rPr>
      </w:pPr>
    </w:p>
    <w:p w14:paraId="1C906574">
      <w:pPr>
        <w:pStyle w:val="5"/>
        <w:rPr>
          <w:color w:val="000000" w:themeColor="text1"/>
          <w:highlight w:val="none"/>
        </w:rPr>
      </w:pPr>
    </w:p>
    <w:p w14:paraId="215D381F">
      <w:pPr>
        <w:pStyle w:val="3"/>
        <w:numPr>
          <w:ilvl w:val="0"/>
          <w:numId w:val="0"/>
        </w:numPr>
        <w:rPr>
          <w:color w:val="000000" w:themeColor="text1"/>
          <w:sz w:val="52"/>
          <w:highlight w:val="none"/>
        </w:rPr>
      </w:pPr>
      <w:bookmarkStart w:id="1961" w:name="_Toc13668"/>
      <w:bookmarkStart w:id="1962" w:name="_Toc456888293"/>
      <w:bookmarkStart w:id="1963" w:name="_Toc456887842"/>
      <w:r>
        <w:rPr>
          <w:rFonts w:hint="eastAsia"/>
          <w:color w:val="000000" w:themeColor="text1"/>
          <w:sz w:val="52"/>
          <w:highlight w:val="none"/>
        </w:rPr>
        <w:t>其 他 格 式</w:t>
      </w:r>
      <w:bookmarkEnd w:id="1917"/>
      <w:bookmarkEnd w:id="1961"/>
      <w:bookmarkEnd w:id="1962"/>
      <w:bookmarkEnd w:id="1963"/>
    </w:p>
    <w:p w14:paraId="2F1678E3">
      <w:pPr>
        <w:jc w:val="center"/>
        <w:rPr>
          <w:rFonts w:ascii="宋体" w:hAnsi="宋体"/>
          <w:b/>
          <w:color w:val="000000" w:themeColor="text1"/>
          <w:sz w:val="28"/>
          <w:highlight w:val="none"/>
        </w:rPr>
      </w:pPr>
      <w:r>
        <w:rPr>
          <w:rFonts w:hint="eastAsia" w:ascii="宋体" w:hAnsi="宋体"/>
          <w:b/>
          <w:color w:val="000000" w:themeColor="text1"/>
          <w:sz w:val="36"/>
          <w:highlight w:val="none"/>
        </w:rPr>
        <w:t>（以下文件勿装订在投标文件内</w:t>
      </w:r>
      <w:r>
        <w:rPr>
          <w:rFonts w:ascii="宋体" w:hAnsi="宋体"/>
          <w:b/>
          <w:color w:val="000000" w:themeColor="text1"/>
          <w:sz w:val="36"/>
          <w:highlight w:val="none"/>
        </w:rPr>
        <w:t>）</w:t>
      </w:r>
    </w:p>
    <w:p w14:paraId="64D1F462">
      <w:pPr>
        <w:rPr>
          <w:rFonts w:ascii="宋体" w:hAnsi="宋体"/>
          <w:color w:val="000000" w:themeColor="text1"/>
          <w:highlight w:val="none"/>
        </w:rPr>
      </w:pPr>
    </w:p>
    <w:p w14:paraId="4237A902">
      <w:pPr>
        <w:rPr>
          <w:rFonts w:ascii="宋体" w:hAnsi="宋体"/>
          <w:color w:val="000000" w:themeColor="text1"/>
          <w:highlight w:val="none"/>
        </w:rPr>
      </w:pPr>
    </w:p>
    <w:p w14:paraId="6D298A3D">
      <w:pPr>
        <w:rPr>
          <w:rFonts w:ascii="宋体" w:hAnsi="宋体"/>
          <w:color w:val="000000" w:themeColor="text1"/>
          <w:highlight w:val="none"/>
        </w:rPr>
      </w:pPr>
    </w:p>
    <w:p w14:paraId="388091E5">
      <w:pPr>
        <w:rPr>
          <w:rFonts w:ascii="宋体" w:hAnsi="宋体"/>
          <w:color w:val="000000" w:themeColor="text1"/>
          <w:highlight w:val="none"/>
        </w:rPr>
      </w:pPr>
    </w:p>
    <w:p w14:paraId="48849E19">
      <w:pPr>
        <w:rPr>
          <w:rFonts w:ascii="宋体" w:hAnsi="宋体"/>
          <w:color w:val="000000" w:themeColor="text1"/>
          <w:highlight w:val="none"/>
        </w:rPr>
      </w:pPr>
    </w:p>
    <w:p w14:paraId="0B7F5E97">
      <w:pPr>
        <w:rPr>
          <w:rFonts w:ascii="宋体" w:hAnsi="宋体"/>
          <w:color w:val="000000" w:themeColor="text1"/>
          <w:highlight w:val="none"/>
        </w:rPr>
      </w:pPr>
    </w:p>
    <w:p w14:paraId="4D1B6673">
      <w:pPr>
        <w:rPr>
          <w:rFonts w:ascii="宋体" w:hAnsi="宋体"/>
          <w:color w:val="000000" w:themeColor="text1"/>
          <w:highlight w:val="none"/>
        </w:rPr>
      </w:pPr>
    </w:p>
    <w:p w14:paraId="2847C38D">
      <w:pPr>
        <w:rPr>
          <w:rFonts w:ascii="宋体" w:hAnsi="宋体"/>
          <w:color w:val="000000" w:themeColor="text1"/>
          <w:highlight w:val="none"/>
        </w:rPr>
      </w:pPr>
    </w:p>
    <w:p w14:paraId="1B3FDA5F">
      <w:pPr>
        <w:rPr>
          <w:rFonts w:ascii="宋体" w:hAnsi="宋体"/>
          <w:color w:val="000000" w:themeColor="text1"/>
          <w:highlight w:val="none"/>
        </w:rPr>
      </w:pPr>
    </w:p>
    <w:p w14:paraId="42336DB8">
      <w:pPr>
        <w:rPr>
          <w:rFonts w:ascii="宋体" w:hAnsi="宋体"/>
          <w:color w:val="000000" w:themeColor="text1"/>
          <w:highlight w:val="none"/>
        </w:rPr>
      </w:pPr>
    </w:p>
    <w:p w14:paraId="75D5E4CB">
      <w:pPr>
        <w:rPr>
          <w:rFonts w:ascii="宋体" w:hAnsi="宋体"/>
          <w:color w:val="000000" w:themeColor="text1"/>
          <w:highlight w:val="none"/>
        </w:rPr>
      </w:pPr>
    </w:p>
    <w:p w14:paraId="0BF6DA64">
      <w:pPr>
        <w:rPr>
          <w:rFonts w:ascii="宋体" w:hAnsi="宋体"/>
          <w:color w:val="000000" w:themeColor="text1"/>
          <w:highlight w:val="none"/>
        </w:rPr>
      </w:pPr>
    </w:p>
    <w:p w14:paraId="7A76B752">
      <w:pPr>
        <w:rPr>
          <w:rFonts w:ascii="宋体" w:hAnsi="宋体"/>
          <w:color w:val="000000" w:themeColor="text1"/>
          <w:highlight w:val="none"/>
        </w:rPr>
      </w:pPr>
    </w:p>
    <w:p w14:paraId="32F0A981">
      <w:pPr>
        <w:rPr>
          <w:rFonts w:ascii="宋体" w:hAnsi="宋体"/>
          <w:color w:val="000000" w:themeColor="text1"/>
          <w:highlight w:val="none"/>
        </w:rPr>
      </w:pPr>
    </w:p>
    <w:p w14:paraId="09F2FB89">
      <w:pPr>
        <w:rPr>
          <w:rFonts w:ascii="宋体" w:hAnsi="宋体"/>
          <w:color w:val="000000" w:themeColor="text1"/>
          <w:highlight w:val="none"/>
        </w:rPr>
      </w:pPr>
    </w:p>
    <w:p w14:paraId="50750E8D">
      <w:pPr>
        <w:rPr>
          <w:rFonts w:ascii="宋体" w:hAnsi="宋体"/>
          <w:color w:val="000000" w:themeColor="text1"/>
          <w:highlight w:val="none"/>
        </w:rPr>
      </w:pPr>
    </w:p>
    <w:p w14:paraId="6BEBB5A2">
      <w:pPr>
        <w:rPr>
          <w:rFonts w:ascii="宋体" w:hAnsi="宋体"/>
          <w:color w:val="000000" w:themeColor="text1"/>
          <w:highlight w:val="none"/>
        </w:rPr>
      </w:pPr>
    </w:p>
    <w:p w14:paraId="53D8A545">
      <w:pPr>
        <w:rPr>
          <w:rFonts w:ascii="宋体" w:hAnsi="宋体"/>
          <w:color w:val="000000" w:themeColor="text1"/>
          <w:highlight w:val="none"/>
        </w:rPr>
      </w:pPr>
    </w:p>
    <w:p w14:paraId="3F452C31">
      <w:pPr>
        <w:rPr>
          <w:rFonts w:ascii="宋体" w:hAnsi="宋体"/>
          <w:color w:val="000000" w:themeColor="text1"/>
          <w:highlight w:val="none"/>
        </w:rPr>
      </w:pPr>
    </w:p>
    <w:p w14:paraId="2A1FF44F">
      <w:pPr>
        <w:rPr>
          <w:rFonts w:hint="eastAsia"/>
          <w:b/>
          <w:bCs/>
          <w:color w:val="000000" w:themeColor="text1"/>
          <w:sz w:val="44"/>
          <w:szCs w:val="44"/>
          <w:highlight w:val="none"/>
        </w:rPr>
      </w:pPr>
      <w:r>
        <w:rPr>
          <w:rFonts w:hint="eastAsia"/>
          <w:b/>
          <w:bCs/>
          <w:color w:val="000000" w:themeColor="text1"/>
          <w:sz w:val="44"/>
          <w:szCs w:val="44"/>
          <w:highlight w:val="none"/>
        </w:rPr>
        <w:br w:type="page"/>
      </w:r>
    </w:p>
    <w:p w14:paraId="3B6E7FCC">
      <w:pPr>
        <w:jc w:val="center"/>
        <w:rPr>
          <w:rFonts w:hint="eastAsia"/>
          <w:b/>
          <w:bCs/>
          <w:color w:val="000000" w:themeColor="text1"/>
          <w:szCs w:val="21"/>
          <w:highlight w:val="none"/>
        </w:rPr>
      </w:pPr>
      <w:r>
        <w:rPr>
          <w:rFonts w:hint="eastAsia"/>
          <w:b/>
          <w:bCs/>
          <w:color w:val="000000" w:themeColor="text1"/>
          <w:sz w:val="44"/>
          <w:szCs w:val="44"/>
          <w:highlight w:val="none"/>
        </w:rPr>
        <w:t>购买标书登记表</w:t>
      </w:r>
    </w:p>
    <w:p w14:paraId="0B4E4DD2">
      <w:pPr>
        <w:jc w:val="center"/>
        <w:rPr>
          <w:rFonts w:hint="eastAsia"/>
          <w:color w:val="000000" w:themeColor="text1"/>
          <w:szCs w:val="21"/>
          <w:highlight w:val="none"/>
        </w:rPr>
      </w:pPr>
    </w:p>
    <w:tbl>
      <w:tblPr>
        <w:tblStyle w:val="4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2112"/>
        <w:gridCol w:w="635"/>
        <w:gridCol w:w="1133"/>
        <w:gridCol w:w="416"/>
        <w:gridCol w:w="2479"/>
      </w:tblGrid>
      <w:tr w14:paraId="57CC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85" w:type="dxa"/>
            <w:noWrap w:val="0"/>
            <w:vAlign w:val="center"/>
          </w:tcPr>
          <w:p w14:paraId="625FE311">
            <w:pPr>
              <w:jc w:val="center"/>
              <w:rPr>
                <w:rFonts w:hint="eastAsia"/>
                <w:color w:val="000000" w:themeColor="text1"/>
                <w:sz w:val="28"/>
                <w:szCs w:val="28"/>
                <w:highlight w:val="none"/>
              </w:rPr>
            </w:pPr>
            <w:r>
              <w:rPr>
                <w:rFonts w:hint="eastAsia"/>
                <w:color w:val="000000" w:themeColor="text1"/>
                <w:sz w:val="28"/>
                <w:szCs w:val="28"/>
                <w:highlight w:val="none"/>
              </w:rPr>
              <w:t>项目名称</w:t>
            </w:r>
          </w:p>
        </w:tc>
        <w:tc>
          <w:tcPr>
            <w:tcW w:w="6775" w:type="dxa"/>
            <w:gridSpan w:val="5"/>
            <w:noWrap w:val="0"/>
            <w:vAlign w:val="top"/>
          </w:tcPr>
          <w:p w14:paraId="2AB8219B">
            <w:pPr>
              <w:rPr>
                <w:rFonts w:hint="eastAsia"/>
                <w:color w:val="000000" w:themeColor="text1"/>
                <w:sz w:val="28"/>
                <w:szCs w:val="28"/>
                <w:highlight w:val="none"/>
              </w:rPr>
            </w:pPr>
          </w:p>
        </w:tc>
      </w:tr>
      <w:tr w14:paraId="7F48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85" w:type="dxa"/>
            <w:noWrap w:val="0"/>
            <w:vAlign w:val="center"/>
          </w:tcPr>
          <w:p w14:paraId="53EF616B">
            <w:pPr>
              <w:jc w:val="center"/>
              <w:rPr>
                <w:rFonts w:hint="eastAsia"/>
                <w:color w:val="000000" w:themeColor="text1"/>
                <w:sz w:val="28"/>
                <w:szCs w:val="28"/>
                <w:highlight w:val="none"/>
              </w:rPr>
            </w:pPr>
            <w:r>
              <w:rPr>
                <w:rFonts w:hint="eastAsia"/>
                <w:color w:val="000000" w:themeColor="text1"/>
                <w:sz w:val="28"/>
                <w:szCs w:val="28"/>
                <w:highlight w:val="none"/>
                <w:lang w:val="en-US" w:eastAsia="zh-CN"/>
              </w:rPr>
              <w:t>项目</w:t>
            </w:r>
            <w:r>
              <w:rPr>
                <w:rFonts w:hint="eastAsia"/>
                <w:color w:val="000000" w:themeColor="text1"/>
                <w:sz w:val="28"/>
                <w:szCs w:val="28"/>
                <w:highlight w:val="none"/>
              </w:rPr>
              <w:t>编号</w:t>
            </w:r>
          </w:p>
        </w:tc>
        <w:tc>
          <w:tcPr>
            <w:tcW w:w="2747" w:type="dxa"/>
            <w:gridSpan w:val="2"/>
            <w:noWrap w:val="0"/>
            <w:vAlign w:val="top"/>
          </w:tcPr>
          <w:p w14:paraId="22E30F63">
            <w:pPr>
              <w:rPr>
                <w:rFonts w:hint="eastAsia"/>
                <w:color w:val="000000" w:themeColor="text1"/>
                <w:sz w:val="28"/>
                <w:szCs w:val="28"/>
                <w:highlight w:val="none"/>
              </w:rPr>
            </w:pPr>
          </w:p>
        </w:tc>
        <w:tc>
          <w:tcPr>
            <w:tcW w:w="1549" w:type="dxa"/>
            <w:gridSpan w:val="2"/>
            <w:noWrap w:val="0"/>
            <w:vAlign w:val="center"/>
          </w:tcPr>
          <w:p w14:paraId="5F447849">
            <w:pPr>
              <w:jc w:val="center"/>
              <w:rPr>
                <w:rFonts w:hint="default" w:eastAsia="宋体"/>
                <w:color w:val="000000" w:themeColor="text1"/>
                <w:sz w:val="28"/>
                <w:szCs w:val="28"/>
                <w:highlight w:val="none"/>
                <w:lang w:val="en-US" w:eastAsia="zh-CN"/>
              </w:rPr>
            </w:pPr>
            <w:r>
              <w:rPr>
                <w:rFonts w:hint="eastAsia"/>
                <w:color w:val="000000" w:themeColor="text1"/>
                <w:sz w:val="28"/>
                <w:szCs w:val="28"/>
                <w:highlight w:val="none"/>
              </w:rPr>
              <w:t>购买时间</w:t>
            </w:r>
          </w:p>
        </w:tc>
        <w:tc>
          <w:tcPr>
            <w:tcW w:w="2479" w:type="dxa"/>
            <w:noWrap w:val="0"/>
            <w:vAlign w:val="top"/>
          </w:tcPr>
          <w:p w14:paraId="4E8CED9F">
            <w:pPr>
              <w:rPr>
                <w:rFonts w:hint="eastAsia"/>
                <w:color w:val="000000" w:themeColor="text1"/>
                <w:sz w:val="28"/>
                <w:szCs w:val="28"/>
                <w:highlight w:val="none"/>
              </w:rPr>
            </w:pPr>
          </w:p>
        </w:tc>
      </w:tr>
      <w:tr w14:paraId="0076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85" w:type="dxa"/>
            <w:noWrap w:val="0"/>
            <w:vAlign w:val="center"/>
          </w:tcPr>
          <w:p w14:paraId="291F4781">
            <w:pPr>
              <w:jc w:val="center"/>
              <w:rPr>
                <w:rFonts w:hint="eastAsia"/>
                <w:color w:val="000000" w:themeColor="text1"/>
                <w:sz w:val="28"/>
                <w:szCs w:val="28"/>
                <w:highlight w:val="none"/>
              </w:rPr>
            </w:pPr>
            <w:r>
              <w:rPr>
                <w:rFonts w:hint="eastAsia"/>
                <w:color w:val="000000" w:themeColor="text1"/>
                <w:sz w:val="28"/>
                <w:szCs w:val="28"/>
                <w:highlight w:val="none"/>
              </w:rPr>
              <w:t>投标商名称</w:t>
            </w:r>
          </w:p>
        </w:tc>
        <w:tc>
          <w:tcPr>
            <w:tcW w:w="6775" w:type="dxa"/>
            <w:gridSpan w:val="5"/>
            <w:noWrap w:val="0"/>
            <w:vAlign w:val="top"/>
          </w:tcPr>
          <w:p w14:paraId="61044025">
            <w:pPr>
              <w:rPr>
                <w:rFonts w:hint="eastAsia"/>
                <w:color w:val="000000" w:themeColor="text1"/>
                <w:sz w:val="28"/>
                <w:szCs w:val="28"/>
                <w:highlight w:val="none"/>
              </w:rPr>
            </w:pPr>
          </w:p>
        </w:tc>
      </w:tr>
      <w:tr w14:paraId="6F6E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85" w:type="dxa"/>
            <w:noWrap w:val="0"/>
            <w:vAlign w:val="center"/>
          </w:tcPr>
          <w:p w14:paraId="46807F71">
            <w:pPr>
              <w:jc w:val="center"/>
              <w:rPr>
                <w:rFonts w:hint="eastAsia"/>
                <w:color w:val="000000" w:themeColor="text1"/>
                <w:sz w:val="28"/>
                <w:szCs w:val="28"/>
                <w:highlight w:val="none"/>
              </w:rPr>
            </w:pPr>
            <w:r>
              <w:rPr>
                <w:rFonts w:hint="eastAsia"/>
                <w:color w:val="000000" w:themeColor="text1"/>
                <w:sz w:val="28"/>
                <w:szCs w:val="28"/>
                <w:highlight w:val="none"/>
              </w:rPr>
              <w:t>地址</w:t>
            </w:r>
          </w:p>
        </w:tc>
        <w:tc>
          <w:tcPr>
            <w:tcW w:w="6775" w:type="dxa"/>
            <w:gridSpan w:val="5"/>
            <w:noWrap w:val="0"/>
            <w:vAlign w:val="top"/>
          </w:tcPr>
          <w:p w14:paraId="152BC9DE">
            <w:pPr>
              <w:rPr>
                <w:rFonts w:hint="eastAsia"/>
                <w:color w:val="000000" w:themeColor="text1"/>
                <w:sz w:val="28"/>
                <w:szCs w:val="28"/>
                <w:highlight w:val="none"/>
              </w:rPr>
            </w:pPr>
          </w:p>
        </w:tc>
      </w:tr>
      <w:tr w14:paraId="0C3C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85" w:type="dxa"/>
            <w:noWrap w:val="0"/>
            <w:vAlign w:val="center"/>
          </w:tcPr>
          <w:p w14:paraId="5D7766B1">
            <w:pPr>
              <w:jc w:val="center"/>
              <w:rPr>
                <w:rFonts w:hint="eastAsia"/>
                <w:color w:val="000000" w:themeColor="text1"/>
                <w:sz w:val="28"/>
                <w:szCs w:val="28"/>
                <w:highlight w:val="none"/>
              </w:rPr>
            </w:pPr>
            <w:r>
              <w:rPr>
                <w:rFonts w:hint="eastAsia"/>
                <w:color w:val="000000" w:themeColor="text1"/>
                <w:sz w:val="28"/>
                <w:szCs w:val="28"/>
                <w:highlight w:val="none"/>
              </w:rPr>
              <w:t>电话</w:t>
            </w:r>
          </w:p>
        </w:tc>
        <w:tc>
          <w:tcPr>
            <w:tcW w:w="2112" w:type="dxa"/>
            <w:noWrap w:val="0"/>
            <w:vAlign w:val="top"/>
          </w:tcPr>
          <w:p w14:paraId="0C24A202">
            <w:pPr>
              <w:rPr>
                <w:rFonts w:hint="eastAsia"/>
                <w:color w:val="000000" w:themeColor="text1"/>
                <w:sz w:val="28"/>
                <w:szCs w:val="28"/>
                <w:highlight w:val="none"/>
              </w:rPr>
            </w:pPr>
          </w:p>
        </w:tc>
        <w:tc>
          <w:tcPr>
            <w:tcW w:w="1768" w:type="dxa"/>
            <w:gridSpan w:val="2"/>
            <w:noWrap w:val="0"/>
            <w:vAlign w:val="center"/>
          </w:tcPr>
          <w:p w14:paraId="6E9E81A5">
            <w:pPr>
              <w:jc w:val="center"/>
              <w:rPr>
                <w:rFonts w:hint="eastAsia"/>
                <w:color w:val="000000" w:themeColor="text1"/>
                <w:sz w:val="28"/>
                <w:szCs w:val="28"/>
                <w:highlight w:val="none"/>
              </w:rPr>
            </w:pPr>
            <w:r>
              <w:rPr>
                <w:rFonts w:hint="eastAsia"/>
                <w:color w:val="000000" w:themeColor="text1"/>
                <w:sz w:val="28"/>
                <w:szCs w:val="28"/>
                <w:highlight w:val="none"/>
              </w:rPr>
              <w:t>传真</w:t>
            </w:r>
          </w:p>
        </w:tc>
        <w:tc>
          <w:tcPr>
            <w:tcW w:w="2895" w:type="dxa"/>
            <w:gridSpan w:val="2"/>
            <w:noWrap w:val="0"/>
            <w:vAlign w:val="top"/>
          </w:tcPr>
          <w:p w14:paraId="16E97C45">
            <w:pPr>
              <w:rPr>
                <w:rFonts w:hint="eastAsia"/>
                <w:color w:val="000000" w:themeColor="text1"/>
                <w:sz w:val="28"/>
                <w:szCs w:val="28"/>
                <w:highlight w:val="none"/>
              </w:rPr>
            </w:pPr>
          </w:p>
        </w:tc>
      </w:tr>
      <w:tr w14:paraId="0C6F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85" w:type="dxa"/>
            <w:noWrap w:val="0"/>
            <w:vAlign w:val="center"/>
          </w:tcPr>
          <w:p w14:paraId="178D9165">
            <w:pPr>
              <w:jc w:val="center"/>
              <w:rPr>
                <w:rFonts w:hint="eastAsia"/>
                <w:color w:val="000000" w:themeColor="text1"/>
                <w:sz w:val="28"/>
                <w:szCs w:val="28"/>
                <w:highlight w:val="none"/>
              </w:rPr>
            </w:pPr>
            <w:r>
              <w:rPr>
                <w:rFonts w:hint="eastAsia"/>
                <w:color w:val="000000" w:themeColor="text1"/>
                <w:sz w:val="28"/>
                <w:szCs w:val="28"/>
                <w:highlight w:val="none"/>
              </w:rPr>
              <w:t>联系人</w:t>
            </w:r>
          </w:p>
        </w:tc>
        <w:tc>
          <w:tcPr>
            <w:tcW w:w="2112" w:type="dxa"/>
            <w:noWrap w:val="0"/>
            <w:vAlign w:val="top"/>
          </w:tcPr>
          <w:p w14:paraId="46C0FB33">
            <w:pPr>
              <w:rPr>
                <w:rFonts w:hint="eastAsia"/>
                <w:color w:val="000000" w:themeColor="text1"/>
                <w:sz w:val="28"/>
                <w:szCs w:val="28"/>
                <w:highlight w:val="none"/>
              </w:rPr>
            </w:pPr>
          </w:p>
        </w:tc>
        <w:tc>
          <w:tcPr>
            <w:tcW w:w="1768" w:type="dxa"/>
            <w:gridSpan w:val="2"/>
            <w:noWrap w:val="0"/>
            <w:vAlign w:val="center"/>
          </w:tcPr>
          <w:p w14:paraId="05585A89">
            <w:pPr>
              <w:jc w:val="center"/>
              <w:rPr>
                <w:rFonts w:hint="eastAsia"/>
                <w:color w:val="000000" w:themeColor="text1"/>
                <w:sz w:val="28"/>
                <w:szCs w:val="28"/>
                <w:highlight w:val="none"/>
              </w:rPr>
            </w:pPr>
            <w:r>
              <w:rPr>
                <w:rFonts w:hint="eastAsia"/>
                <w:color w:val="000000" w:themeColor="text1"/>
                <w:sz w:val="28"/>
                <w:szCs w:val="28"/>
                <w:highlight w:val="none"/>
              </w:rPr>
              <w:t>手机</w:t>
            </w:r>
          </w:p>
        </w:tc>
        <w:tc>
          <w:tcPr>
            <w:tcW w:w="2895" w:type="dxa"/>
            <w:gridSpan w:val="2"/>
            <w:noWrap w:val="0"/>
            <w:vAlign w:val="top"/>
          </w:tcPr>
          <w:p w14:paraId="704B442D">
            <w:pPr>
              <w:rPr>
                <w:rFonts w:hint="eastAsia"/>
                <w:color w:val="000000" w:themeColor="text1"/>
                <w:sz w:val="28"/>
                <w:szCs w:val="28"/>
                <w:highlight w:val="none"/>
              </w:rPr>
            </w:pPr>
          </w:p>
        </w:tc>
      </w:tr>
      <w:tr w14:paraId="5CBA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85" w:type="dxa"/>
            <w:noWrap w:val="0"/>
            <w:vAlign w:val="center"/>
          </w:tcPr>
          <w:p w14:paraId="2AFC730E">
            <w:pPr>
              <w:jc w:val="center"/>
              <w:rPr>
                <w:rFonts w:hint="eastAsia"/>
                <w:color w:val="000000" w:themeColor="text1"/>
                <w:sz w:val="28"/>
                <w:szCs w:val="28"/>
                <w:highlight w:val="none"/>
              </w:rPr>
            </w:pPr>
            <w:r>
              <w:rPr>
                <w:rFonts w:hint="eastAsia"/>
                <w:color w:val="000000" w:themeColor="text1"/>
                <w:sz w:val="28"/>
                <w:szCs w:val="28"/>
                <w:highlight w:val="none"/>
              </w:rPr>
              <w:t>职务</w:t>
            </w:r>
          </w:p>
        </w:tc>
        <w:tc>
          <w:tcPr>
            <w:tcW w:w="2112" w:type="dxa"/>
            <w:noWrap w:val="0"/>
            <w:vAlign w:val="top"/>
          </w:tcPr>
          <w:p w14:paraId="2C25A56C">
            <w:pPr>
              <w:rPr>
                <w:rFonts w:hint="eastAsia"/>
                <w:color w:val="000000" w:themeColor="text1"/>
                <w:sz w:val="28"/>
                <w:szCs w:val="28"/>
                <w:highlight w:val="none"/>
              </w:rPr>
            </w:pPr>
          </w:p>
        </w:tc>
        <w:tc>
          <w:tcPr>
            <w:tcW w:w="1768" w:type="dxa"/>
            <w:gridSpan w:val="2"/>
            <w:noWrap w:val="0"/>
            <w:vAlign w:val="center"/>
          </w:tcPr>
          <w:p w14:paraId="498DE243">
            <w:pPr>
              <w:jc w:val="center"/>
              <w:rPr>
                <w:rFonts w:hint="eastAsia"/>
                <w:color w:val="000000" w:themeColor="text1"/>
                <w:sz w:val="28"/>
                <w:szCs w:val="28"/>
                <w:highlight w:val="none"/>
              </w:rPr>
            </w:pPr>
            <w:r>
              <w:rPr>
                <w:rFonts w:hint="eastAsia"/>
                <w:color w:val="000000" w:themeColor="text1"/>
                <w:sz w:val="28"/>
                <w:szCs w:val="28"/>
                <w:highlight w:val="none"/>
              </w:rPr>
              <w:t>电子邮件</w:t>
            </w:r>
          </w:p>
        </w:tc>
        <w:tc>
          <w:tcPr>
            <w:tcW w:w="2895" w:type="dxa"/>
            <w:gridSpan w:val="2"/>
            <w:noWrap w:val="0"/>
            <w:vAlign w:val="top"/>
          </w:tcPr>
          <w:p w14:paraId="73881D12">
            <w:pPr>
              <w:rPr>
                <w:rFonts w:hint="eastAsia"/>
                <w:color w:val="000000" w:themeColor="text1"/>
                <w:sz w:val="28"/>
                <w:szCs w:val="28"/>
                <w:highlight w:val="none"/>
              </w:rPr>
            </w:pPr>
          </w:p>
        </w:tc>
      </w:tr>
      <w:tr w14:paraId="1B1C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85" w:type="dxa"/>
            <w:noWrap w:val="0"/>
            <w:vAlign w:val="center"/>
          </w:tcPr>
          <w:p w14:paraId="61CD695C">
            <w:pPr>
              <w:jc w:val="center"/>
              <w:rPr>
                <w:rFonts w:hint="eastAsia"/>
                <w:color w:val="000000" w:themeColor="text1"/>
                <w:sz w:val="28"/>
                <w:szCs w:val="28"/>
                <w:highlight w:val="none"/>
              </w:rPr>
            </w:pPr>
            <w:r>
              <w:rPr>
                <w:rFonts w:hint="eastAsia"/>
                <w:color w:val="000000" w:themeColor="text1"/>
                <w:sz w:val="28"/>
                <w:szCs w:val="28"/>
                <w:highlight w:val="none"/>
              </w:rPr>
              <w:t>拟投设备</w:t>
            </w:r>
          </w:p>
        </w:tc>
        <w:tc>
          <w:tcPr>
            <w:tcW w:w="6775" w:type="dxa"/>
            <w:gridSpan w:val="5"/>
            <w:noWrap w:val="0"/>
            <w:vAlign w:val="top"/>
          </w:tcPr>
          <w:p w14:paraId="3D40D055">
            <w:pPr>
              <w:rPr>
                <w:rFonts w:hint="eastAsia"/>
                <w:color w:val="000000" w:themeColor="text1"/>
                <w:sz w:val="28"/>
                <w:szCs w:val="28"/>
                <w:highlight w:val="none"/>
              </w:rPr>
            </w:pPr>
          </w:p>
        </w:tc>
      </w:tr>
      <w:tr w14:paraId="7BD9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85" w:type="dxa"/>
            <w:noWrap w:val="0"/>
            <w:vAlign w:val="center"/>
          </w:tcPr>
          <w:p w14:paraId="149D7EA6">
            <w:pPr>
              <w:jc w:val="center"/>
              <w:rPr>
                <w:rFonts w:hint="eastAsia"/>
                <w:color w:val="000000" w:themeColor="text1"/>
                <w:sz w:val="28"/>
                <w:szCs w:val="28"/>
                <w:highlight w:val="none"/>
              </w:rPr>
            </w:pPr>
            <w:r>
              <w:rPr>
                <w:rFonts w:hint="eastAsia"/>
                <w:color w:val="000000" w:themeColor="text1"/>
                <w:sz w:val="28"/>
                <w:szCs w:val="28"/>
                <w:highlight w:val="none"/>
              </w:rPr>
              <w:t>制造厂商</w:t>
            </w:r>
          </w:p>
        </w:tc>
        <w:tc>
          <w:tcPr>
            <w:tcW w:w="6775" w:type="dxa"/>
            <w:gridSpan w:val="5"/>
            <w:noWrap w:val="0"/>
            <w:vAlign w:val="top"/>
          </w:tcPr>
          <w:p w14:paraId="2648BC72">
            <w:pPr>
              <w:rPr>
                <w:rFonts w:hint="eastAsia"/>
                <w:color w:val="000000" w:themeColor="text1"/>
                <w:sz w:val="28"/>
                <w:szCs w:val="28"/>
                <w:highlight w:val="none"/>
              </w:rPr>
            </w:pPr>
          </w:p>
        </w:tc>
      </w:tr>
      <w:tr w14:paraId="4314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585" w:type="dxa"/>
            <w:noWrap w:val="0"/>
            <w:vAlign w:val="center"/>
          </w:tcPr>
          <w:p w14:paraId="5EC527BA">
            <w:pPr>
              <w:jc w:val="center"/>
              <w:rPr>
                <w:rFonts w:hint="eastAsia"/>
                <w:color w:val="000000" w:themeColor="text1"/>
                <w:sz w:val="28"/>
                <w:szCs w:val="28"/>
                <w:highlight w:val="none"/>
              </w:rPr>
            </w:pPr>
            <w:r>
              <w:rPr>
                <w:rFonts w:hint="eastAsia"/>
                <w:color w:val="000000" w:themeColor="text1"/>
                <w:sz w:val="28"/>
                <w:szCs w:val="28"/>
                <w:highlight w:val="none"/>
              </w:rPr>
              <w:t>经营范围</w:t>
            </w:r>
          </w:p>
        </w:tc>
        <w:tc>
          <w:tcPr>
            <w:tcW w:w="6775" w:type="dxa"/>
            <w:gridSpan w:val="5"/>
            <w:noWrap w:val="0"/>
            <w:vAlign w:val="top"/>
          </w:tcPr>
          <w:p w14:paraId="7D1FC37E">
            <w:pPr>
              <w:rPr>
                <w:rFonts w:hint="eastAsia"/>
                <w:color w:val="000000" w:themeColor="text1"/>
                <w:sz w:val="28"/>
                <w:szCs w:val="28"/>
                <w:highlight w:val="none"/>
              </w:rPr>
            </w:pPr>
          </w:p>
        </w:tc>
      </w:tr>
    </w:tbl>
    <w:p w14:paraId="648D1F72">
      <w:pPr>
        <w:spacing w:line="360" w:lineRule="auto"/>
        <w:jc w:val="center"/>
        <w:rPr>
          <w:rFonts w:hint="eastAsia" w:ascii="宋体" w:hAnsi="宋体"/>
          <w:b/>
          <w:color w:val="000000" w:themeColor="text1"/>
          <w:sz w:val="24"/>
          <w:highlight w:val="none"/>
        </w:rPr>
      </w:pPr>
    </w:p>
    <w:p w14:paraId="5A9BBDEA">
      <w:pPr>
        <w:spacing w:line="360" w:lineRule="auto"/>
        <w:jc w:val="center"/>
        <w:rPr>
          <w:rFonts w:hint="eastAsia" w:ascii="宋体" w:hAnsi="宋体"/>
          <w:b/>
          <w:color w:val="000000" w:themeColor="text1"/>
          <w:sz w:val="24"/>
          <w:highlight w:val="none"/>
        </w:rPr>
      </w:pPr>
    </w:p>
    <w:p w14:paraId="22DAFCEE">
      <w:pPr>
        <w:spacing w:line="360" w:lineRule="auto"/>
        <w:jc w:val="center"/>
        <w:rPr>
          <w:rFonts w:hint="eastAsia" w:ascii="宋体" w:hAnsi="宋体"/>
          <w:b/>
          <w:color w:val="000000" w:themeColor="text1"/>
          <w:sz w:val="24"/>
          <w:highlight w:val="none"/>
        </w:rPr>
      </w:pPr>
    </w:p>
    <w:p w14:paraId="12A35881">
      <w:pPr>
        <w:spacing w:line="360" w:lineRule="auto"/>
        <w:jc w:val="center"/>
        <w:rPr>
          <w:rFonts w:hint="eastAsia" w:ascii="宋体" w:hAnsi="宋体"/>
          <w:b/>
          <w:color w:val="000000" w:themeColor="text1"/>
          <w:sz w:val="24"/>
          <w:highlight w:val="none"/>
        </w:rPr>
      </w:pPr>
    </w:p>
    <w:p w14:paraId="02952131">
      <w:pPr>
        <w:spacing w:line="360" w:lineRule="auto"/>
        <w:jc w:val="center"/>
        <w:rPr>
          <w:rFonts w:hint="eastAsia" w:ascii="宋体" w:hAnsi="宋体"/>
          <w:b/>
          <w:color w:val="000000" w:themeColor="text1"/>
          <w:sz w:val="24"/>
          <w:highlight w:val="none"/>
        </w:rPr>
      </w:pPr>
    </w:p>
    <w:p w14:paraId="4C2D5CDB">
      <w:pPr>
        <w:rPr>
          <w:rFonts w:hint="eastAsia" w:ascii="宋体" w:hAnsi="宋体"/>
          <w:b/>
          <w:color w:val="000000" w:themeColor="text1"/>
          <w:sz w:val="24"/>
          <w:highlight w:val="none"/>
        </w:rPr>
      </w:pPr>
      <w:r>
        <w:rPr>
          <w:rFonts w:hint="eastAsia" w:ascii="宋体" w:hAnsi="宋体"/>
          <w:b/>
          <w:color w:val="000000" w:themeColor="text1"/>
          <w:sz w:val="24"/>
          <w:highlight w:val="none"/>
        </w:rPr>
        <w:br w:type="page"/>
      </w:r>
    </w:p>
    <w:p w14:paraId="11BA2D73">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询问函、质疑函格式</w:t>
      </w:r>
    </w:p>
    <w:p w14:paraId="4653F27F">
      <w:pPr>
        <w:pStyle w:val="41"/>
        <w:snapToGrid w:val="0"/>
        <w:spacing w:before="0" w:beforeAutospacing="0" w:after="0" w:afterAutospacing="0" w:line="360" w:lineRule="auto"/>
        <w:jc w:val="both"/>
        <w:rPr>
          <w:color w:val="000000" w:themeColor="text1"/>
          <w:szCs w:val="21"/>
          <w:highlight w:val="none"/>
        </w:rPr>
      </w:pPr>
    </w:p>
    <w:p w14:paraId="7EAD5B14">
      <w:pPr>
        <w:snapToGrid w:val="0"/>
        <w:spacing w:line="360" w:lineRule="auto"/>
        <w:ind w:firstLine="424" w:firstLineChars="201"/>
        <w:rPr>
          <w:rFonts w:ascii="宋体" w:hAnsi="宋体"/>
          <w:b/>
          <w:color w:val="000000" w:themeColor="text1"/>
          <w:szCs w:val="21"/>
          <w:highlight w:val="none"/>
        </w:rPr>
      </w:pPr>
      <w:r>
        <w:rPr>
          <w:rFonts w:hint="eastAsia" w:ascii="宋体" w:hAnsi="宋体"/>
          <w:b/>
          <w:color w:val="000000" w:themeColor="text1"/>
          <w:szCs w:val="21"/>
          <w:highlight w:val="none"/>
        </w:rPr>
        <w:t>说明：本部分格式为投标供应商提交询问函、质疑函、投诉函时使用，不属于投标文件格式的组成部分。</w:t>
      </w:r>
    </w:p>
    <w:p w14:paraId="4E01661D">
      <w:pPr>
        <w:pStyle w:val="41"/>
        <w:snapToGrid w:val="0"/>
        <w:spacing w:before="0" w:beforeAutospacing="0" w:after="0" w:afterAutospacing="0" w:line="360" w:lineRule="auto"/>
        <w:jc w:val="both"/>
        <w:rPr>
          <w:color w:val="000000" w:themeColor="text1"/>
          <w:szCs w:val="21"/>
          <w:highlight w:val="none"/>
        </w:rPr>
      </w:pPr>
    </w:p>
    <w:p w14:paraId="2D5AC5F9">
      <w:pPr>
        <w:pStyle w:val="41"/>
        <w:snapToGrid w:val="0"/>
        <w:spacing w:before="0" w:beforeAutospacing="0" w:after="0" w:afterAutospacing="0" w:line="360" w:lineRule="auto"/>
        <w:jc w:val="both"/>
        <w:rPr>
          <w:color w:val="000000" w:themeColor="text1"/>
          <w:highlight w:val="none"/>
        </w:rPr>
      </w:pPr>
      <w:r>
        <w:rPr>
          <w:rFonts w:hint="eastAsia"/>
          <w:color w:val="000000" w:themeColor="text1"/>
          <w:highlight w:val="none"/>
        </w:rPr>
        <w:t>1：询问函格式</w:t>
      </w:r>
    </w:p>
    <w:p w14:paraId="75AC16CB">
      <w:pPr>
        <w:pStyle w:val="41"/>
        <w:spacing w:before="0" w:beforeAutospacing="0" w:after="0" w:afterAutospacing="0" w:line="360" w:lineRule="auto"/>
        <w:jc w:val="center"/>
        <w:rPr>
          <w:rStyle w:val="49"/>
          <w:rFonts w:cs="Times New Roman"/>
          <w:color w:val="000000" w:themeColor="text1"/>
          <w:highlight w:val="none"/>
        </w:rPr>
      </w:pPr>
      <w:r>
        <w:rPr>
          <w:rStyle w:val="49"/>
          <w:rFonts w:hint="eastAsia" w:cs="Times New Roman"/>
          <w:b w:val="0"/>
          <w:color w:val="000000" w:themeColor="text1"/>
          <w:highlight w:val="none"/>
        </w:rPr>
        <w:t>询问函</w:t>
      </w:r>
    </w:p>
    <w:p w14:paraId="2FF47E4E">
      <w:pPr>
        <w:widowControl/>
        <w:tabs>
          <w:tab w:val="left" w:pos="6300"/>
        </w:tabs>
        <w:snapToGrid w:val="0"/>
        <w:spacing w:line="360" w:lineRule="auto"/>
        <w:jc w:val="left"/>
        <w:rPr>
          <w:rFonts w:ascii="宋体" w:hAnsi="宋体"/>
          <w:color w:val="000000" w:themeColor="text1"/>
          <w:highlight w:val="none"/>
        </w:rPr>
      </w:pPr>
      <w:r>
        <w:rPr>
          <w:rFonts w:hint="eastAsia" w:ascii="宋体" w:hAnsi="宋体"/>
          <w:color w:val="000000" w:themeColor="text1"/>
          <w:sz w:val="24"/>
          <w:highlight w:val="none"/>
        </w:rPr>
        <w:t>广东业信采购招标有限公司：</w:t>
      </w:r>
    </w:p>
    <w:p w14:paraId="5AE27642">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我单位已报名并准备参与</w:t>
      </w:r>
      <w:r>
        <w:rPr>
          <w:rFonts w:hint="eastAsia" w:ascii="宋体" w:hAnsi="宋体"/>
          <w:color w:val="000000" w:themeColor="text1"/>
          <w:sz w:val="24"/>
          <w:highlight w:val="none"/>
          <w:u w:val="single"/>
        </w:rPr>
        <w:t>（项目名称）</w:t>
      </w:r>
      <w:r>
        <w:rPr>
          <w:rFonts w:hint="eastAsia" w:ascii="宋体" w:hAnsi="宋体"/>
          <w:color w:val="000000" w:themeColor="text1"/>
          <w:sz w:val="24"/>
          <w:highlight w:val="none"/>
        </w:rPr>
        <w:t>项目（采购文件编号：</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）的投标（或报价）活动，现有以下几个内容（或条款）存在疑问（或无法理解），特提出询问。</w:t>
      </w:r>
    </w:p>
    <w:p w14:paraId="255C5428">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一、_____________________（事项一）</w:t>
      </w:r>
    </w:p>
    <w:p w14:paraId="4F291691">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（1）____________________（问题或条款内容）</w:t>
      </w:r>
    </w:p>
    <w:p w14:paraId="4622F0A5">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（2）____________________（说明疑问或无法理解原因）</w:t>
      </w:r>
    </w:p>
    <w:p w14:paraId="2F2C0F0A">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（3）____________________（建议）</w:t>
      </w:r>
    </w:p>
    <w:p w14:paraId="546172B5">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二、_____________________（事项二）</w:t>
      </w:r>
    </w:p>
    <w:p w14:paraId="01948637">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w:t>
      </w:r>
    </w:p>
    <w:p w14:paraId="4F98BF62">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随附相关证明材料如下：（目录）。</w:t>
      </w:r>
    </w:p>
    <w:p w14:paraId="421332D3">
      <w:pPr>
        <w:widowControl/>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询问人：（公章）</w:t>
      </w:r>
    </w:p>
    <w:p w14:paraId="0165ADBD">
      <w:pPr>
        <w:widowControl/>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法定代表人（负责人）（授权代表）：</w:t>
      </w:r>
    </w:p>
    <w:p w14:paraId="15C4024A">
      <w:pPr>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地址/邮编：</w:t>
      </w:r>
    </w:p>
    <w:p w14:paraId="7987F096">
      <w:pPr>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电话/传真：</w:t>
      </w:r>
    </w:p>
    <w:p w14:paraId="5206DE83">
      <w:pPr>
        <w:spacing w:line="360" w:lineRule="auto"/>
        <w:jc w:val="right"/>
        <w:rPr>
          <w:rFonts w:ascii="宋体" w:hAnsi="宋体"/>
          <w:color w:val="000000" w:themeColor="text1"/>
          <w:sz w:val="24"/>
          <w:highlight w:val="none"/>
        </w:rPr>
      </w:pPr>
      <w:r>
        <w:rPr>
          <w:rFonts w:hint="eastAsia" w:ascii="宋体" w:hAnsi="宋体"/>
          <w:color w:val="000000" w:themeColor="text1"/>
          <w:sz w:val="24"/>
          <w:highlight w:val="none"/>
        </w:rPr>
        <w:t xml:space="preserve"> </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年</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月</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日</w:t>
      </w:r>
    </w:p>
    <w:p w14:paraId="4E29D282">
      <w:pPr>
        <w:snapToGrid w:val="0"/>
        <w:spacing w:line="360" w:lineRule="auto"/>
        <w:ind w:firstLine="432" w:firstLineChars="180"/>
        <w:rPr>
          <w:rFonts w:ascii="宋体" w:hAnsi="宋体"/>
          <w:color w:val="000000" w:themeColor="text1"/>
          <w:sz w:val="24"/>
          <w:highlight w:val="none"/>
        </w:rPr>
      </w:pPr>
    </w:p>
    <w:p w14:paraId="6F66C618">
      <w:pPr>
        <w:pStyle w:val="41"/>
        <w:adjustRightInd w:val="0"/>
        <w:snapToGrid w:val="0"/>
        <w:spacing w:before="0" w:beforeAutospacing="0" w:after="0" w:afterAutospacing="0" w:line="360" w:lineRule="auto"/>
        <w:jc w:val="both"/>
        <w:rPr>
          <w:color w:val="000000" w:themeColor="text1"/>
          <w:highlight w:val="none"/>
        </w:rPr>
      </w:pPr>
      <w:r>
        <w:rPr>
          <w:rFonts w:hint="eastAsia"/>
          <w:color w:val="000000" w:themeColor="text1"/>
          <w:highlight w:val="none"/>
        </w:rPr>
        <w:br w:type="page"/>
      </w:r>
      <w:r>
        <w:rPr>
          <w:rFonts w:hint="eastAsia"/>
          <w:color w:val="000000" w:themeColor="text1"/>
          <w:highlight w:val="none"/>
        </w:rPr>
        <w:t>2：质疑函格式</w:t>
      </w:r>
    </w:p>
    <w:p w14:paraId="57C343D2">
      <w:pPr>
        <w:pStyle w:val="41"/>
        <w:spacing w:before="0" w:beforeAutospacing="0" w:after="0" w:afterAutospacing="0" w:line="360" w:lineRule="auto"/>
        <w:jc w:val="center"/>
        <w:rPr>
          <w:rStyle w:val="49"/>
          <w:rFonts w:cs="Times New Roman"/>
          <w:color w:val="000000" w:themeColor="text1"/>
          <w:highlight w:val="none"/>
        </w:rPr>
      </w:pPr>
      <w:r>
        <w:rPr>
          <w:rStyle w:val="49"/>
          <w:rFonts w:hint="eastAsia" w:cs="Times New Roman"/>
          <w:b w:val="0"/>
          <w:color w:val="000000" w:themeColor="text1"/>
          <w:highlight w:val="none"/>
        </w:rPr>
        <w:t>质疑函</w:t>
      </w:r>
    </w:p>
    <w:p w14:paraId="347AA47A">
      <w:pPr>
        <w:adjustRightInd w:val="0"/>
        <w:snapToGrid w:val="0"/>
        <w:spacing w:beforeLines="100"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一、质疑供应商基本信息</w:t>
      </w:r>
    </w:p>
    <w:p w14:paraId="22D932B9">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质疑供应商：</w:t>
      </w:r>
      <w:r>
        <w:rPr>
          <w:rFonts w:hint="eastAsia" w:ascii="宋体" w:hAnsi="宋体" w:cs="仿宋"/>
          <w:color w:val="000000" w:themeColor="text1"/>
          <w:sz w:val="24"/>
          <w:highlight w:val="none"/>
          <w:u w:val="dotted"/>
        </w:rPr>
        <w:t xml:space="preserve">                                        </w:t>
      </w:r>
    </w:p>
    <w:p w14:paraId="45E1D249">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地址：</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邮编：</w:t>
      </w:r>
      <w:r>
        <w:rPr>
          <w:rFonts w:hint="eastAsia" w:ascii="宋体" w:hAnsi="宋体" w:cs="仿宋"/>
          <w:color w:val="000000" w:themeColor="text1"/>
          <w:sz w:val="24"/>
          <w:highlight w:val="none"/>
          <w:u w:val="dotted"/>
        </w:rPr>
        <w:t xml:space="preserve">                                                   </w:t>
      </w:r>
    </w:p>
    <w:p w14:paraId="607DAB69">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联系人：</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联系电话：</w:t>
      </w:r>
      <w:r>
        <w:rPr>
          <w:rFonts w:hint="eastAsia" w:ascii="宋体" w:hAnsi="宋体" w:cs="仿宋"/>
          <w:color w:val="000000" w:themeColor="text1"/>
          <w:sz w:val="24"/>
          <w:highlight w:val="none"/>
          <w:u w:val="dotted"/>
        </w:rPr>
        <w:t xml:space="preserve">                              </w:t>
      </w:r>
    </w:p>
    <w:p w14:paraId="61F16310">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授权代表：</w:t>
      </w:r>
      <w:r>
        <w:rPr>
          <w:rFonts w:hint="eastAsia" w:ascii="宋体" w:hAnsi="宋体" w:cs="仿宋"/>
          <w:color w:val="000000" w:themeColor="text1"/>
          <w:sz w:val="24"/>
          <w:highlight w:val="none"/>
          <w:u w:val="dotted"/>
        </w:rPr>
        <w:t xml:space="preserve">                                          </w:t>
      </w:r>
    </w:p>
    <w:p w14:paraId="3E7ABA2E">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联系电话：</w:t>
      </w:r>
      <w:r>
        <w:rPr>
          <w:rFonts w:hint="eastAsia" w:ascii="宋体" w:hAnsi="宋体" w:cs="仿宋"/>
          <w:color w:val="000000" w:themeColor="text1"/>
          <w:sz w:val="24"/>
          <w:highlight w:val="none"/>
          <w:u w:val="dotted"/>
        </w:rPr>
        <w:t xml:space="preserve">                                           </w:t>
      </w:r>
      <w:r>
        <w:rPr>
          <w:rFonts w:ascii="宋体" w:hAnsi="宋体" w:cs="仿宋"/>
          <w:color w:val="000000" w:themeColor="text1"/>
          <w:sz w:val="24"/>
          <w:highlight w:val="none"/>
        </w:rPr>
        <w:t xml:space="preserve"> </w:t>
      </w:r>
    </w:p>
    <w:p w14:paraId="0FC02B8D">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地址：</w:t>
      </w:r>
      <w:r>
        <w:rPr>
          <w:rFonts w:ascii="宋体" w:hAnsi="宋体" w:cs="仿宋"/>
          <w:color w:val="000000" w:themeColor="text1"/>
          <w:sz w:val="24"/>
          <w:highlight w:val="none"/>
        </w:rPr>
        <w:t xml:space="preserve"> </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邮编：</w:t>
      </w:r>
      <w:r>
        <w:rPr>
          <w:rFonts w:hint="eastAsia" w:ascii="宋体" w:hAnsi="宋体" w:cs="仿宋"/>
          <w:color w:val="000000" w:themeColor="text1"/>
          <w:sz w:val="24"/>
          <w:highlight w:val="none"/>
          <w:u w:val="dotted"/>
        </w:rPr>
        <w:t xml:space="preserve">                                                </w:t>
      </w:r>
    </w:p>
    <w:p w14:paraId="72978A6F">
      <w:pPr>
        <w:adjustRightInd w:val="0"/>
        <w:snapToGrid w:val="0"/>
        <w:spacing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二、质疑项目基本情况</w:t>
      </w:r>
    </w:p>
    <w:p w14:paraId="40776287">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质疑项目的名称：</w:t>
      </w:r>
      <w:r>
        <w:rPr>
          <w:rFonts w:hint="eastAsia" w:ascii="宋体" w:hAnsi="宋体" w:cs="仿宋"/>
          <w:color w:val="000000" w:themeColor="text1"/>
          <w:sz w:val="24"/>
          <w:highlight w:val="none"/>
          <w:u w:val="dotted"/>
        </w:rPr>
        <w:t xml:space="preserve">                                      </w:t>
      </w:r>
    </w:p>
    <w:p w14:paraId="39FFBDAE">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质疑项目的编号：</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包号：</w:t>
      </w:r>
      <w:r>
        <w:rPr>
          <w:rFonts w:hint="eastAsia" w:ascii="宋体" w:hAnsi="宋体" w:cs="仿宋"/>
          <w:color w:val="000000" w:themeColor="text1"/>
          <w:sz w:val="24"/>
          <w:highlight w:val="none"/>
          <w:u w:val="dotted"/>
        </w:rPr>
        <w:t xml:space="preserve">                 </w:t>
      </w:r>
    </w:p>
    <w:p w14:paraId="54BAF002">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采购人名称：</w:t>
      </w:r>
      <w:r>
        <w:rPr>
          <w:rFonts w:hint="eastAsia" w:ascii="宋体" w:hAnsi="宋体" w:cs="仿宋"/>
          <w:color w:val="000000" w:themeColor="text1"/>
          <w:sz w:val="24"/>
          <w:highlight w:val="none"/>
          <w:u w:val="dotted"/>
        </w:rPr>
        <w:t xml:space="preserve">                                         </w:t>
      </w:r>
    </w:p>
    <w:p w14:paraId="51FD2CA2">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采购文件获取日期：</w:t>
      </w:r>
      <w:r>
        <w:rPr>
          <w:rFonts w:hint="eastAsia" w:ascii="宋体" w:hAnsi="宋体" w:cs="仿宋"/>
          <w:color w:val="000000" w:themeColor="text1"/>
          <w:sz w:val="24"/>
          <w:highlight w:val="none"/>
          <w:u w:val="dotted"/>
        </w:rPr>
        <w:t xml:space="preserve">                                           </w:t>
      </w:r>
    </w:p>
    <w:p w14:paraId="579559DD">
      <w:pPr>
        <w:adjustRightInd w:val="0"/>
        <w:snapToGrid w:val="0"/>
        <w:spacing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三、质疑事项具体内容</w:t>
      </w:r>
    </w:p>
    <w:p w14:paraId="4B2C9479">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质疑事项1：</w:t>
      </w:r>
      <w:r>
        <w:rPr>
          <w:rFonts w:hint="eastAsia" w:ascii="宋体" w:hAnsi="宋体" w:cs="仿宋"/>
          <w:color w:val="000000" w:themeColor="text1"/>
          <w:sz w:val="24"/>
          <w:highlight w:val="none"/>
          <w:u w:val="dotted"/>
        </w:rPr>
        <w:t xml:space="preserve">                                         </w:t>
      </w:r>
    </w:p>
    <w:p w14:paraId="526D63D6">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事实依据：</w:t>
      </w:r>
      <w:r>
        <w:rPr>
          <w:rFonts w:hint="eastAsia" w:ascii="宋体" w:hAnsi="宋体" w:cs="仿宋"/>
          <w:color w:val="000000" w:themeColor="text1"/>
          <w:sz w:val="24"/>
          <w:highlight w:val="none"/>
          <w:u w:val="dotted"/>
        </w:rPr>
        <w:t xml:space="preserve">                                          </w:t>
      </w:r>
    </w:p>
    <w:p w14:paraId="08108D00">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u w:val="dotted"/>
        </w:rPr>
        <w:t xml:space="preserve">                                                       </w:t>
      </w:r>
    </w:p>
    <w:p w14:paraId="58D025A7">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法律依据：</w:t>
      </w:r>
      <w:r>
        <w:rPr>
          <w:rFonts w:hint="eastAsia" w:ascii="宋体" w:hAnsi="宋体" w:cs="仿宋"/>
          <w:color w:val="000000" w:themeColor="text1"/>
          <w:sz w:val="24"/>
          <w:highlight w:val="none"/>
          <w:u w:val="dotted"/>
        </w:rPr>
        <w:t xml:space="preserve">                                          </w:t>
      </w:r>
    </w:p>
    <w:p w14:paraId="31B9B947">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u w:val="dotted"/>
        </w:rPr>
        <w:t xml:space="preserve">                                                     </w:t>
      </w:r>
    </w:p>
    <w:p w14:paraId="6EC0057F">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质疑事项2</w:t>
      </w:r>
    </w:p>
    <w:p w14:paraId="1F7CB572">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w:t>
      </w:r>
    </w:p>
    <w:p w14:paraId="218E7451">
      <w:pPr>
        <w:adjustRightInd w:val="0"/>
        <w:snapToGrid w:val="0"/>
        <w:spacing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四、与质疑事项相关的质疑请求</w:t>
      </w:r>
    </w:p>
    <w:p w14:paraId="79B94F8C">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请求：</w:t>
      </w:r>
      <w:r>
        <w:rPr>
          <w:rFonts w:hint="eastAsia" w:ascii="宋体" w:hAnsi="宋体" w:cs="仿宋"/>
          <w:color w:val="000000" w:themeColor="text1"/>
          <w:sz w:val="24"/>
          <w:highlight w:val="none"/>
          <w:u w:val="dotted"/>
        </w:rPr>
        <w:t xml:space="preserve">                                               </w:t>
      </w:r>
    </w:p>
    <w:p w14:paraId="45351E2B">
      <w:pPr>
        <w:rPr>
          <w:rFonts w:ascii="宋体" w:hAnsi="宋体"/>
          <w:color w:val="000000" w:themeColor="text1"/>
          <w:sz w:val="24"/>
          <w:highlight w:val="none"/>
        </w:rPr>
      </w:pPr>
    </w:p>
    <w:p w14:paraId="770D6EE4">
      <w:pPr>
        <w:rPr>
          <w:rFonts w:ascii="宋体" w:hAnsi="宋体"/>
          <w:color w:val="000000" w:themeColor="text1"/>
          <w:sz w:val="24"/>
          <w:highlight w:val="none"/>
        </w:rPr>
      </w:pPr>
      <w:r>
        <w:rPr>
          <w:rFonts w:hint="eastAsia" w:ascii="宋体" w:hAnsi="宋体"/>
          <w:color w:val="000000" w:themeColor="text1"/>
          <w:sz w:val="24"/>
          <w:highlight w:val="none"/>
        </w:rPr>
        <w:t xml:space="preserve">签字(签章)：                   公章：                      </w:t>
      </w:r>
    </w:p>
    <w:p w14:paraId="4B3CAAE7">
      <w:pPr>
        <w:rPr>
          <w:rFonts w:ascii="宋体" w:hAnsi="宋体"/>
          <w:color w:val="000000" w:themeColor="text1"/>
          <w:sz w:val="24"/>
          <w:highlight w:val="none"/>
        </w:rPr>
      </w:pPr>
    </w:p>
    <w:p w14:paraId="042EE85F">
      <w:pPr>
        <w:rPr>
          <w:rFonts w:ascii="宋体" w:hAnsi="宋体"/>
          <w:color w:val="000000" w:themeColor="text1"/>
          <w:sz w:val="24"/>
          <w:highlight w:val="none"/>
        </w:rPr>
      </w:pPr>
      <w:r>
        <w:rPr>
          <w:rFonts w:hint="eastAsia" w:ascii="宋体" w:hAnsi="宋体"/>
          <w:color w:val="000000" w:themeColor="text1"/>
          <w:sz w:val="24"/>
          <w:highlight w:val="none"/>
        </w:rPr>
        <w:t xml:space="preserve">日期：    </w:t>
      </w:r>
    </w:p>
    <w:p w14:paraId="0F27BA71">
      <w:pPr>
        <w:adjustRightInd w:val="0"/>
        <w:snapToGrid w:val="0"/>
        <w:spacing w:line="360" w:lineRule="auto"/>
        <w:rPr>
          <w:rFonts w:ascii="宋体" w:hAnsi="宋体" w:cs="仿宋"/>
          <w:color w:val="000000" w:themeColor="text1"/>
          <w:sz w:val="24"/>
          <w:highlight w:val="none"/>
        </w:rPr>
      </w:pPr>
    </w:p>
    <w:p w14:paraId="7DECDF2D">
      <w:pPr>
        <w:adjustRightInd w:val="0"/>
        <w:snapToGrid w:val="0"/>
        <w:spacing w:line="360" w:lineRule="auto"/>
        <w:rPr>
          <w:rFonts w:ascii="宋体" w:hAnsi="宋体" w:cs="仿宋"/>
          <w:color w:val="000000" w:themeColor="text1"/>
          <w:sz w:val="24"/>
          <w:highlight w:val="none"/>
        </w:rPr>
      </w:pPr>
    </w:p>
    <w:p w14:paraId="2A0D6979">
      <w:pPr>
        <w:adjustRightInd w:val="0"/>
        <w:snapToGrid w:val="0"/>
        <w:spacing w:line="360" w:lineRule="auto"/>
        <w:rPr>
          <w:rFonts w:ascii="宋体" w:hAnsi="宋体" w:cs="仿宋"/>
          <w:color w:val="000000" w:themeColor="text1"/>
          <w:sz w:val="24"/>
          <w:highlight w:val="none"/>
        </w:rPr>
      </w:pPr>
    </w:p>
    <w:p w14:paraId="56AA6176">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质疑函制作说明：</w:t>
      </w:r>
    </w:p>
    <w:p w14:paraId="0E40A84C">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1.供应商提出质疑时，应提交质疑函和必要的证明材料。</w:t>
      </w:r>
    </w:p>
    <w:p w14:paraId="41806B51">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rPr>
        <w:t>供应商签署的授权委托书。授权委托书应载明代理人的姓名或者名称、代理事项、具体权限、期限和相关事项。</w:t>
      </w:r>
    </w:p>
    <w:p w14:paraId="41DD993A">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3.质疑供应商若对项目的某一分包进行质疑，质疑函中应列明具体分包号。</w:t>
      </w:r>
    </w:p>
    <w:p w14:paraId="1356B6FF">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4.质疑函的质疑事项应具体、明确，并有必要的事实依据和法律依据。</w:t>
      </w:r>
    </w:p>
    <w:p w14:paraId="58ED9C51">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5.质疑函的质疑请求应与质疑事项相关。</w:t>
      </w:r>
    </w:p>
    <w:p w14:paraId="46A1AFAE">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6.质疑供应商为自然人的，质疑函应由本人签字；质疑供应商为法人或者其他组织的，</w:t>
      </w:r>
      <w:r>
        <w:rPr>
          <w:rFonts w:ascii="宋体" w:hAnsi="宋体" w:cs="宋体"/>
          <w:color w:val="000000" w:themeColor="text1"/>
          <w:kern w:val="0"/>
          <w:szCs w:val="21"/>
          <w:highlight w:val="none"/>
        </w:rPr>
        <w:t>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投标人的</w:t>
      </w:r>
      <w:r>
        <w:rPr>
          <w:rFonts w:ascii="宋体" w:hAnsi="宋体" w:cs="宋体"/>
          <w:color w:val="000000" w:themeColor="text1"/>
          <w:kern w:val="0"/>
          <w:szCs w:val="21"/>
          <w:highlight w:val="none"/>
        </w:rPr>
        <w:t>法定代表人（负责人）或主要负责人签字并加盖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14:paraId="3FC97A49">
      <w:pPr>
        <w:widowControl/>
        <w:snapToGrid w:val="0"/>
        <w:spacing w:line="360" w:lineRule="auto"/>
        <w:ind w:right="960"/>
        <w:rPr>
          <w:rFonts w:ascii="宋体" w:hAnsi="宋体"/>
          <w:color w:val="000000" w:themeColor="text1"/>
          <w:sz w:val="24"/>
          <w:highlight w:val="none"/>
        </w:rPr>
      </w:pPr>
    </w:p>
    <w:p w14:paraId="22F2080E">
      <w:pPr>
        <w:spacing w:line="360" w:lineRule="auto"/>
        <w:jc w:val="left"/>
        <w:rPr>
          <w:rFonts w:ascii="仿宋_GB2312" w:hAnsi="仿宋" w:eastAsia="仿宋_GB2312"/>
          <w:color w:val="000000" w:themeColor="text1"/>
          <w:sz w:val="24"/>
          <w:highlight w:val="none"/>
        </w:rPr>
      </w:pPr>
    </w:p>
    <w:p w14:paraId="1F2342B6">
      <w:pPr>
        <w:rPr>
          <w:rFonts w:ascii="宋体" w:hAnsi="宋体"/>
          <w:b/>
          <w:color w:val="000000" w:themeColor="text1"/>
          <w:szCs w:val="21"/>
          <w:highlight w:val="none"/>
        </w:rPr>
      </w:pPr>
    </w:p>
    <w:sectPr>
      <w:pgSz w:w="11906" w:h="16838"/>
      <w:pgMar w:top="1418" w:right="1474" w:bottom="1418" w:left="147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00" w:usb3="00000000" w:csb0="00000000" w:csb1="00000000"/>
  </w:font>
  <w:font w:name="Arial Narrow">
    <w:altName w:val="Arial"/>
    <w:panose1 w:val="020B05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OMBFXO+Univers-Light">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1F00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B089">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9C521">
    <w:pPr>
      <w:pStyle w:val="28"/>
      <w:framePr w:wrap="around" w:vAnchor="text" w:hAnchor="margin" w:xAlign="center" w:y="1"/>
      <w:rPr>
        <w:rStyle w:val="50"/>
      </w:rPr>
    </w:pPr>
    <w:r>
      <w:fldChar w:fldCharType="begin"/>
    </w:r>
    <w:r>
      <w:rPr>
        <w:rStyle w:val="50"/>
      </w:rPr>
      <w:instrText xml:space="preserve">PAGE  </w:instrText>
    </w:r>
    <w:r>
      <w:fldChar w:fldCharType="end"/>
    </w:r>
  </w:p>
  <w:p w14:paraId="6FA48F95">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473ED">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9AF0D">
    <w:pPr>
      <w:pStyle w:val="17"/>
      <w:spacing w:line="14" w:lineRule="auto"/>
      <w:rPr>
        <w:sz w:val="20"/>
      </w:rPr>
    </w:pPr>
    <w:r>
      <w:rPr>
        <w:sz w:val="20"/>
      </w:rPr>
      <w:pict>
        <v:shape id="文本框 2"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5C8F5C5A">
                <w:pPr>
                  <w:pStyle w:val="2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6EFE9">
    <w:pPr>
      <w:pStyle w:val="28"/>
      <w:ind w:left="420" w:firstLine="42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46</w:t>
    </w:r>
    <w:r>
      <w:rPr>
        <w:kern w:val="0"/>
        <w:szCs w:val="21"/>
      </w:rPr>
      <w:fldChar w:fldCharType="end"/>
    </w:r>
    <w:r>
      <w:rPr>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2E2D">
    <w:pPr>
      <w:pStyle w:val="2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D406">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41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24E">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61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F1F0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8D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15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AD372"/>
    <w:multiLevelType w:val="singleLevel"/>
    <w:tmpl w:val="9BBAD372"/>
    <w:lvl w:ilvl="0" w:tentative="0">
      <w:start w:val="1"/>
      <w:numFmt w:val="decimal"/>
      <w:lvlText w:val="%1."/>
      <w:lvlJc w:val="left"/>
      <w:pPr>
        <w:ind w:left="425" w:hanging="425"/>
      </w:pPr>
      <w:rPr>
        <w:rFonts w:hint="default"/>
      </w:rPr>
    </w:lvl>
  </w:abstractNum>
  <w:abstractNum w:abstractNumId="1">
    <w:nsid w:val="B19E681B"/>
    <w:multiLevelType w:val="singleLevel"/>
    <w:tmpl w:val="B19E681B"/>
    <w:lvl w:ilvl="0" w:tentative="0">
      <w:start w:val="1"/>
      <w:numFmt w:val="decimal"/>
      <w:lvlText w:val="%1."/>
      <w:lvlJc w:val="left"/>
      <w:pPr>
        <w:ind w:left="425" w:hanging="425"/>
      </w:pPr>
      <w:rPr>
        <w:rFonts w:hint="default"/>
      </w:rPr>
    </w:lvl>
  </w:abstractNum>
  <w:abstractNum w:abstractNumId="2">
    <w:nsid w:val="00000003"/>
    <w:multiLevelType w:val="multilevel"/>
    <w:tmpl w:val="00000003"/>
    <w:lvl w:ilvl="0" w:tentative="0">
      <w:start w:val="1"/>
      <w:numFmt w:val="decimal"/>
      <w:pStyle w:val="298"/>
      <w:lvlText w:val="%1. "/>
      <w:lvlJc w:val="left"/>
      <w:pPr>
        <w:tabs>
          <w:tab w:val="left" w:pos="981"/>
        </w:tabs>
        <w:ind w:left="981" w:hanging="419"/>
      </w:pPr>
    </w:lvl>
    <w:lvl w:ilvl="1" w:tentative="0">
      <w:start w:val="1"/>
      <w:numFmt w:val="upperLetter"/>
      <w:pStyle w:val="287"/>
      <w:lvlText w:val="%2. "/>
      <w:lvlJc w:val="left"/>
      <w:pPr>
        <w:tabs>
          <w:tab w:val="left" w:pos="1191"/>
        </w:tabs>
        <w:ind w:left="1191" w:hanging="420"/>
      </w:pPr>
    </w:lvl>
    <w:lvl w:ilvl="2" w:tentative="0">
      <w:start w:val="1"/>
      <w:numFmt w:val="lowerLetter"/>
      <w:pStyle w:val="296"/>
      <w:lvlText w:val="%3. "/>
      <w:lvlJc w:val="left"/>
      <w:pPr>
        <w:tabs>
          <w:tab w:val="left" w:pos="1401"/>
        </w:tabs>
        <w:ind w:left="1401" w:hanging="420"/>
      </w:pPr>
    </w:lvl>
    <w:lvl w:ilvl="3" w:tentative="0">
      <w:start w:val="1"/>
      <w:numFmt w:val="lowerLetter"/>
      <w:pStyle w:val="154"/>
      <w:lvlText w:val="%4) "/>
      <w:lvlJc w:val="left"/>
      <w:pPr>
        <w:tabs>
          <w:tab w:val="left" w:pos="1611"/>
        </w:tabs>
        <w:ind w:left="1611" w:hanging="420"/>
      </w:pPr>
    </w:lvl>
    <w:lvl w:ilvl="4" w:tentative="0">
      <w:start w:val="1"/>
      <w:numFmt w:val="none"/>
      <w:suff w:val="nothing"/>
      <w:lvlText w:val=""/>
      <w:lvlJc w:val="left"/>
      <w:pPr>
        <w:ind w:left="1401" w:firstLine="0"/>
      </w:pPr>
    </w:lvl>
    <w:lvl w:ilvl="5" w:tentative="0">
      <w:start w:val="1"/>
      <w:numFmt w:val="none"/>
      <w:suff w:val="nothing"/>
      <w:lvlText w:val=""/>
      <w:lvlJc w:val="left"/>
      <w:pPr>
        <w:ind w:left="1401" w:firstLine="0"/>
      </w:pPr>
    </w:lvl>
    <w:lvl w:ilvl="6" w:tentative="0">
      <w:start w:val="1"/>
      <w:numFmt w:val="none"/>
      <w:suff w:val="nothing"/>
      <w:lvlText w:val=""/>
      <w:lvlJc w:val="left"/>
      <w:pPr>
        <w:ind w:left="1401" w:firstLine="0"/>
      </w:pPr>
    </w:lvl>
    <w:lvl w:ilvl="7" w:tentative="0">
      <w:start w:val="1"/>
      <w:numFmt w:val="none"/>
      <w:suff w:val="nothing"/>
      <w:lvlText w:val=""/>
      <w:lvlJc w:val="left"/>
      <w:pPr>
        <w:ind w:left="1401" w:firstLine="0"/>
      </w:pPr>
    </w:lvl>
    <w:lvl w:ilvl="8" w:tentative="0">
      <w:start w:val="1"/>
      <w:numFmt w:val="none"/>
      <w:suff w:val="nothing"/>
      <w:lvlText w:val=""/>
      <w:lvlJc w:val="left"/>
      <w:pPr>
        <w:ind w:left="1401" w:firstLine="0"/>
      </w:pPr>
    </w:lvl>
  </w:abstractNum>
  <w:abstractNum w:abstractNumId="3">
    <w:nsid w:val="00000008"/>
    <w:multiLevelType w:val="multilevel"/>
    <w:tmpl w:val="00000008"/>
    <w:lvl w:ilvl="0" w:tentative="0">
      <w:start w:val="1"/>
      <w:numFmt w:val="decimal"/>
      <w:pStyle w:val="26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2"/>
      <w:numFmt w:val="decimal"/>
      <w:lvlText w:val="%3．"/>
      <w:lvlJc w:val="left"/>
      <w:pPr>
        <w:tabs>
          <w:tab w:val="left" w:pos="2478"/>
        </w:tabs>
        <w:ind w:left="2478" w:hanging="360"/>
      </w:pPr>
      <w:rPr>
        <w:rFonts w:hint="eastAsia"/>
      </w:rPr>
    </w:lvl>
    <w:lvl w:ilvl="3" w:tentative="0">
      <w:start w:val="1"/>
      <w:numFmt w:val="decimal"/>
      <w:lvlText w:val="%4)"/>
      <w:lvlJc w:val="left"/>
      <w:pPr>
        <w:tabs>
          <w:tab w:val="left" w:pos="2958"/>
        </w:tabs>
        <w:ind w:left="2958" w:hanging="420"/>
      </w:pPr>
      <w:rPr>
        <w:rFonts w:hint="eastAsia"/>
      </w:r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5">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rPr>
    </w:lvl>
    <w:lvl w:ilvl="2" w:tentative="0">
      <w:start w:val="1"/>
      <w:numFmt w:val="decimal"/>
      <w:lvlText w:val="（%3）"/>
      <w:lvlJc w:val="left"/>
      <w:pPr>
        <w:tabs>
          <w:tab w:val="left" w:pos="1245"/>
        </w:tabs>
        <w:ind w:left="1245" w:hanging="720"/>
      </w:pPr>
      <w:rPr>
        <w:rFonts w:hint="eastAsia"/>
      </w:rPr>
    </w:lvl>
    <w:lvl w:ilvl="3" w:tentative="0">
      <w:start w:val="1"/>
      <w:numFmt w:val="decimal"/>
      <w:pStyle w:val="288"/>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6">
    <w:nsid w:val="0000000F"/>
    <w:multiLevelType w:val="multilevel"/>
    <w:tmpl w:val="0000000F"/>
    <w:lvl w:ilvl="0" w:tentative="0">
      <w:start w:val="1"/>
      <w:numFmt w:val="bullet"/>
      <w:pStyle w:val="163"/>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2"/>
    <w:multiLevelType w:val="singleLevel"/>
    <w:tmpl w:val="00000012"/>
    <w:lvl w:ilvl="0" w:tentative="0">
      <w:start w:val="1"/>
      <w:numFmt w:val="decimal"/>
      <w:pStyle w:val="276"/>
      <w:lvlText w:val="%1."/>
      <w:lvlJc w:val="left"/>
      <w:pPr>
        <w:tabs>
          <w:tab w:val="left" w:pos="1200"/>
        </w:tabs>
        <w:ind w:left="1200" w:hanging="360"/>
      </w:pPr>
    </w:lvl>
  </w:abstractNum>
  <w:abstractNum w:abstractNumId="8">
    <w:nsid w:val="00000014"/>
    <w:multiLevelType w:val="singleLevel"/>
    <w:tmpl w:val="00000014"/>
    <w:lvl w:ilvl="0" w:tentative="0">
      <w:start w:val="1"/>
      <w:numFmt w:val="decimal"/>
      <w:pStyle w:val="212"/>
      <w:lvlText w:val="%1."/>
      <w:lvlJc w:val="left"/>
      <w:pPr>
        <w:tabs>
          <w:tab w:val="left" w:pos="1620"/>
        </w:tabs>
        <w:ind w:left="1620" w:hanging="360"/>
      </w:pPr>
    </w:lvl>
  </w:abstractNum>
  <w:abstractNum w:abstractNumId="9">
    <w:nsid w:val="00000015"/>
    <w:multiLevelType w:val="multilevel"/>
    <w:tmpl w:val="00000015"/>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7"/>
    <w:multiLevelType w:val="singleLevel"/>
    <w:tmpl w:val="00000017"/>
    <w:lvl w:ilvl="0" w:tentative="0">
      <w:start w:val="1"/>
      <w:numFmt w:val="bullet"/>
      <w:pStyle w:val="262"/>
      <w:lvlText w:val=""/>
      <w:lvlJc w:val="left"/>
      <w:pPr>
        <w:tabs>
          <w:tab w:val="left" w:pos="360"/>
        </w:tabs>
        <w:ind w:left="360" w:hanging="360"/>
      </w:pPr>
      <w:rPr>
        <w:rFonts w:hint="default" w:ascii="Wingdings" w:hAnsi="Wingdings"/>
      </w:rPr>
    </w:lvl>
  </w:abstractNum>
  <w:abstractNum w:abstractNumId="11">
    <w:nsid w:val="00000018"/>
    <w:multiLevelType w:val="multilevel"/>
    <w:tmpl w:val="00000018"/>
    <w:lvl w:ilvl="0" w:tentative="0">
      <w:start w:val="2"/>
      <w:numFmt w:val="decimal"/>
      <w:pStyle w:val="257"/>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1A"/>
    <w:multiLevelType w:val="multilevel"/>
    <w:tmpl w:val="0000001A"/>
    <w:lvl w:ilvl="0" w:tentative="0">
      <w:start w:val="1"/>
      <w:numFmt w:val="decimal"/>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pStyle w:val="278"/>
      <w:suff w:val="space"/>
      <w:lvlText w:val="%1.%2.%3"/>
      <w:lvlJc w:val="left"/>
      <w:pPr>
        <w:tabs>
          <w:tab w:val="left" w:pos="1418"/>
        </w:tabs>
        <w:ind w:left="0" w:firstLine="0"/>
      </w:pPr>
    </w:lvl>
    <w:lvl w:ilvl="3" w:tentative="0">
      <w:start w:val="1"/>
      <w:numFmt w:val="decimal"/>
      <w:pStyle w:val="295"/>
      <w:suff w:val="space"/>
      <w:lvlText w:val="%1.%2.%3.%4"/>
      <w:lvlJc w:val="left"/>
      <w:pPr>
        <w:tabs>
          <w:tab w:val="left" w:pos="1984"/>
        </w:tabs>
        <w:ind w:left="0" w:firstLine="0"/>
      </w:pPr>
    </w:lvl>
    <w:lvl w:ilvl="4" w:tentative="0">
      <w:start w:val="1"/>
      <w:numFmt w:val="decimal"/>
      <w:pStyle w:val="291"/>
      <w:suff w:val="space"/>
      <w:lvlText w:val="%1.%2.%3.%4.%5"/>
      <w:lvlJc w:val="left"/>
      <w:pPr>
        <w:tabs>
          <w:tab w:val="left" w:pos="2551"/>
        </w:tabs>
        <w:ind w:left="0" w:firstLine="0"/>
      </w:pPr>
    </w:lvl>
    <w:lvl w:ilvl="5" w:tentative="0">
      <w:start w:val="1"/>
      <w:numFmt w:val="decimal"/>
      <w:pStyle w:val="195"/>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000001C"/>
    <w:multiLevelType w:val="singleLevel"/>
    <w:tmpl w:val="0000001C"/>
    <w:lvl w:ilvl="0" w:tentative="0">
      <w:start w:val="1"/>
      <w:numFmt w:val="decimal"/>
      <w:pStyle w:val="25"/>
      <w:lvlText w:val="%1."/>
      <w:lvlJc w:val="left"/>
      <w:pPr>
        <w:tabs>
          <w:tab w:val="left" w:pos="425"/>
        </w:tabs>
        <w:ind w:left="425" w:hanging="425"/>
      </w:pPr>
      <w:rPr>
        <w:rFonts w:hint="eastAsia"/>
      </w:rPr>
    </w:lvl>
  </w:abstractNum>
  <w:abstractNum w:abstractNumId="14">
    <w:nsid w:val="0000001D"/>
    <w:multiLevelType w:val="multilevel"/>
    <w:tmpl w:val="0000001D"/>
    <w:lvl w:ilvl="0" w:tentative="0">
      <w:start w:val="1"/>
      <w:numFmt w:val="decimal"/>
      <w:pStyle w:val="197"/>
      <w:lvlText w:val="%1)"/>
      <w:lvlJc w:val="left"/>
      <w:pPr>
        <w:tabs>
          <w:tab w:val="left" w:pos="420"/>
        </w:tabs>
        <w:ind w:left="420" w:hanging="420"/>
      </w:pPr>
    </w:lvl>
    <w:lvl w:ilvl="1" w:tentative="0">
      <w:start w:val="1"/>
      <w:numFmt w:val="lowerLetter"/>
      <w:pStyle w:val="122"/>
      <w:lvlText w:val="%2)"/>
      <w:lvlJc w:val="left"/>
      <w:pPr>
        <w:tabs>
          <w:tab w:val="left" w:pos="840"/>
        </w:tabs>
        <w:ind w:left="840" w:hanging="420"/>
      </w:pPr>
    </w:lvl>
    <w:lvl w:ilvl="2" w:tentative="0">
      <w:start w:val="1"/>
      <w:numFmt w:val="lowerRoman"/>
      <w:pStyle w:val="121"/>
      <w:lvlText w:val="%3."/>
      <w:lvlJc w:val="right"/>
      <w:pPr>
        <w:tabs>
          <w:tab w:val="left" w:pos="1260"/>
        </w:tabs>
        <w:ind w:left="1260" w:hanging="420"/>
      </w:pPr>
    </w:lvl>
    <w:lvl w:ilvl="3" w:tentative="0">
      <w:start w:val="1"/>
      <w:numFmt w:val="decimal"/>
      <w:pStyle w:val="18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1"/>
    <w:multiLevelType w:val="multilevel"/>
    <w:tmpl w:val="00000021"/>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2"/>
    <w:multiLevelType w:val="singleLevel"/>
    <w:tmpl w:val="00000022"/>
    <w:lvl w:ilvl="0" w:tentative="0">
      <w:start w:val="1"/>
      <w:numFmt w:val="decimal"/>
      <w:pStyle w:val="267"/>
      <w:lvlText w:val="%1."/>
      <w:lvlJc w:val="left"/>
      <w:pPr>
        <w:tabs>
          <w:tab w:val="left" w:pos="1145"/>
        </w:tabs>
        <w:ind w:left="902" w:hanging="477"/>
      </w:pPr>
      <w:rPr>
        <w:rFonts w:hint="eastAsia"/>
      </w:rPr>
    </w:lvl>
  </w:abstractNum>
  <w:abstractNum w:abstractNumId="17">
    <w:nsid w:val="00000024"/>
    <w:multiLevelType w:val="singleLevel"/>
    <w:tmpl w:val="00000024"/>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18">
    <w:nsid w:val="00000025"/>
    <w:multiLevelType w:val="multilevel"/>
    <w:tmpl w:val="00000025"/>
    <w:lvl w:ilvl="0" w:tentative="0">
      <w:start w:val="1"/>
      <w:numFmt w:val="decimal"/>
      <w:pStyle w:val="2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9">
    <w:nsid w:val="00000026"/>
    <w:multiLevelType w:val="singleLevel"/>
    <w:tmpl w:val="00000026"/>
    <w:lvl w:ilvl="0" w:tentative="0">
      <w:start w:val="1"/>
      <w:numFmt w:val="decimal"/>
      <w:pStyle w:val="240"/>
      <w:lvlText w:val="%1."/>
      <w:lvlJc w:val="left"/>
      <w:pPr>
        <w:tabs>
          <w:tab w:val="left" w:pos="360"/>
        </w:tabs>
        <w:ind w:left="360" w:hanging="360"/>
      </w:pPr>
    </w:lvl>
  </w:abstractNum>
  <w:abstractNum w:abstractNumId="20">
    <w:nsid w:val="00000028"/>
    <w:multiLevelType w:val="multilevel"/>
    <w:tmpl w:val="00000028"/>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1">
    <w:nsid w:val="00000029"/>
    <w:multiLevelType w:val="multilevel"/>
    <w:tmpl w:val="00000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23">
    <w:nsid w:val="0000002B"/>
    <w:multiLevelType w:val="multilevel"/>
    <w:tmpl w:val="0000002B"/>
    <w:lvl w:ilvl="0" w:tentative="0">
      <w:start w:val="1"/>
      <w:numFmt w:val="upperRoman"/>
      <w:pStyle w:val="2"/>
      <w:lvlText w:val="第 %1 条"/>
      <w:lvlJc w:val="left"/>
      <w:pPr>
        <w:tabs>
          <w:tab w:val="left" w:pos="1440"/>
        </w:tabs>
        <w:ind w:left="0" w:firstLine="0"/>
      </w:pPr>
    </w:lvl>
    <w:lvl w:ilvl="1" w:tentative="0">
      <w:start w:val="1"/>
      <w:numFmt w:val="decimalZero"/>
      <w:pStyle w:val="3"/>
      <w:isLgl/>
      <w:lvlText w:val="节 %1.%2"/>
      <w:lvlJc w:val="left"/>
      <w:pPr>
        <w:tabs>
          <w:tab w:val="left" w:pos="720"/>
        </w:tabs>
        <w:ind w:left="0" w:firstLine="0"/>
      </w:pPr>
      <w:rPr>
        <w:lang w:val="en-US"/>
      </w:rPr>
    </w:lvl>
    <w:lvl w:ilvl="2" w:tentative="0">
      <w:start w:val="1"/>
      <w:numFmt w:val="lowerLetter"/>
      <w:pStyle w:val="4"/>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4">
    <w:nsid w:val="0000002F"/>
    <w:multiLevelType w:val="multilevel"/>
    <w:tmpl w:val="0000002F"/>
    <w:lvl w:ilvl="0" w:tentative="0">
      <w:start w:val="1"/>
      <w:numFmt w:val="decimal"/>
      <w:lvlText w:val="（%1）"/>
      <w:lvlJc w:val="left"/>
      <w:pPr>
        <w:tabs>
          <w:tab w:val="left" w:pos="1275"/>
        </w:tabs>
        <w:ind w:left="1275" w:hanging="855"/>
      </w:pPr>
      <w:rPr>
        <w:rFonts w:hint="eastAsia"/>
      </w:rPr>
    </w:lvl>
    <w:lvl w:ilvl="1" w:tentative="0">
      <w:start w:val="1"/>
      <w:numFmt w:val="decimal"/>
      <w:pStyle w:val="188"/>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30"/>
    <w:multiLevelType w:val="singleLevel"/>
    <w:tmpl w:val="00000030"/>
    <w:lvl w:ilvl="0" w:tentative="0">
      <w:start w:val="1"/>
      <w:numFmt w:val="decimal"/>
      <w:pStyle w:val="248"/>
      <w:lvlText w:val="%1."/>
      <w:lvlJc w:val="left"/>
      <w:pPr>
        <w:tabs>
          <w:tab w:val="left" w:pos="2040"/>
        </w:tabs>
        <w:ind w:left="2040" w:hanging="360"/>
      </w:pPr>
    </w:lvl>
  </w:abstractNum>
  <w:abstractNum w:abstractNumId="26">
    <w:nsid w:val="00000032"/>
    <w:multiLevelType w:val="singleLevel"/>
    <w:tmpl w:val="00000032"/>
    <w:lvl w:ilvl="0" w:tentative="0">
      <w:start w:val="1"/>
      <w:numFmt w:val="bullet"/>
      <w:pStyle w:val="231"/>
      <w:lvlText w:val=""/>
      <w:lvlJc w:val="left"/>
      <w:pPr>
        <w:tabs>
          <w:tab w:val="left" w:pos="2040"/>
        </w:tabs>
        <w:ind w:left="2040" w:hanging="360"/>
      </w:pPr>
      <w:rPr>
        <w:rFonts w:hint="default" w:ascii="Wingdings" w:hAnsi="Wingdings"/>
      </w:rPr>
    </w:lvl>
  </w:abstractNum>
  <w:abstractNum w:abstractNumId="27">
    <w:nsid w:val="00000034"/>
    <w:multiLevelType w:val="multilevel"/>
    <w:tmpl w:val="00000034"/>
    <w:lvl w:ilvl="0" w:tentative="0">
      <w:start w:val="1"/>
      <w:numFmt w:val="decimal"/>
      <w:pStyle w:val="138"/>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8">
    <w:nsid w:val="047F1DEC"/>
    <w:multiLevelType w:val="multilevel"/>
    <w:tmpl w:val="047F1DEC"/>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28FCD01"/>
    <w:multiLevelType w:val="singleLevel"/>
    <w:tmpl w:val="328FCD01"/>
    <w:lvl w:ilvl="0" w:tentative="0">
      <w:start w:val="1"/>
      <w:numFmt w:val="decimal"/>
      <w:suff w:val="space"/>
      <w:lvlText w:val="%1、"/>
      <w:lvlJc w:val="left"/>
      <w:pPr>
        <w:ind w:left="105" w:leftChars="0" w:firstLine="0" w:firstLineChars="0"/>
      </w:pPr>
    </w:lvl>
  </w:abstractNum>
  <w:abstractNum w:abstractNumId="31">
    <w:nsid w:val="42CD84B7"/>
    <w:multiLevelType w:val="singleLevel"/>
    <w:tmpl w:val="42CD84B7"/>
    <w:lvl w:ilvl="0" w:tentative="0">
      <w:start w:val="1"/>
      <w:numFmt w:val="decimal"/>
      <w:lvlText w:val="%1."/>
      <w:lvlJc w:val="left"/>
      <w:pPr>
        <w:ind w:left="425" w:hanging="425"/>
      </w:pPr>
      <w:rPr>
        <w:rFonts w:hint="default"/>
      </w:rPr>
    </w:lvl>
  </w:abstractNum>
  <w:num w:numId="1">
    <w:abstractNumId w:val="23"/>
  </w:num>
  <w:num w:numId="2">
    <w:abstractNumId w:val="17"/>
  </w:num>
  <w:num w:numId="3">
    <w:abstractNumId w:val="18"/>
  </w:num>
  <w:num w:numId="4">
    <w:abstractNumId w:val="13"/>
  </w:num>
  <w:num w:numId="5">
    <w:abstractNumId w:val="14"/>
  </w:num>
  <w:num w:numId="6">
    <w:abstractNumId w:val="27"/>
  </w:num>
  <w:num w:numId="7">
    <w:abstractNumId w:val="2"/>
  </w:num>
  <w:num w:numId="8">
    <w:abstractNumId w:val="6"/>
  </w:num>
  <w:num w:numId="9">
    <w:abstractNumId w:val="24"/>
  </w:num>
  <w:num w:numId="10">
    <w:abstractNumId w:val="12"/>
  </w:num>
  <w:num w:numId="11">
    <w:abstractNumId w:val="8"/>
  </w:num>
  <w:num w:numId="12">
    <w:abstractNumId w:val="26"/>
  </w:num>
  <w:num w:numId="13">
    <w:abstractNumId w:val="19"/>
  </w:num>
  <w:num w:numId="14">
    <w:abstractNumId w:val="25"/>
  </w:num>
  <w:num w:numId="15">
    <w:abstractNumId w:val="11"/>
  </w:num>
  <w:num w:numId="16">
    <w:abstractNumId w:val="10"/>
  </w:num>
  <w:num w:numId="17">
    <w:abstractNumId w:val="16"/>
  </w:num>
  <w:num w:numId="18">
    <w:abstractNumId w:val="3"/>
  </w:num>
  <w:num w:numId="19">
    <w:abstractNumId w:val="7"/>
  </w:num>
  <w:num w:numId="20">
    <w:abstractNumId w:val="5"/>
  </w:num>
  <w:num w:numId="21">
    <w:abstractNumId w:val="29"/>
  </w:num>
  <w:num w:numId="22">
    <w:abstractNumId w:val="28"/>
  </w:num>
  <w:num w:numId="23">
    <w:abstractNumId w:val="15"/>
  </w:num>
  <w:num w:numId="24">
    <w:abstractNumId w:val="20"/>
  </w:num>
  <w:num w:numId="25">
    <w:abstractNumId w:val="21"/>
  </w:num>
  <w:num w:numId="26">
    <w:abstractNumId w:val="4"/>
  </w:num>
  <w:num w:numId="27">
    <w:abstractNumId w:val="9"/>
  </w:num>
  <w:num w:numId="28">
    <w:abstractNumId w:val="22"/>
    <w:lvlOverride w:ilvl="0">
      <w:startOverride w:val="1"/>
    </w:lvlOverride>
  </w:num>
  <w:num w:numId="29">
    <w:abstractNumId w:val="30"/>
  </w:num>
  <w:num w:numId="30">
    <w:abstractNumId w:val="1"/>
  </w:num>
  <w:num w:numId="31">
    <w:abstractNumId w:val="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0"/>
  <w:drawingGridHorizontalSpacing w:val="97"/>
  <w:drawingGridVerticalSpacing w:val="1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FiNmYyYjVkNGE3NTBlNTI5NjhmNDJhNWZkOWZiMmQifQ=="/>
  </w:docVars>
  <w:rsids>
    <w:rsidRoot w:val="00172A27"/>
    <w:rsid w:val="00003B05"/>
    <w:rsid w:val="000052D9"/>
    <w:rsid w:val="00015360"/>
    <w:rsid w:val="000223F0"/>
    <w:rsid w:val="0002770C"/>
    <w:rsid w:val="000368F5"/>
    <w:rsid w:val="00041189"/>
    <w:rsid w:val="00046854"/>
    <w:rsid w:val="00047340"/>
    <w:rsid w:val="00066033"/>
    <w:rsid w:val="00067AC4"/>
    <w:rsid w:val="00067ECB"/>
    <w:rsid w:val="000743D3"/>
    <w:rsid w:val="0007641A"/>
    <w:rsid w:val="00080179"/>
    <w:rsid w:val="000938C9"/>
    <w:rsid w:val="000978EF"/>
    <w:rsid w:val="000A039F"/>
    <w:rsid w:val="000A0A09"/>
    <w:rsid w:val="000B0241"/>
    <w:rsid w:val="000B2EEF"/>
    <w:rsid w:val="000C0ABB"/>
    <w:rsid w:val="000C67C1"/>
    <w:rsid w:val="000C7A8F"/>
    <w:rsid w:val="000D294B"/>
    <w:rsid w:val="000D49EF"/>
    <w:rsid w:val="000D749E"/>
    <w:rsid w:val="000E708A"/>
    <w:rsid w:val="000F0496"/>
    <w:rsid w:val="000F12BD"/>
    <w:rsid w:val="000F1462"/>
    <w:rsid w:val="000F4863"/>
    <w:rsid w:val="000F6CB2"/>
    <w:rsid w:val="00103331"/>
    <w:rsid w:val="00103D8A"/>
    <w:rsid w:val="00104DF4"/>
    <w:rsid w:val="001132A7"/>
    <w:rsid w:val="00131274"/>
    <w:rsid w:val="00136F13"/>
    <w:rsid w:val="00141126"/>
    <w:rsid w:val="001415F8"/>
    <w:rsid w:val="0014238E"/>
    <w:rsid w:val="00142879"/>
    <w:rsid w:val="00144654"/>
    <w:rsid w:val="001455C2"/>
    <w:rsid w:val="00152A42"/>
    <w:rsid w:val="00152A51"/>
    <w:rsid w:val="00157B21"/>
    <w:rsid w:val="001678A2"/>
    <w:rsid w:val="001719FB"/>
    <w:rsid w:val="00172A27"/>
    <w:rsid w:val="00172D89"/>
    <w:rsid w:val="00173C4A"/>
    <w:rsid w:val="00175262"/>
    <w:rsid w:val="00180723"/>
    <w:rsid w:val="00185B40"/>
    <w:rsid w:val="00196CF5"/>
    <w:rsid w:val="001A009C"/>
    <w:rsid w:val="001A1320"/>
    <w:rsid w:val="001A1E62"/>
    <w:rsid w:val="001A2B19"/>
    <w:rsid w:val="001A6B52"/>
    <w:rsid w:val="001B3B29"/>
    <w:rsid w:val="001C21FC"/>
    <w:rsid w:val="001C7913"/>
    <w:rsid w:val="001D1A9E"/>
    <w:rsid w:val="001D1EDD"/>
    <w:rsid w:val="001E62E6"/>
    <w:rsid w:val="001E6CB4"/>
    <w:rsid w:val="001F1984"/>
    <w:rsid w:val="001F45DA"/>
    <w:rsid w:val="001F7AA4"/>
    <w:rsid w:val="00200D1A"/>
    <w:rsid w:val="002174DD"/>
    <w:rsid w:val="00222E14"/>
    <w:rsid w:val="00224528"/>
    <w:rsid w:val="00231E86"/>
    <w:rsid w:val="00233B0A"/>
    <w:rsid w:val="002343C6"/>
    <w:rsid w:val="00236DF1"/>
    <w:rsid w:val="002371B9"/>
    <w:rsid w:val="00241309"/>
    <w:rsid w:val="00244BC6"/>
    <w:rsid w:val="00254EF1"/>
    <w:rsid w:val="0026429E"/>
    <w:rsid w:val="002653A2"/>
    <w:rsid w:val="002728EB"/>
    <w:rsid w:val="002736C2"/>
    <w:rsid w:val="00283FCA"/>
    <w:rsid w:val="0029220B"/>
    <w:rsid w:val="00292350"/>
    <w:rsid w:val="0029515B"/>
    <w:rsid w:val="00296186"/>
    <w:rsid w:val="00296876"/>
    <w:rsid w:val="002A3338"/>
    <w:rsid w:val="002A7806"/>
    <w:rsid w:val="002B17A9"/>
    <w:rsid w:val="002B2330"/>
    <w:rsid w:val="002B3328"/>
    <w:rsid w:val="002C148C"/>
    <w:rsid w:val="002C3110"/>
    <w:rsid w:val="002C6F4E"/>
    <w:rsid w:val="002C793B"/>
    <w:rsid w:val="002D2534"/>
    <w:rsid w:val="002D2A19"/>
    <w:rsid w:val="002D6028"/>
    <w:rsid w:val="002E37F9"/>
    <w:rsid w:val="002E46CC"/>
    <w:rsid w:val="002E657F"/>
    <w:rsid w:val="002F06C5"/>
    <w:rsid w:val="002F28AD"/>
    <w:rsid w:val="002F3501"/>
    <w:rsid w:val="003075DB"/>
    <w:rsid w:val="00316F55"/>
    <w:rsid w:val="00317779"/>
    <w:rsid w:val="00323287"/>
    <w:rsid w:val="00323D30"/>
    <w:rsid w:val="00332364"/>
    <w:rsid w:val="003343EF"/>
    <w:rsid w:val="00341B62"/>
    <w:rsid w:val="00341B88"/>
    <w:rsid w:val="003447DD"/>
    <w:rsid w:val="00345D3F"/>
    <w:rsid w:val="00350832"/>
    <w:rsid w:val="00350F28"/>
    <w:rsid w:val="00352DD1"/>
    <w:rsid w:val="0035636F"/>
    <w:rsid w:val="0035749B"/>
    <w:rsid w:val="00357A26"/>
    <w:rsid w:val="00360D70"/>
    <w:rsid w:val="0036653C"/>
    <w:rsid w:val="00367278"/>
    <w:rsid w:val="00367BFA"/>
    <w:rsid w:val="00371E5B"/>
    <w:rsid w:val="00373328"/>
    <w:rsid w:val="00374404"/>
    <w:rsid w:val="00375BD3"/>
    <w:rsid w:val="003829D1"/>
    <w:rsid w:val="00382B28"/>
    <w:rsid w:val="003836E2"/>
    <w:rsid w:val="00385884"/>
    <w:rsid w:val="00385997"/>
    <w:rsid w:val="00386C66"/>
    <w:rsid w:val="003A09AC"/>
    <w:rsid w:val="003A1636"/>
    <w:rsid w:val="003B10A8"/>
    <w:rsid w:val="003B6B67"/>
    <w:rsid w:val="003B7D06"/>
    <w:rsid w:val="003C049F"/>
    <w:rsid w:val="003C7C33"/>
    <w:rsid w:val="003D1CD9"/>
    <w:rsid w:val="003D231E"/>
    <w:rsid w:val="003E18ED"/>
    <w:rsid w:val="003E1FEE"/>
    <w:rsid w:val="003E3C12"/>
    <w:rsid w:val="003E7C44"/>
    <w:rsid w:val="003F259F"/>
    <w:rsid w:val="004011D2"/>
    <w:rsid w:val="004042CA"/>
    <w:rsid w:val="0041199C"/>
    <w:rsid w:val="00415FCB"/>
    <w:rsid w:val="00421DC0"/>
    <w:rsid w:val="00422A83"/>
    <w:rsid w:val="00424808"/>
    <w:rsid w:val="00426D6B"/>
    <w:rsid w:val="004347BA"/>
    <w:rsid w:val="004359A2"/>
    <w:rsid w:val="00435A0F"/>
    <w:rsid w:val="0043657C"/>
    <w:rsid w:val="00437DA4"/>
    <w:rsid w:val="00451871"/>
    <w:rsid w:val="0047226C"/>
    <w:rsid w:val="0048094A"/>
    <w:rsid w:val="00482FBA"/>
    <w:rsid w:val="004836B1"/>
    <w:rsid w:val="00484719"/>
    <w:rsid w:val="00487D39"/>
    <w:rsid w:val="00494327"/>
    <w:rsid w:val="00496389"/>
    <w:rsid w:val="004965F4"/>
    <w:rsid w:val="004A0E7E"/>
    <w:rsid w:val="004B1B71"/>
    <w:rsid w:val="004B305E"/>
    <w:rsid w:val="004B6CC7"/>
    <w:rsid w:val="004C3399"/>
    <w:rsid w:val="004C5D32"/>
    <w:rsid w:val="004C74B7"/>
    <w:rsid w:val="004D16D1"/>
    <w:rsid w:val="004D4D85"/>
    <w:rsid w:val="004E12D5"/>
    <w:rsid w:val="004E1F63"/>
    <w:rsid w:val="004E414B"/>
    <w:rsid w:val="004E4917"/>
    <w:rsid w:val="004F0573"/>
    <w:rsid w:val="004F63D2"/>
    <w:rsid w:val="004F6568"/>
    <w:rsid w:val="00505CA0"/>
    <w:rsid w:val="00506686"/>
    <w:rsid w:val="005112E7"/>
    <w:rsid w:val="00512CF4"/>
    <w:rsid w:val="00514E9F"/>
    <w:rsid w:val="005153DA"/>
    <w:rsid w:val="00517966"/>
    <w:rsid w:val="00520174"/>
    <w:rsid w:val="00521A28"/>
    <w:rsid w:val="0053176A"/>
    <w:rsid w:val="005326B0"/>
    <w:rsid w:val="00533ACA"/>
    <w:rsid w:val="005406F9"/>
    <w:rsid w:val="005413FC"/>
    <w:rsid w:val="00541771"/>
    <w:rsid w:val="005423D7"/>
    <w:rsid w:val="00543E27"/>
    <w:rsid w:val="005565E6"/>
    <w:rsid w:val="0056107E"/>
    <w:rsid w:val="005634D4"/>
    <w:rsid w:val="00567BFA"/>
    <w:rsid w:val="00571B49"/>
    <w:rsid w:val="00572009"/>
    <w:rsid w:val="00576292"/>
    <w:rsid w:val="00582643"/>
    <w:rsid w:val="00584E4C"/>
    <w:rsid w:val="0058718C"/>
    <w:rsid w:val="0059219B"/>
    <w:rsid w:val="00592864"/>
    <w:rsid w:val="005956A3"/>
    <w:rsid w:val="0059669C"/>
    <w:rsid w:val="005A12D2"/>
    <w:rsid w:val="005B10EB"/>
    <w:rsid w:val="005B47C6"/>
    <w:rsid w:val="005B6392"/>
    <w:rsid w:val="005C67D9"/>
    <w:rsid w:val="005C77EA"/>
    <w:rsid w:val="005D1F87"/>
    <w:rsid w:val="005D3EE6"/>
    <w:rsid w:val="005D5525"/>
    <w:rsid w:val="005D585E"/>
    <w:rsid w:val="005D5EC3"/>
    <w:rsid w:val="005D6181"/>
    <w:rsid w:val="005E4D21"/>
    <w:rsid w:val="005F1C16"/>
    <w:rsid w:val="00603A24"/>
    <w:rsid w:val="00606A11"/>
    <w:rsid w:val="00607456"/>
    <w:rsid w:val="0060796A"/>
    <w:rsid w:val="00611F0D"/>
    <w:rsid w:val="00622068"/>
    <w:rsid w:val="006230AF"/>
    <w:rsid w:val="00623A72"/>
    <w:rsid w:val="00626828"/>
    <w:rsid w:val="006309F1"/>
    <w:rsid w:val="0063398F"/>
    <w:rsid w:val="006369F9"/>
    <w:rsid w:val="006427AB"/>
    <w:rsid w:val="00644DE2"/>
    <w:rsid w:val="006477FE"/>
    <w:rsid w:val="00651D5E"/>
    <w:rsid w:val="00653301"/>
    <w:rsid w:val="006557BE"/>
    <w:rsid w:val="006616AA"/>
    <w:rsid w:val="00661E8F"/>
    <w:rsid w:val="00663C2F"/>
    <w:rsid w:val="00683071"/>
    <w:rsid w:val="00685513"/>
    <w:rsid w:val="00686280"/>
    <w:rsid w:val="00691E83"/>
    <w:rsid w:val="00696638"/>
    <w:rsid w:val="00696BD4"/>
    <w:rsid w:val="006A4AAC"/>
    <w:rsid w:val="006A6C76"/>
    <w:rsid w:val="006B276B"/>
    <w:rsid w:val="006D13B7"/>
    <w:rsid w:val="006D2E99"/>
    <w:rsid w:val="006D5BC4"/>
    <w:rsid w:val="006D6A1F"/>
    <w:rsid w:val="006D7FDA"/>
    <w:rsid w:val="006E4E46"/>
    <w:rsid w:val="006E7B66"/>
    <w:rsid w:val="006F278F"/>
    <w:rsid w:val="006F598C"/>
    <w:rsid w:val="007009DE"/>
    <w:rsid w:val="00701B68"/>
    <w:rsid w:val="00701C47"/>
    <w:rsid w:val="00704A4B"/>
    <w:rsid w:val="00705106"/>
    <w:rsid w:val="0070651B"/>
    <w:rsid w:val="007112D2"/>
    <w:rsid w:val="007277BB"/>
    <w:rsid w:val="007334F3"/>
    <w:rsid w:val="00742F10"/>
    <w:rsid w:val="00743123"/>
    <w:rsid w:val="0074368D"/>
    <w:rsid w:val="007534DA"/>
    <w:rsid w:val="00760C58"/>
    <w:rsid w:val="007616C8"/>
    <w:rsid w:val="00765755"/>
    <w:rsid w:val="007762BC"/>
    <w:rsid w:val="00776512"/>
    <w:rsid w:val="007805ED"/>
    <w:rsid w:val="0078080D"/>
    <w:rsid w:val="00781579"/>
    <w:rsid w:val="007840D5"/>
    <w:rsid w:val="007852AD"/>
    <w:rsid w:val="00796079"/>
    <w:rsid w:val="007A593B"/>
    <w:rsid w:val="007B3412"/>
    <w:rsid w:val="007B3C7E"/>
    <w:rsid w:val="007B401E"/>
    <w:rsid w:val="007B6C3A"/>
    <w:rsid w:val="007C3209"/>
    <w:rsid w:val="007C342F"/>
    <w:rsid w:val="007C4127"/>
    <w:rsid w:val="007C506E"/>
    <w:rsid w:val="007D2A76"/>
    <w:rsid w:val="007E0552"/>
    <w:rsid w:val="007E37A6"/>
    <w:rsid w:val="007E5DBF"/>
    <w:rsid w:val="007E731F"/>
    <w:rsid w:val="007F2FA3"/>
    <w:rsid w:val="007F7113"/>
    <w:rsid w:val="008063D7"/>
    <w:rsid w:val="008108DD"/>
    <w:rsid w:val="00811DC4"/>
    <w:rsid w:val="008173F0"/>
    <w:rsid w:val="00821322"/>
    <w:rsid w:val="00826B98"/>
    <w:rsid w:val="00826D1E"/>
    <w:rsid w:val="00840885"/>
    <w:rsid w:val="008420E8"/>
    <w:rsid w:val="00842424"/>
    <w:rsid w:val="00842A15"/>
    <w:rsid w:val="00843128"/>
    <w:rsid w:val="00852562"/>
    <w:rsid w:val="00856B28"/>
    <w:rsid w:val="00857026"/>
    <w:rsid w:val="008608E8"/>
    <w:rsid w:val="00865F63"/>
    <w:rsid w:val="008665B6"/>
    <w:rsid w:val="0087060A"/>
    <w:rsid w:val="00871866"/>
    <w:rsid w:val="00871E97"/>
    <w:rsid w:val="00872215"/>
    <w:rsid w:val="008770AD"/>
    <w:rsid w:val="0088740E"/>
    <w:rsid w:val="008926C4"/>
    <w:rsid w:val="00892AB1"/>
    <w:rsid w:val="00892C34"/>
    <w:rsid w:val="0089429B"/>
    <w:rsid w:val="00896241"/>
    <w:rsid w:val="008975DC"/>
    <w:rsid w:val="008A198B"/>
    <w:rsid w:val="008A4F10"/>
    <w:rsid w:val="008C44FE"/>
    <w:rsid w:val="008D7042"/>
    <w:rsid w:val="008E028B"/>
    <w:rsid w:val="008E1F1E"/>
    <w:rsid w:val="008E344E"/>
    <w:rsid w:val="008E733F"/>
    <w:rsid w:val="008E781B"/>
    <w:rsid w:val="008F7D8C"/>
    <w:rsid w:val="0090353C"/>
    <w:rsid w:val="00904496"/>
    <w:rsid w:val="00905E02"/>
    <w:rsid w:val="00910B9E"/>
    <w:rsid w:val="00913500"/>
    <w:rsid w:val="0091538C"/>
    <w:rsid w:val="00916B13"/>
    <w:rsid w:val="00920F50"/>
    <w:rsid w:val="00924BFF"/>
    <w:rsid w:val="0092635B"/>
    <w:rsid w:val="00932175"/>
    <w:rsid w:val="00932ADF"/>
    <w:rsid w:val="0093391D"/>
    <w:rsid w:val="00934149"/>
    <w:rsid w:val="00934E62"/>
    <w:rsid w:val="0093503D"/>
    <w:rsid w:val="00941379"/>
    <w:rsid w:val="00941AF6"/>
    <w:rsid w:val="00960DDC"/>
    <w:rsid w:val="00963924"/>
    <w:rsid w:val="00963F4E"/>
    <w:rsid w:val="00971ED1"/>
    <w:rsid w:val="0097401D"/>
    <w:rsid w:val="00974DD4"/>
    <w:rsid w:val="009758F8"/>
    <w:rsid w:val="009862A2"/>
    <w:rsid w:val="00987787"/>
    <w:rsid w:val="00990A54"/>
    <w:rsid w:val="009A3074"/>
    <w:rsid w:val="009A3AC1"/>
    <w:rsid w:val="009A40C8"/>
    <w:rsid w:val="009A6C70"/>
    <w:rsid w:val="009A6DA2"/>
    <w:rsid w:val="009A733A"/>
    <w:rsid w:val="009B5CE8"/>
    <w:rsid w:val="009C26B5"/>
    <w:rsid w:val="009C7061"/>
    <w:rsid w:val="009D07D0"/>
    <w:rsid w:val="009D4DCB"/>
    <w:rsid w:val="009D58BB"/>
    <w:rsid w:val="009D72CA"/>
    <w:rsid w:val="009E3455"/>
    <w:rsid w:val="009E5931"/>
    <w:rsid w:val="009F4A9B"/>
    <w:rsid w:val="009F5024"/>
    <w:rsid w:val="009F7E7C"/>
    <w:rsid w:val="00A04822"/>
    <w:rsid w:val="00A10A80"/>
    <w:rsid w:val="00A1433B"/>
    <w:rsid w:val="00A14E5F"/>
    <w:rsid w:val="00A362FE"/>
    <w:rsid w:val="00A450BF"/>
    <w:rsid w:val="00A55C04"/>
    <w:rsid w:val="00A571F4"/>
    <w:rsid w:val="00A61440"/>
    <w:rsid w:val="00A61555"/>
    <w:rsid w:val="00A65DBC"/>
    <w:rsid w:val="00A81720"/>
    <w:rsid w:val="00A84947"/>
    <w:rsid w:val="00A86E67"/>
    <w:rsid w:val="00A90445"/>
    <w:rsid w:val="00A91AF4"/>
    <w:rsid w:val="00A93906"/>
    <w:rsid w:val="00A94BF5"/>
    <w:rsid w:val="00A979AD"/>
    <w:rsid w:val="00AA3188"/>
    <w:rsid w:val="00AA62B8"/>
    <w:rsid w:val="00AB1675"/>
    <w:rsid w:val="00AB1BDF"/>
    <w:rsid w:val="00AB40D1"/>
    <w:rsid w:val="00AB4104"/>
    <w:rsid w:val="00AB712E"/>
    <w:rsid w:val="00AB7303"/>
    <w:rsid w:val="00AC1FD0"/>
    <w:rsid w:val="00AC3DD5"/>
    <w:rsid w:val="00AC4F7B"/>
    <w:rsid w:val="00AC6ABD"/>
    <w:rsid w:val="00AC77E0"/>
    <w:rsid w:val="00AD4407"/>
    <w:rsid w:val="00AD4FF9"/>
    <w:rsid w:val="00AD6124"/>
    <w:rsid w:val="00AE048E"/>
    <w:rsid w:val="00AE131C"/>
    <w:rsid w:val="00AE3E84"/>
    <w:rsid w:val="00AE44E9"/>
    <w:rsid w:val="00AF174B"/>
    <w:rsid w:val="00AF6340"/>
    <w:rsid w:val="00B010F3"/>
    <w:rsid w:val="00B03C5D"/>
    <w:rsid w:val="00B05C9C"/>
    <w:rsid w:val="00B07504"/>
    <w:rsid w:val="00B13B7B"/>
    <w:rsid w:val="00B14F17"/>
    <w:rsid w:val="00B1662A"/>
    <w:rsid w:val="00B17ACB"/>
    <w:rsid w:val="00B2038A"/>
    <w:rsid w:val="00B329D0"/>
    <w:rsid w:val="00B347B5"/>
    <w:rsid w:val="00B3509C"/>
    <w:rsid w:val="00B3648E"/>
    <w:rsid w:val="00B44FC6"/>
    <w:rsid w:val="00B5001E"/>
    <w:rsid w:val="00B53058"/>
    <w:rsid w:val="00B5601A"/>
    <w:rsid w:val="00B6304D"/>
    <w:rsid w:val="00B634E9"/>
    <w:rsid w:val="00B64917"/>
    <w:rsid w:val="00B9576C"/>
    <w:rsid w:val="00BA10AD"/>
    <w:rsid w:val="00BA358E"/>
    <w:rsid w:val="00BA4468"/>
    <w:rsid w:val="00BA70C3"/>
    <w:rsid w:val="00BA78AA"/>
    <w:rsid w:val="00BA7B80"/>
    <w:rsid w:val="00BB505F"/>
    <w:rsid w:val="00BD058C"/>
    <w:rsid w:val="00BD17DD"/>
    <w:rsid w:val="00BD2E36"/>
    <w:rsid w:val="00BE4262"/>
    <w:rsid w:val="00BF4067"/>
    <w:rsid w:val="00C01D79"/>
    <w:rsid w:val="00C03239"/>
    <w:rsid w:val="00C03E3A"/>
    <w:rsid w:val="00C13B2E"/>
    <w:rsid w:val="00C16BE4"/>
    <w:rsid w:val="00C26386"/>
    <w:rsid w:val="00C30B61"/>
    <w:rsid w:val="00C346FA"/>
    <w:rsid w:val="00C34D29"/>
    <w:rsid w:val="00C446E8"/>
    <w:rsid w:val="00C45C09"/>
    <w:rsid w:val="00C51AFD"/>
    <w:rsid w:val="00C57265"/>
    <w:rsid w:val="00C644AA"/>
    <w:rsid w:val="00C70B26"/>
    <w:rsid w:val="00C71BDC"/>
    <w:rsid w:val="00C873F0"/>
    <w:rsid w:val="00C87A57"/>
    <w:rsid w:val="00C91933"/>
    <w:rsid w:val="00CA2782"/>
    <w:rsid w:val="00CA7EA6"/>
    <w:rsid w:val="00CB1335"/>
    <w:rsid w:val="00CB6107"/>
    <w:rsid w:val="00CB6B9B"/>
    <w:rsid w:val="00CB765F"/>
    <w:rsid w:val="00CC00F8"/>
    <w:rsid w:val="00CC3B44"/>
    <w:rsid w:val="00CC5500"/>
    <w:rsid w:val="00CC6994"/>
    <w:rsid w:val="00CD39BA"/>
    <w:rsid w:val="00CD5BBC"/>
    <w:rsid w:val="00CD64D0"/>
    <w:rsid w:val="00CE29BD"/>
    <w:rsid w:val="00CF0750"/>
    <w:rsid w:val="00CF2979"/>
    <w:rsid w:val="00CF2A91"/>
    <w:rsid w:val="00CF388E"/>
    <w:rsid w:val="00D00088"/>
    <w:rsid w:val="00D025BA"/>
    <w:rsid w:val="00D076BF"/>
    <w:rsid w:val="00D11334"/>
    <w:rsid w:val="00D12BA6"/>
    <w:rsid w:val="00D15826"/>
    <w:rsid w:val="00D23BE9"/>
    <w:rsid w:val="00D25EB6"/>
    <w:rsid w:val="00D306E6"/>
    <w:rsid w:val="00D41911"/>
    <w:rsid w:val="00D42B17"/>
    <w:rsid w:val="00D464C0"/>
    <w:rsid w:val="00D50233"/>
    <w:rsid w:val="00D51E1A"/>
    <w:rsid w:val="00D523B9"/>
    <w:rsid w:val="00D56FBD"/>
    <w:rsid w:val="00D57417"/>
    <w:rsid w:val="00D63028"/>
    <w:rsid w:val="00D7671C"/>
    <w:rsid w:val="00D81A9D"/>
    <w:rsid w:val="00D833B5"/>
    <w:rsid w:val="00D85061"/>
    <w:rsid w:val="00D91652"/>
    <w:rsid w:val="00D92C21"/>
    <w:rsid w:val="00D94904"/>
    <w:rsid w:val="00DA46AF"/>
    <w:rsid w:val="00DA59A2"/>
    <w:rsid w:val="00DA6AF9"/>
    <w:rsid w:val="00DB268C"/>
    <w:rsid w:val="00DC46E1"/>
    <w:rsid w:val="00DC5DD2"/>
    <w:rsid w:val="00DD0756"/>
    <w:rsid w:val="00DD0ADD"/>
    <w:rsid w:val="00DE37C6"/>
    <w:rsid w:val="00DE3DDA"/>
    <w:rsid w:val="00DE5542"/>
    <w:rsid w:val="00DF04C4"/>
    <w:rsid w:val="00DF3603"/>
    <w:rsid w:val="00DF3F8C"/>
    <w:rsid w:val="00DF5377"/>
    <w:rsid w:val="00E00FAF"/>
    <w:rsid w:val="00E0363F"/>
    <w:rsid w:val="00E05092"/>
    <w:rsid w:val="00E1053C"/>
    <w:rsid w:val="00E13351"/>
    <w:rsid w:val="00E1681B"/>
    <w:rsid w:val="00E176CC"/>
    <w:rsid w:val="00E22D6A"/>
    <w:rsid w:val="00E24879"/>
    <w:rsid w:val="00E3672B"/>
    <w:rsid w:val="00E375B5"/>
    <w:rsid w:val="00E43DD3"/>
    <w:rsid w:val="00E61739"/>
    <w:rsid w:val="00E83804"/>
    <w:rsid w:val="00E86F3B"/>
    <w:rsid w:val="00E876D3"/>
    <w:rsid w:val="00E93F00"/>
    <w:rsid w:val="00EA275D"/>
    <w:rsid w:val="00EA534D"/>
    <w:rsid w:val="00EB045C"/>
    <w:rsid w:val="00EB0E49"/>
    <w:rsid w:val="00EB7CE5"/>
    <w:rsid w:val="00EC5210"/>
    <w:rsid w:val="00ED1E0E"/>
    <w:rsid w:val="00ED2A6D"/>
    <w:rsid w:val="00ED7288"/>
    <w:rsid w:val="00ED7BE5"/>
    <w:rsid w:val="00ED7E23"/>
    <w:rsid w:val="00EE7C90"/>
    <w:rsid w:val="00EF7706"/>
    <w:rsid w:val="00F01099"/>
    <w:rsid w:val="00F06984"/>
    <w:rsid w:val="00F07DB4"/>
    <w:rsid w:val="00F15D62"/>
    <w:rsid w:val="00F2148B"/>
    <w:rsid w:val="00F2587A"/>
    <w:rsid w:val="00F26D67"/>
    <w:rsid w:val="00F27CC1"/>
    <w:rsid w:val="00F310A4"/>
    <w:rsid w:val="00F4024B"/>
    <w:rsid w:val="00F443B3"/>
    <w:rsid w:val="00F448EC"/>
    <w:rsid w:val="00F467F0"/>
    <w:rsid w:val="00F47154"/>
    <w:rsid w:val="00F51DFF"/>
    <w:rsid w:val="00F52EFC"/>
    <w:rsid w:val="00F54D60"/>
    <w:rsid w:val="00F54E2F"/>
    <w:rsid w:val="00F607CF"/>
    <w:rsid w:val="00F66757"/>
    <w:rsid w:val="00F7590A"/>
    <w:rsid w:val="00F77CD1"/>
    <w:rsid w:val="00F827C8"/>
    <w:rsid w:val="00F83805"/>
    <w:rsid w:val="00F90451"/>
    <w:rsid w:val="00F91FDB"/>
    <w:rsid w:val="00F946A5"/>
    <w:rsid w:val="00F95399"/>
    <w:rsid w:val="00F95C03"/>
    <w:rsid w:val="00FA4AE2"/>
    <w:rsid w:val="00FA6208"/>
    <w:rsid w:val="00FB1069"/>
    <w:rsid w:val="00FB23D0"/>
    <w:rsid w:val="00FB32C8"/>
    <w:rsid w:val="00FC2ADD"/>
    <w:rsid w:val="00FC2F34"/>
    <w:rsid w:val="00FD5B53"/>
    <w:rsid w:val="00FD6A70"/>
    <w:rsid w:val="00FE27BB"/>
    <w:rsid w:val="00FF0185"/>
    <w:rsid w:val="00FF1B9A"/>
    <w:rsid w:val="00FF3C10"/>
    <w:rsid w:val="01383209"/>
    <w:rsid w:val="014001AC"/>
    <w:rsid w:val="017716F4"/>
    <w:rsid w:val="02B676C8"/>
    <w:rsid w:val="02FA0695"/>
    <w:rsid w:val="034376EE"/>
    <w:rsid w:val="056C3B1A"/>
    <w:rsid w:val="05BC6FB2"/>
    <w:rsid w:val="060E0879"/>
    <w:rsid w:val="067F3525"/>
    <w:rsid w:val="06976E4E"/>
    <w:rsid w:val="06C54CB0"/>
    <w:rsid w:val="06F268BA"/>
    <w:rsid w:val="070A47AC"/>
    <w:rsid w:val="07536DD3"/>
    <w:rsid w:val="07656842"/>
    <w:rsid w:val="078C15D9"/>
    <w:rsid w:val="08680198"/>
    <w:rsid w:val="08A96637"/>
    <w:rsid w:val="08C90A87"/>
    <w:rsid w:val="096C7482"/>
    <w:rsid w:val="0A522CFE"/>
    <w:rsid w:val="0A60541B"/>
    <w:rsid w:val="0AAE43D8"/>
    <w:rsid w:val="0B04049C"/>
    <w:rsid w:val="0B1930FE"/>
    <w:rsid w:val="0B1E26F3"/>
    <w:rsid w:val="0B5C2951"/>
    <w:rsid w:val="0B7C0033"/>
    <w:rsid w:val="0BC62CE6"/>
    <w:rsid w:val="0BCA4A38"/>
    <w:rsid w:val="0BD45D4F"/>
    <w:rsid w:val="0BD75BB1"/>
    <w:rsid w:val="0BDE0F14"/>
    <w:rsid w:val="0C1069CD"/>
    <w:rsid w:val="0C57284E"/>
    <w:rsid w:val="0C576DA7"/>
    <w:rsid w:val="0CBA42CC"/>
    <w:rsid w:val="0D4903E8"/>
    <w:rsid w:val="0D715B96"/>
    <w:rsid w:val="0DB77A48"/>
    <w:rsid w:val="0DC823FD"/>
    <w:rsid w:val="0E83303B"/>
    <w:rsid w:val="0F515C7A"/>
    <w:rsid w:val="0F621C2B"/>
    <w:rsid w:val="0F7D29E3"/>
    <w:rsid w:val="0FBA4D52"/>
    <w:rsid w:val="0FCA12E5"/>
    <w:rsid w:val="10A87A66"/>
    <w:rsid w:val="10AC760C"/>
    <w:rsid w:val="11453112"/>
    <w:rsid w:val="11685276"/>
    <w:rsid w:val="116F4196"/>
    <w:rsid w:val="11823FED"/>
    <w:rsid w:val="12FC5EFD"/>
    <w:rsid w:val="13F562D3"/>
    <w:rsid w:val="140F3BE7"/>
    <w:rsid w:val="142F467C"/>
    <w:rsid w:val="14B6708E"/>
    <w:rsid w:val="15E4627C"/>
    <w:rsid w:val="162B2238"/>
    <w:rsid w:val="170C32A1"/>
    <w:rsid w:val="17232DE9"/>
    <w:rsid w:val="175D7EF5"/>
    <w:rsid w:val="1832166E"/>
    <w:rsid w:val="18361C8A"/>
    <w:rsid w:val="18C106D2"/>
    <w:rsid w:val="19017DC9"/>
    <w:rsid w:val="198804EA"/>
    <w:rsid w:val="19AB1C63"/>
    <w:rsid w:val="19BE5CBA"/>
    <w:rsid w:val="1A9D0782"/>
    <w:rsid w:val="1ADD03C2"/>
    <w:rsid w:val="1B411AB0"/>
    <w:rsid w:val="1B8806C2"/>
    <w:rsid w:val="1B8A1741"/>
    <w:rsid w:val="1BD96BFA"/>
    <w:rsid w:val="1C3660D4"/>
    <w:rsid w:val="1C5D20B1"/>
    <w:rsid w:val="1CFB7D84"/>
    <w:rsid w:val="1D9D51F3"/>
    <w:rsid w:val="1E5B441F"/>
    <w:rsid w:val="1E8219AC"/>
    <w:rsid w:val="1E8F40C9"/>
    <w:rsid w:val="1EA04399"/>
    <w:rsid w:val="1EDF441B"/>
    <w:rsid w:val="1F470500"/>
    <w:rsid w:val="1F6D5158"/>
    <w:rsid w:val="1F7C464D"/>
    <w:rsid w:val="1F8D685B"/>
    <w:rsid w:val="21151D88"/>
    <w:rsid w:val="211B629E"/>
    <w:rsid w:val="213E63AC"/>
    <w:rsid w:val="21451B35"/>
    <w:rsid w:val="223D1496"/>
    <w:rsid w:val="2293278E"/>
    <w:rsid w:val="229D4E67"/>
    <w:rsid w:val="22D121EA"/>
    <w:rsid w:val="23B56C14"/>
    <w:rsid w:val="23FA051B"/>
    <w:rsid w:val="246C2EE2"/>
    <w:rsid w:val="24F31469"/>
    <w:rsid w:val="251D242F"/>
    <w:rsid w:val="258260FF"/>
    <w:rsid w:val="25934CC0"/>
    <w:rsid w:val="2686600F"/>
    <w:rsid w:val="26CC7F55"/>
    <w:rsid w:val="26FD3595"/>
    <w:rsid w:val="27740528"/>
    <w:rsid w:val="29690CF2"/>
    <w:rsid w:val="297E0BE1"/>
    <w:rsid w:val="29B449E4"/>
    <w:rsid w:val="29E55A72"/>
    <w:rsid w:val="29F85218"/>
    <w:rsid w:val="2A4D7312"/>
    <w:rsid w:val="2A515672"/>
    <w:rsid w:val="2A56694F"/>
    <w:rsid w:val="2A92556A"/>
    <w:rsid w:val="2AB90BF0"/>
    <w:rsid w:val="2B0B536D"/>
    <w:rsid w:val="2B21624E"/>
    <w:rsid w:val="2B34402E"/>
    <w:rsid w:val="2B5E554F"/>
    <w:rsid w:val="2C11611D"/>
    <w:rsid w:val="2C16133A"/>
    <w:rsid w:val="2C697D08"/>
    <w:rsid w:val="2C866C92"/>
    <w:rsid w:val="2CA62D0A"/>
    <w:rsid w:val="2CCF04B2"/>
    <w:rsid w:val="2D3441B1"/>
    <w:rsid w:val="2E794DEE"/>
    <w:rsid w:val="2E8828A0"/>
    <w:rsid w:val="2E9D1EEA"/>
    <w:rsid w:val="2F0D6640"/>
    <w:rsid w:val="2F3C3982"/>
    <w:rsid w:val="2F5702EB"/>
    <w:rsid w:val="2F917175"/>
    <w:rsid w:val="2FD14C2F"/>
    <w:rsid w:val="30280A07"/>
    <w:rsid w:val="304750D7"/>
    <w:rsid w:val="305D28EF"/>
    <w:rsid w:val="30B84A40"/>
    <w:rsid w:val="30CD0BD6"/>
    <w:rsid w:val="31271F3F"/>
    <w:rsid w:val="312850D7"/>
    <w:rsid w:val="316B4B60"/>
    <w:rsid w:val="316F4012"/>
    <w:rsid w:val="319523C5"/>
    <w:rsid w:val="31E87C79"/>
    <w:rsid w:val="32543208"/>
    <w:rsid w:val="32755858"/>
    <w:rsid w:val="327D62BB"/>
    <w:rsid w:val="32E53E60"/>
    <w:rsid w:val="337268B3"/>
    <w:rsid w:val="33BC72B7"/>
    <w:rsid w:val="33FE342B"/>
    <w:rsid w:val="34416DCB"/>
    <w:rsid w:val="34716E2D"/>
    <w:rsid w:val="34E45C3F"/>
    <w:rsid w:val="351112A6"/>
    <w:rsid w:val="35984C94"/>
    <w:rsid w:val="35A95E9C"/>
    <w:rsid w:val="35B4484A"/>
    <w:rsid w:val="367B3670"/>
    <w:rsid w:val="36897F35"/>
    <w:rsid w:val="36A93B22"/>
    <w:rsid w:val="36DA68FC"/>
    <w:rsid w:val="37954CDD"/>
    <w:rsid w:val="379C6CCF"/>
    <w:rsid w:val="37C815BB"/>
    <w:rsid w:val="38341B11"/>
    <w:rsid w:val="38521F98"/>
    <w:rsid w:val="388D4973"/>
    <w:rsid w:val="38EC5F48"/>
    <w:rsid w:val="38FC368E"/>
    <w:rsid w:val="39074B30"/>
    <w:rsid w:val="39145CDA"/>
    <w:rsid w:val="399F745E"/>
    <w:rsid w:val="39BC44F6"/>
    <w:rsid w:val="39C2426F"/>
    <w:rsid w:val="3A7061B9"/>
    <w:rsid w:val="3B4402BD"/>
    <w:rsid w:val="3B8F48C0"/>
    <w:rsid w:val="3D4A5933"/>
    <w:rsid w:val="3D697DFA"/>
    <w:rsid w:val="3DF239A8"/>
    <w:rsid w:val="3EEA2F2A"/>
    <w:rsid w:val="3F55760A"/>
    <w:rsid w:val="3F67457A"/>
    <w:rsid w:val="3F7A3E2D"/>
    <w:rsid w:val="3FB92C2C"/>
    <w:rsid w:val="40D00013"/>
    <w:rsid w:val="41597EF3"/>
    <w:rsid w:val="417116E0"/>
    <w:rsid w:val="418C7C5C"/>
    <w:rsid w:val="41CD7A3E"/>
    <w:rsid w:val="42051A04"/>
    <w:rsid w:val="428D4EA3"/>
    <w:rsid w:val="42F205FF"/>
    <w:rsid w:val="43542429"/>
    <w:rsid w:val="43F44183"/>
    <w:rsid w:val="4467501D"/>
    <w:rsid w:val="44B55D88"/>
    <w:rsid w:val="45190EF4"/>
    <w:rsid w:val="455F646F"/>
    <w:rsid w:val="458F470E"/>
    <w:rsid w:val="45EC57D9"/>
    <w:rsid w:val="468E4E6D"/>
    <w:rsid w:val="46E93AC7"/>
    <w:rsid w:val="47881F31"/>
    <w:rsid w:val="47A85461"/>
    <w:rsid w:val="47B03BA9"/>
    <w:rsid w:val="47C702AC"/>
    <w:rsid w:val="47E96FDE"/>
    <w:rsid w:val="48C1708E"/>
    <w:rsid w:val="49A308A5"/>
    <w:rsid w:val="4A0B4034"/>
    <w:rsid w:val="4A2E02C6"/>
    <w:rsid w:val="4B441A76"/>
    <w:rsid w:val="4B4945D8"/>
    <w:rsid w:val="4B9E1DB9"/>
    <w:rsid w:val="4C392DFB"/>
    <w:rsid w:val="4C3A14A5"/>
    <w:rsid w:val="4CA74208"/>
    <w:rsid w:val="4D842037"/>
    <w:rsid w:val="4D8954FA"/>
    <w:rsid w:val="4D9B2F7F"/>
    <w:rsid w:val="4DBC0187"/>
    <w:rsid w:val="4DCD4142"/>
    <w:rsid w:val="4E000399"/>
    <w:rsid w:val="4E1524EB"/>
    <w:rsid w:val="4EED444F"/>
    <w:rsid w:val="4F3912D1"/>
    <w:rsid w:val="4F952A3E"/>
    <w:rsid w:val="4FD25A40"/>
    <w:rsid w:val="50086B0C"/>
    <w:rsid w:val="50485D02"/>
    <w:rsid w:val="506242CE"/>
    <w:rsid w:val="50C07F8E"/>
    <w:rsid w:val="51656440"/>
    <w:rsid w:val="51915487"/>
    <w:rsid w:val="521A547C"/>
    <w:rsid w:val="52267A1D"/>
    <w:rsid w:val="5235330A"/>
    <w:rsid w:val="52BB6C5F"/>
    <w:rsid w:val="52BE22AC"/>
    <w:rsid w:val="54022FBD"/>
    <w:rsid w:val="54810BF1"/>
    <w:rsid w:val="550024AC"/>
    <w:rsid w:val="55D04519"/>
    <w:rsid w:val="560728C4"/>
    <w:rsid w:val="560A2766"/>
    <w:rsid w:val="563E394A"/>
    <w:rsid w:val="570016CA"/>
    <w:rsid w:val="5768620E"/>
    <w:rsid w:val="58072942"/>
    <w:rsid w:val="58310C72"/>
    <w:rsid w:val="587B479B"/>
    <w:rsid w:val="589647C1"/>
    <w:rsid w:val="589D1393"/>
    <w:rsid w:val="58B24FBD"/>
    <w:rsid w:val="59857735"/>
    <w:rsid w:val="5A2447B1"/>
    <w:rsid w:val="5A346EB9"/>
    <w:rsid w:val="5A932E77"/>
    <w:rsid w:val="5AAB6294"/>
    <w:rsid w:val="5AE547AB"/>
    <w:rsid w:val="5B461090"/>
    <w:rsid w:val="5BB53BA8"/>
    <w:rsid w:val="5BFD3E45"/>
    <w:rsid w:val="5C545A2F"/>
    <w:rsid w:val="5C6D5D5D"/>
    <w:rsid w:val="5CDA13D1"/>
    <w:rsid w:val="5D886622"/>
    <w:rsid w:val="5E5065E1"/>
    <w:rsid w:val="5E93433C"/>
    <w:rsid w:val="5F250023"/>
    <w:rsid w:val="5F4D6E91"/>
    <w:rsid w:val="5F5521EA"/>
    <w:rsid w:val="5F742670"/>
    <w:rsid w:val="607C110F"/>
    <w:rsid w:val="60AE2B4F"/>
    <w:rsid w:val="614B38A4"/>
    <w:rsid w:val="61573FF7"/>
    <w:rsid w:val="6161462F"/>
    <w:rsid w:val="62500A46"/>
    <w:rsid w:val="62600C89"/>
    <w:rsid w:val="62E31CA2"/>
    <w:rsid w:val="63AB4186"/>
    <w:rsid w:val="63C82222"/>
    <w:rsid w:val="63CA1BA3"/>
    <w:rsid w:val="645529A9"/>
    <w:rsid w:val="645A795A"/>
    <w:rsid w:val="646F1658"/>
    <w:rsid w:val="64862C2B"/>
    <w:rsid w:val="6552795A"/>
    <w:rsid w:val="6562740E"/>
    <w:rsid w:val="65A6686F"/>
    <w:rsid w:val="65D0211A"/>
    <w:rsid w:val="65DD6180"/>
    <w:rsid w:val="6612673F"/>
    <w:rsid w:val="6661072D"/>
    <w:rsid w:val="669F4174"/>
    <w:rsid w:val="66B71094"/>
    <w:rsid w:val="66EC3434"/>
    <w:rsid w:val="671309C0"/>
    <w:rsid w:val="67821A09"/>
    <w:rsid w:val="680B78E9"/>
    <w:rsid w:val="68440261"/>
    <w:rsid w:val="685C0145"/>
    <w:rsid w:val="69210081"/>
    <w:rsid w:val="696608D8"/>
    <w:rsid w:val="69A73642"/>
    <w:rsid w:val="6A1D5552"/>
    <w:rsid w:val="6A615EE7"/>
    <w:rsid w:val="6A8B3BD0"/>
    <w:rsid w:val="6B6A2FF0"/>
    <w:rsid w:val="6B982889"/>
    <w:rsid w:val="6C2076DB"/>
    <w:rsid w:val="6C5C6966"/>
    <w:rsid w:val="6CD26C28"/>
    <w:rsid w:val="6D321474"/>
    <w:rsid w:val="6E015061"/>
    <w:rsid w:val="6E1E1E1F"/>
    <w:rsid w:val="6EF03395"/>
    <w:rsid w:val="6F320A9F"/>
    <w:rsid w:val="6FE1395E"/>
    <w:rsid w:val="704F058F"/>
    <w:rsid w:val="70B7060E"/>
    <w:rsid w:val="70C44AD9"/>
    <w:rsid w:val="714E7574"/>
    <w:rsid w:val="715E7281"/>
    <w:rsid w:val="72250B6E"/>
    <w:rsid w:val="72394572"/>
    <w:rsid w:val="73110955"/>
    <w:rsid w:val="735A1441"/>
    <w:rsid w:val="741E4320"/>
    <w:rsid w:val="756D4E06"/>
    <w:rsid w:val="75823C7E"/>
    <w:rsid w:val="75B4336E"/>
    <w:rsid w:val="75F265F9"/>
    <w:rsid w:val="765B56E0"/>
    <w:rsid w:val="778925D9"/>
    <w:rsid w:val="77F02658"/>
    <w:rsid w:val="78850FF2"/>
    <w:rsid w:val="78B356F2"/>
    <w:rsid w:val="793067AF"/>
    <w:rsid w:val="79380304"/>
    <w:rsid w:val="79F2507B"/>
    <w:rsid w:val="7A173B34"/>
    <w:rsid w:val="7A3126F0"/>
    <w:rsid w:val="7AB979CE"/>
    <w:rsid w:val="7BAE7A93"/>
    <w:rsid w:val="7C6155FB"/>
    <w:rsid w:val="7C7E5513"/>
    <w:rsid w:val="7C9932BE"/>
    <w:rsid w:val="7CA14034"/>
    <w:rsid w:val="7D7E34D3"/>
    <w:rsid w:val="7DE92023"/>
    <w:rsid w:val="7E626B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3">
    <w:name w:val="heading 2"/>
    <w:basedOn w:val="1"/>
    <w:next w:val="1"/>
    <w:link w:val="102"/>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黑体" w:hAnsi="宋体" w:eastAsia="黑体"/>
      <w:bCs/>
      <w:kern w:val="44"/>
    </w:rPr>
  </w:style>
  <w:style w:type="paragraph" w:styleId="4">
    <w:name w:val="heading 3"/>
    <w:basedOn w:val="1"/>
    <w:next w:val="5"/>
    <w:link w:val="119"/>
    <w:qFormat/>
    <w:uiPriority w:val="0"/>
    <w:pPr>
      <w:keepNext/>
      <w:keepLines/>
      <w:widowControl/>
      <w:numPr>
        <w:ilvl w:val="2"/>
        <w:numId w:val="1"/>
      </w:numPr>
      <w:tabs>
        <w:tab w:val="left" w:pos="753"/>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6">
    <w:name w:val="heading 4"/>
    <w:basedOn w:val="1"/>
    <w:next w:val="5"/>
    <w:link w:val="93"/>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5"/>
    <w:link w:val="106"/>
    <w:qFormat/>
    <w:uiPriority w:val="0"/>
    <w:pPr>
      <w:keepNext/>
      <w:keepLines/>
      <w:spacing w:before="280" w:after="290" w:line="376" w:lineRule="auto"/>
      <w:outlineLvl w:val="4"/>
    </w:pPr>
    <w:rPr>
      <w:b/>
      <w:sz w:val="28"/>
      <w:szCs w:val="20"/>
    </w:rPr>
  </w:style>
  <w:style w:type="paragraph" w:styleId="8">
    <w:name w:val="heading 6"/>
    <w:basedOn w:val="1"/>
    <w:next w:val="5"/>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5"/>
    <w:link w:val="111"/>
    <w:qFormat/>
    <w:uiPriority w:val="0"/>
    <w:pPr>
      <w:keepNext/>
      <w:keepLines/>
      <w:spacing w:before="240" w:after="64" w:line="320" w:lineRule="auto"/>
      <w:outlineLvl w:val="6"/>
    </w:pPr>
    <w:rPr>
      <w:b/>
      <w:sz w:val="24"/>
      <w:szCs w:val="20"/>
    </w:rPr>
  </w:style>
  <w:style w:type="paragraph" w:styleId="10">
    <w:name w:val="heading 8"/>
    <w:basedOn w:val="1"/>
    <w:next w:val="5"/>
    <w:link w:val="98"/>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5"/>
    <w:link w:val="90"/>
    <w:qFormat/>
    <w:uiPriority w:val="0"/>
    <w:pPr>
      <w:keepNext/>
      <w:keepLines/>
      <w:spacing w:before="240" w:after="64" w:line="320" w:lineRule="auto"/>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13"/>
    <w:qFormat/>
    <w:uiPriority w:val="0"/>
    <w:pPr>
      <w:autoSpaceDE w:val="0"/>
      <w:autoSpaceDN w:val="0"/>
      <w:adjustRightInd w:val="0"/>
      <w:ind w:firstLine="420"/>
      <w:jc w:val="left"/>
      <w:textAlignment w:val="baseline"/>
    </w:pPr>
    <w:rPr>
      <w:rFonts w:ascii="宋体"/>
      <w:kern w:val="0"/>
      <w:sz w:val="34"/>
      <w:szCs w:val="20"/>
    </w:rPr>
  </w:style>
  <w:style w:type="paragraph" w:styleId="12">
    <w:name w:val="toc 7"/>
    <w:basedOn w:val="1"/>
    <w:next w:val="1"/>
    <w:qFormat/>
    <w:uiPriority w:val="0"/>
    <w:pPr>
      <w:ind w:left="1200" w:leftChars="1200"/>
    </w:pPr>
    <w:rPr>
      <w:rFonts w:ascii="Calibri" w:hAnsi="Calibri"/>
      <w:szCs w:val="22"/>
    </w:rPr>
  </w:style>
  <w:style w:type="paragraph" w:styleId="13">
    <w:name w:val="caption"/>
    <w:basedOn w:val="1"/>
    <w:next w:val="1"/>
    <w:qFormat/>
    <w:uiPriority w:val="0"/>
    <w:pPr>
      <w:spacing w:line="360" w:lineRule="auto"/>
    </w:pPr>
    <w:rPr>
      <w:rFonts w:ascii="Arial" w:hAnsi="Arial" w:eastAsia="黑体" w:cs="Arial"/>
      <w:sz w:val="20"/>
      <w:szCs w:val="20"/>
    </w:rPr>
  </w:style>
  <w:style w:type="paragraph" w:styleId="14">
    <w:name w:val="List Bullet"/>
    <w:basedOn w:val="1"/>
    <w:qFormat/>
    <w:uiPriority w:val="0"/>
    <w:pPr>
      <w:tabs>
        <w:tab w:val="left" w:pos="360"/>
        <w:tab w:val="left" w:pos="1320"/>
      </w:tabs>
      <w:spacing w:line="360" w:lineRule="auto"/>
      <w:ind w:left="1320" w:hanging="420"/>
    </w:pPr>
    <w:rPr>
      <w:sz w:val="24"/>
    </w:rPr>
  </w:style>
  <w:style w:type="paragraph" w:styleId="15">
    <w:name w:val="Document Map"/>
    <w:basedOn w:val="1"/>
    <w:qFormat/>
    <w:uiPriority w:val="0"/>
    <w:pPr>
      <w:shd w:val="clear" w:color="auto" w:fill="000080"/>
    </w:pPr>
  </w:style>
  <w:style w:type="paragraph" w:styleId="16">
    <w:name w:val="annotation text"/>
    <w:basedOn w:val="1"/>
    <w:link w:val="131"/>
    <w:autoRedefine/>
    <w:qFormat/>
    <w:uiPriority w:val="0"/>
    <w:pPr>
      <w:spacing w:line="360" w:lineRule="auto"/>
      <w:jc w:val="left"/>
    </w:pPr>
    <w:rPr>
      <w:sz w:val="24"/>
    </w:rPr>
  </w:style>
  <w:style w:type="paragraph" w:styleId="17">
    <w:name w:val="Body Text"/>
    <w:basedOn w:val="1"/>
    <w:link w:val="76"/>
    <w:qFormat/>
    <w:uiPriority w:val="0"/>
    <w:pPr>
      <w:spacing w:after="120"/>
    </w:pPr>
  </w:style>
  <w:style w:type="paragraph" w:styleId="18">
    <w:name w:val="Body Text Indent"/>
    <w:basedOn w:val="1"/>
    <w:link w:val="123"/>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19">
    <w:name w:val="List Bullet 2"/>
    <w:basedOn w:val="1"/>
    <w:qFormat/>
    <w:uiPriority w:val="0"/>
    <w:pPr>
      <w:numPr>
        <w:ilvl w:val="0"/>
        <w:numId w:val="2"/>
      </w:numPr>
    </w:pPr>
  </w:style>
  <w:style w:type="paragraph" w:styleId="20">
    <w:name w:val="HTML Address"/>
    <w:basedOn w:val="1"/>
    <w:link w:val="129"/>
    <w:qFormat/>
    <w:uiPriority w:val="0"/>
    <w:pPr>
      <w:numPr>
        <w:ilvl w:val="0"/>
        <w:numId w:val="3"/>
      </w:numPr>
      <w:tabs>
        <w:tab w:val="clear" w:pos="432"/>
      </w:tabs>
      <w:ind w:left="0" w:firstLine="0"/>
    </w:pPr>
    <w:rPr>
      <w:i/>
    </w:rPr>
  </w:style>
  <w:style w:type="paragraph" w:styleId="21">
    <w:name w:val="toc 5"/>
    <w:basedOn w:val="1"/>
    <w:next w:val="1"/>
    <w:qFormat/>
    <w:uiPriority w:val="0"/>
    <w:pPr>
      <w:ind w:left="800" w:leftChars="800"/>
    </w:pPr>
    <w:rPr>
      <w:rFonts w:ascii="Calibri" w:hAnsi="Calibri"/>
      <w:szCs w:val="22"/>
    </w:rPr>
  </w:style>
  <w:style w:type="paragraph" w:styleId="22">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3">
    <w:name w:val="Plain Text"/>
    <w:basedOn w:val="1"/>
    <w:link w:val="74"/>
    <w:qFormat/>
    <w:uiPriority w:val="0"/>
    <w:rPr>
      <w:rFonts w:ascii="宋体" w:hAnsi="Courier New"/>
      <w:szCs w:val="20"/>
    </w:rPr>
  </w:style>
  <w:style w:type="paragraph" w:styleId="24">
    <w:name w:val="toc 8"/>
    <w:basedOn w:val="1"/>
    <w:next w:val="1"/>
    <w:qFormat/>
    <w:uiPriority w:val="0"/>
    <w:pPr>
      <w:ind w:left="1400" w:leftChars="1400"/>
    </w:pPr>
    <w:rPr>
      <w:rFonts w:ascii="Calibri" w:hAnsi="Calibri"/>
      <w:szCs w:val="22"/>
    </w:rPr>
  </w:style>
  <w:style w:type="paragraph" w:styleId="25">
    <w:name w:val="Date"/>
    <w:basedOn w:val="1"/>
    <w:next w:val="1"/>
    <w:link w:val="63"/>
    <w:qFormat/>
    <w:uiPriority w:val="0"/>
    <w:pPr>
      <w:numPr>
        <w:ilvl w:val="0"/>
        <w:numId w:val="4"/>
      </w:numPr>
      <w:ind w:left="100" w:leftChars="2500"/>
    </w:pPr>
  </w:style>
  <w:style w:type="paragraph" w:styleId="26">
    <w:name w:val="Body Text Indent 2"/>
    <w:basedOn w:val="1"/>
    <w:link w:val="71"/>
    <w:qFormat/>
    <w:uiPriority w:val="0"/>
    <w:pPr>
      <w:spacing w:line="480" w:lineRule="exact"/>
      <w:ind w:left="810" w:firstLine="675"/>
    </w:pPr>
    <w:rPr>
      <w:rFonts w:eastAsia="仿宋_GB2312"/>
      <w:sz w:val="30"/>
      <w:szCs w:val="20"/>
    </w:rPr>
  </w:style>
  <w:style w:type="paragraph" w:styleId="27">
    <w:name w:val="Balloon Text"/>
    <w:basedOn w:val="1"/>
    <w:link w:val="86"/>
    <w:qFormat/>
    <w:uiPriority w:val="0"/>
    <w:rPr>
      <w:sz w:val="18"/>
      <w:szCs w:val="18"/>
    </w:rPr>
  </w:style>
  <w:style w:type="paragraph" w:styleId="28">
    <w:name w:val="footer"/>
    <w:basedOn w:val="1"/>
    <w:link w:val="132"/>
    <w:autoRedefine/>
    <w:qFormat/>
    <w:uiPriority w:val="0"/>
    <w:pPr>
      <w:tabs>
        <w:tab w:val="center" w:pos="4153"/>
        <w:tab w:val="right" w:pos="8306"/>
      </w:tabs>
      <w:snapToGrid w:val="0"/>
      <w:jc w:val="left"/>
    </w:pPr>
    <w:rPr>
      <w:sz w:val="18"/>
      <w:szCs w:val="20"/>
    </w:rPr>
  </w:style>
  <w:style w:type="paragraph" w:styleId="29">
    <w:name w:val="header"/>
    <w:basedOn w:val="1"/>
    <w:link w:val="124"/>
    <w:autoRedefine/>
    <w:qFormat/>
    <w:uiPriority w:val="99"/>
    <w:pPr>
      <w:pBdr>
        <w:bottom w:val="single" w:color="auto" w:sz="6" w:space="1"/>
      </w:pBdr>
      <w:tabs>
        <w:tab w:val="center" w:pos="4153"/>
        <w:tab w:val="right" w:pos="8306"/>
      </w:tabs>
      <w:snapToGrid w:val="0"/>
      <w:jc w:val="center"/>
    </w:pPr>
    <w:rPr>
      <w:sz w:val="18"/>
      <w:szCs w:val="20"/>
    </w:rPr>
  </w:style>
  <w:style w:type="paragraph" w:styleId="30">
    <w:name w:val="toc 1"/>
    <w:basedOn w:val="1"/>
    <w:next w:val="1"/>
    <w:autoRedefine/>
    <w:qFormat/>
    <w:uiPriority w:val="39"/>
    <w:pPr>
      <w:tabs>
        <w:tab w:val="right" w:leader="dot" w:pos="8949"/>
      </w:tabs>
      <w:spacing w:before="120" w:after="120"/>
      <w:jc w:val="left"/>
    </w:pPr>
    <w:rPr>
      <w:b/>
      <w:bCs/>
      <w:caps/>
      <w:szCs w:val="21"/>
    </w:rPr>
  </w:style>
  <w:style w:type="paragraph" w:styleId="31">
    <w:name w:val="toc 4"/>
    <w:basedOn w:val="1"/>
    <w:next w:val="1"/>
    <w:autoRedefine/>
    <w:qFormat/>
    <w:uiPriority w:val="0"/>
    <w:pPr>
      <w:ind w:left="600" w:leftChars="600"/>
    </w:pPr>
    <w:rPr>
      <w:rFonts w:ascii="Calibri" w:hAnsi="Calibri"/>
      <w:szCs w:val="22"/>
    </w:rPr>
  </w:style>
  <w:style w:type="paragraph" w:styleId="32">
    <w:name w:val="index heading"/>
    <w:basedOn w:val="1"/>
    <w:next w:val="33"/>
    <w:qFormat/>
    <w:uiPriority w:val="0"/>
    <w:rPr>
      <w:szCs w:val="20"/>
    </w:rPr>
  </w:style>
  <w:style w:type="paragraph" w:styleId="33">
    <w:name w:val="index 1"/>
    <w:basedOn w:val="1"/>
    <w:next w:val="1"/>
    <w:autoRedefine/>
    <w:qFormat/>
    <w:uiPriority w:val="0"/>
  </w:style>
  <w:style w:type="paragraph" w:styleId="34">
    <w:name w:val="List"/>
    <w:basedOn w:val="1"/>
    <w:autoRedefine/>
    <w:qFormat/>
    <w:uiPriority w:val="0"/>
    <w:pPr>
      <w:ind w:left="200" w:hanging="200" w:hangingChars="200"/>
    </w:pPr>
  </w:style>
  <w:style w:type="paragraph" w:styleId="35">
    <w:name w:val="toc 6"/>
    <w:basedOn w:val="1"/>
    <w:next w:val="1"/>
    <w:qFormat/>
    <w:uiPriority w:val="0"/>
    <w:pPr>
      <w:ind w:left="1000" w:leftChars="1000"/>
    </w:pPr>
    <w:rPr>
      <w:rFonts w:ascii="Calibri" w:hAnsi="Calibri"/>
      <w:szCs w:val="22"/>
    </w:rPr>
  </w:style>
  <w:style w:type="paragraph" w:styleId="36">
    <w:name w:val="Body Text Indent 3"/>
    <w:basedOn w:val="1"/>
    <w:link w:val="72"/>
    <w:autoRedefine/>
    <w:qFormat/>
    <w:uiPriority w:val="0"/>
    <w:pPr>
      <w:widowControl/>
      <w:tabs>
        <w:tab w:val="left" w:pos="502"/>
      </w:tabs>
      <w:adjustRightInd w:val="0"/>
      <w:snapToGrid w:val="0"/>
      <w:spacing w:line="360" w:lineRule="auto"/>
      <w:ind w:left="540" w:leftChars="257"/>
    </w:pPr>
    <w:rPr>
      <w:rFonts w:ascii="宋体" w:hAnsi="宋体"/>
    </w:rPr>
  </w:style>
  <w:style w:type="paragraph" w:styleId="37">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38">
    <w:name w:val="toc 9"/>
    <w:basedOn w:val="1"/>
    <w:next w:val="1"/>
    <w:qFormat/>
    <w:uiPriority w:val="0"/>
    <w:pPr>
      <w:ind w:left="1600" w:leftChars="1600"/>
    </w:pPr>
    <w:rPr>
      <w:rFonts w:ascii="Calibri" w:hAnsi="Calibri"/>
      <w:szCs w:val="22"/>
    </w:rPr>
  </w:style>
  <w:style w:type="paragraph" w:styleId="39">
    <w:name w:val="Body Text 2"/>
    <w:basedOn w:val="1"/>
    <w:link w:val="101"/>
    <w:qFormat/>
    <w:uiPriority w:val="0"/>
    <w:pPr>
      <w:spacing w:line="360" w:lineRule="auto"/>
    </w:pPr>
    <w:rPr>
      <w:rFonts w:ascii="仿宋_GB2312" w:eastAsia="仿宋_GB2312"/>
      <w:sz w:val="32"/>
    </w:rPr>
  </w:style>
  <w:style w:type="paragraph" w:styleId="40">
    <w:name w:val="HTML Preformatted"/>
    <w:basedOn w:val="1"/>
    <w:link w:val="13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index 2"/>
    <w:basedOn w:val="1"/>
    <w:next w:val="1"/>
    <w:autoRedefine/>
    <w:qFormat/>
    <w:uiPriority w:val="0"/>
    <w:pPr>
      <w:ind w:left="420" w:hanging="210"/>
      <w:jc w:val="left"/>
    </w:pPr>
    <w:rPr>
      <w:sz w:val="20"/>
      <w:szCs w:val="20"/>
    </w:rPr>
  </w:style>
  <w:style w:type="paragraph" w:styleId="43">
    <w:name w:val="Title"/>
    <w:basedOn w:val="1"/>
    <w:next w:val="1"/>
    <w:link w:val="125"/>
    <w:autoRedefine/>
    <w:qFormat/>
    <w:uiPriority w:val="0"/>
    <w:pPr>
      <w:spacing w:before="240" w:after="60"/>
      <w:jc w:val="center"/>
      <w:outlineLvl w:val="0"/>
    </w:pPr>
    <w:rPr>
      <w:rFonts w:ascii="Cambria" w:hAnsi="Cambria"/>
      <w:b/>
      <w:bCs/>
      <w:sz w:val="32"/>
      <w:szCs w:val="32"/>
    </w:rPr>
  </w:style>
  <w:style w:type="paragraph" w:styleId="44">
    <w:name w:val="Body Text First Indent"/>
    <w:basedOn w:val="17"/>
    <w:next w:val="35"/>
    <w:link w:val="133"/>
    <w:autoRedefine/>
    <w:qFormat/>
    <w:uiPriority w:val="0"/>
    <w:pPr>
      <w:ind w:firstLine="100" w:firstLineChars="100"/>
    </w:pPr>
    <w:rPr>
      <w:rFonts w:ascii="Calibri" w:hAnsi="Calibri"/>
      <w:szCs w:val="22"/>
    </w:rPr>
  </w:style>
  <w:style w:type="paragraph" w:styleId="45">
    <w:name w:val="Body Text First Indent 2"/>
    <w:basedOn w:val="18"/>
    <w:link w:val="60"/>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page number"/>
    <w:basedOn w:val="48"/>
    <w:autoRedefine/>
    <w:qFormat/>
    <w:uiPriority w:val="0"/>
  </w:style>
  <w:style w:type="character" w:styleId="51">
    <w:name w:val="Emphasis"/>
    <w:qFormat/>
    <w:uiPriority w:val="20"/>
    <w:rPr>
      <w:i/>
      <w:iCs/>
    </w:rPr>
  </w:style>
  <w:style w:type="character" w:styleId="52">
    <w:name w:val="Hyperlink"/>
    <w:autoRedefine/>
    <w:qFormat/>
    <w:uiPriority w:val="99"/>
    <w:rPr>
      <w:color w:val="0000FF"/>
      <w:u w:val="single"/>
    </w:rPr>
  </w:style>
  <w:style w:type="character" w:styleId="53">
    <w:name w:val="annotation reference"/>
    <w:qFormat/>
    <w:uiPriority w:val="0"/>
    <w:rPr>
      <w:sz w:val="21"/>
      <w:szCs w:val="21"/>
    </w:rPr>
  </w:style>
  <w:style w:type="paragraph" w:customStyle="1" w:styleId="54">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55">
    <w:name w:val="标题 1 Char Char"/>
    <w:qFormat/>
    <w:uiPriority w:val="0"/>
    <w:rPr>
      <w:rFonts w:eastAsia="宋体"/>
      <w:b/>
      <w:bCs/>
      <w:kern w:val="44"/>
      <w:sz w:val="44"/>
      <w:szCs w:val="44"/>
      <w:lang w:val="en-US" w:eastAsia="zh-CN" w:bidi="ar-SA"/>
    </w:rPr>
  </w:style>
  <w:style w:type="character" w:customStyle="1" w:styleId="56">
    <w:name w:val="标题 4 Char Char"/>
    <w:autoRedefine/>
    <w:qFormat/>
    <w:uiPriority w:val="0"/>
    <w:rPr>
      <w:rFonts w:ascii="Arial" w:hAnsi="Arial" w:eastAsia="黑体"/>
      <w:b/>
      <w:bCs/>
      <w:kern w:val="2"/>
      <w:sz w:val="28"/>
      <w:szCs w:val="28"/>
      <w:lang w:val="en-US" w:eastAsia="zh-CN" w:bidi="ar-SA"/>
    </w:rPr>
  </w:style>
  <w:style w:type="character" w:customStyle="1" w:styleId="57">
    <w:name w:val="font11"/>
    <w:basedOn w:val="48"/>
    <w:autoRedefine/>
    <w:qFormat/>
    <w:uiPriority w:val="0"/>
    <w:rPr>
      <w:rFonts w:hint="eastAsia" w:ascii="宋体" w:hAnsi="宋体" w:eastAsia="宋体"/>
      <w:color w:val="000000"/>
      <w:sz w:val="24"/>
      <w:szCs w:val="24"/>
      <w:u w:val="none"/>
    </w:rPr>
  </w:style>
  <w:style w:type="character" w:customStyle="1" w:styleId="58">
    <w:name w:val="标题 5 Char Char"/>
    <w:autoRedefine/>
    <w:qFormat/>
    <w:uiPriority w:val="0"/>
    <w:rPr>
      <w:rFonts w:eastAsia="宋体"/>
      <w:b/>
      <w:bCs/>
      <w:kern w:val="2"/>
      <w:sz w:val="28"/>
      <w:szCs w:val="28"/>
      <w:lang w:val="en-US" w:eastAsia="zh-CN" w:bidi="ar-SA"/>
    </w:rPr>
  </w:style>
  <w:style w:type="character" w:customStyle="1" w:styleId="59">
    <w:name w:val="ca-5"/>
    <w:basedOn w:val="48"/>
    <w:autoRedefine/>
    <w:qFormat/>
    <w:uiPriority w:val="0"/>
  </w:style>
  <w:style w:type="character" w:customStyle="1" w:styleId="60">
    <w:name w:val="正文首行缩进 2 Char"/>
    <w:link w:val="45"/>
    <w:autoRedefine/>
    <w:qFormat/>
    <w:uiPriority w:val="0"/>
    <w:rPr>
      <w:rFonts w:ascii="Calibri" w:hAnsi="Calibri" w:eastAsia="仿宋_GB2312"/>
      <w:kern w:val="2"/>
      <w:sz w:val="21"/>
      <w:szCs w:val="22"/>
      <w:lang w:val="en-US" w:eastAsia="zh-CN" w:bidi="ar-SA"/>
    </w:rPr>
  </w:style>
  <w:style w:type="character" w:customStyle="1" w:styleId="61">
    <w:name w:val="已访问的超链接1"/>
    <w:qFormat/>
    <w:uiPriority w:val="0"/>
    <w:rPr>
      <w:color w:val="800080"/>
      <w:u w:val="single"/>
    </w:rPr>
  </w:style>
  <w:style w:type="character" w:customStyle="1" w:styleId="62">
    <w:name w:val="正文首行缩进 Char Char"/>
    <w:autoRedefine/>
    <w:qFormat/>
    <w:uiPriority w:val="0"/>
    <w:rPr>
      <w:rFonts w:eastAsia="仿宋_GB2312"/>
      <w:kern w:val="2"/>
      <w:sz w:val="28"/>
      <w:szCs w:val="24"/>
      <w:lang w:bidi="ar-SA"/>
    </w:rPr>
  </w:style>
  <w:style w:type="character" w:customStyle="1" w:styleId="63">
    <w:name w:val="日期 Char"/>
    <w:link w:val="25"/>
    <w:autoRedefine/>
    <w:qFormat/>
    <w:uiPriority w:val="0"/>
    <w:rPr>
      <w:kern w:val="2"/>
      <w:sz w:val="21"/>
      <w:szCs w:val="24"/>
    </w:rPr>
  </w:style>
  <w:style w:type="character" w:customStyle="1" w:styleId="64">
    <w:name w:val="正文文本缩进 3 Char Char"/>
    <w:autoRedefine/>
    <w:qFormat/>
    <w:uiPriority w:val="0"/>
    <w:rPr>
      <w:kern w:val="2"/>
      <w:sz w:val="16"/>
      <w:szCs w:val="16"/>
      <w:lang w:bidi="ar-SA"/>
    </w:rPr>
  </w:style>
  <w:style w:type="character" w:customStyle="1" w:styleId="65">
    <w:name w:val="文档正文 Char1"/>
    <w:link w:val="66"/>
    <w:autoRedefine/>
    <w:qFormat/>
    <w:uiPriority w:val="0"/>
    <w:rPr>
      <w:rFonts w:ascii="Arial Narrow" w:hAnsi="Arial Narrow"/>
      <w:sz w:val="24"/>
      <w:szCs w:val="24"/>
      <w:lang w:val="en-US" w:eastAsia="zh-CN" w:bidi="ar-SA"/>
    </w:rPr>
  </w:style>
  <w:style w:type="paragraph" w:customStyle="1" w:styleId="66">
    <w:name w:val="文档正文"/>
    <w:link w:val="65"/>
    <w:autoRedefine/>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7">
    <w:name w:val="正文文本 Char Char"/>
    <w:autoRedefine/>
    <w:qFormat/>
    <w:uiPriority w:val="0"/>
    <w:rPr>
      <w:rFonts w:eastAsia="宋体"/>
      <w:kern w:val="2"/>
      <w:sz w:val="21"/>
      <w:szCs w:val="24"/>
      <w:lang w:val="en-US" w:eastAsia="zh-CN" w:bidi="ar-SA"/>
    </w:rPr>
  </w:style>
  <w:style w:type="character" w:customStyle="1" w:styleId="68">
    <w:name w:val="样式 样式 宋体 小四 行距: 1.5 倍行距 + ˎ̥ 黑色 Char Char"/>
    <w:link w:val="69"/>
    <w:autoRedefine/>
    <w:qFormat/>
    <w:uiPriority w:val="0"/>
    <w:rPr>
      <w:rFonts w:ascii="Calibri" w:hAnsi="Calibri" w:eastAsia="仿宋_GB2312"/>
      <w:kern w:val="2"/>
      <w:sz w:val="21"/>
      <w:szCs w:val="22"/>
      <w:lang w:val="en-US" w:eastAsia="zh-CN" w:bidi="ar-SA"/>
    </w:rPr>
  </w:style>
  <w:style w:type="paragraph" w:customStyle="1" w:styleId="69">
    <w:name w:val="样式 样式 宋体 小四 行距: 1.5 倍行距 + ˎ̥ 黑色"/>
    <w:basedOn w:val="45"/>
    <w:link w:val="68"/>
    <w:autoRedefine/>
    <w:qFormat/>
    <w:uiPriority w:val="0"/>
  </w:style>
  <w:style w:type="character" w:customStyle="1" w:styleId="70">
    <w:name w:val="style71"/>
    <w:autoRedefine/>
    <w:qFormat/>
    <w:uiPriority w:val="0"/>
    <w:rPr>
      <w:sz w:val="21"/>
      <w:szCs w:val="21"/>
    </w:rPr>
  </w:style>
  <w:style w:type="character" w:customStyle="1" w:styleId="71">
    <w:name w:val="正文文本缩进 2 Char"/>
    <w:link w:val="26"/>
    <w:autoRedefine/>
    <w:qFormat/>
    <w:uiPriority w:val="0"/>
    <w:rPr>
      <w:rFonts w:eastAsia="仿宋_GB2312"/>
      <w:kern w:val="2"/>
      <w:sz w:val="30"/>
      <w:lang w:val="en-US" w:eastAsia="zh-CN" w:bidi="ar-SA"/>
    </w:rPr>
  </w:style>
  <w:style w:type="character" w:customStyle="1" w:styleId="72">
    <w:name w:val="正文文本缩进 3 Char"/>
    <w:link w:val="36"/>
    <w:autoRedefine/>
    <w:qFormat/>
    <w:uiPriority w:val="0"/>
    <w:rPr>
      <w:rFonts w:ascii="宋体" w:hAnsi="宋体" w:eastAsia="宋体"/>
      <w:kern w:val="2"/>
      <w:sz w:val="21"/>
      <w:szCs w:val="24"/>
      <w:lang w:val="en-US" w:eastAsia="zh-CN" w:bidi="ar-SA"/>
    </w:rPr>
  </w:style>
  <w:style w:type="character" w:customStyle="1" w:styleId="73">
    <w:name w:val="ca-9"/>
    <w:basedOn w:val="48"/>
    <w:autoRedefine/>
    <w:qFormat/>
    <w:uiPriority w:val="0"/>
  </w:style>
  <w:style w:type="character" w:customStyle="1" w:styleId="74">
    <w:name w:val="纯文本 Char"/>
    <w:link w:val="23"/>
    <w:autoRedefine/>
    <w:qFormat/>
    <w:uiPriority w:val="0"/>
    <w:rPr>
      <w:rFonts w:ascii="宋体" w:hAnsi="Courier New" w:eastAsia="宋体"/>
      <w:kern w:val="2"/>
      <w:sz w:val="21"/>
      <w:lang w:val="en-US" w:eastAsia="zh-CN" w:bidi="ar-SA"/>
    </w:rPr>
  </w:style>
  <w:style w:type="character" w:customStyle="1" w:styleId="75">
    <w:name w:val="页脚 Char Char"/>
    <w:autoRedefine/>
    <w:qFormat/>
    <w:uiPriority w:val="0"/>
    <w:rPr>
      <w:rFonts w:eastAsia="宋体"/>
      <w:sz w:val="18"/>
      <w:szCs w:val="18"/>
      <w:lang w:bidi="ar-SA"/>
    </w:rPr>
  </w:style>
  <w:style w:type="character" w:customStyle="1" w:styleId="76">
    <w:name w:val="正文文本 Char"/>
    <w:link w:val="17"/>
    <w:autoRedefine/>
    <w:qFormat/>
    <w:uiPriority w:val="0"/>
    <w:rPr>
      <w:rFonts w:eastAsia="宋体"/>
      <w:kern w:val="2"/>
      <w:sz w:val="21"/>
      <w:szCs w:val="24"/>
      <w:lang w:val="en-US" w:eastAsia="zh-CN" w:bidi="ar-SA"/>
    </w:rPr>
  </w:style>
  <w:style w:type="character" w:customStyle="1" w:styleId="77">
    <w:name w:val="标题 2 Char Char"/>
    <w:autoRedefine/>
    <w:qFormat/>
    <w:uiPriority w:val="0"/>
    <w:rPr>
      <w:rFonts w:ascii="Cambria" w:hAnsi="Cambria" w:eastAsia="宋体"/>
      <w:b/>
      <w:bCs/>
      <w:kern w:val="2"/>
      <w:sz w:val="32"/>
      <w:szCs w:val="32"/>
      <w:lang w:val="en-US" w:eastAsia="zh-CN" w:bidi="ar-SA"/>
    </w:rPr>
  </w:style>
  <w:style w:type="character" w:customStyle="1" w:styleId="78">
    <w:name w:val="标题 1 1 Char"/>
    <w:autoRedefine/>
    <w:qFormat/>
    <w:uiPriority w:val="0"/>
    <w:rPr>
      <w:rFonts w:ascii="黑体" w:eastAsia="黑体"/>
      <w:bCs/>
      <w:kern w:val="44"/>
      <w:sz w:val="24"/>
      <w:lang w:val="en-US" w:eastAsia="zh-CN" w:bidi="ar-SA"/>
    </w:rPr>
  </w:style>
  <w:style w:type="character" w:customStyle="1" w:styleId="79">
    <w:name w:val="Char Char14"/>
    <w:autoRedefine/>
    <w:qFormat/>
    <w:uiPriority w:val="0"/>
    <w:rPr>
      <w:rFonts w:ascii="宋体" w:eastAsia="宋体"/>
      <w:sz w:val="34"/>
      <w:lang w:val="en-US" w:eastAsia="zh-CN" w:bidi="ar-SA"/>
    </w:rPr>
  </w:style>
  <w:style w:type="character" w:customStyle="1" w:styleId="80">
    <w:name w:val="content"/>
    <w:autoRedefine/>
    <w:qFormat/>
    <w:uiPriority w:val="0"/>
  </w:style>
  <w:style w:type="character" w:customStyle="1" w:styleId="81">
    <w:name w:val="Char Char5"/>
    <w:autoRedefine/>
    <w:qFormat/>
    <w:uiPriority w:val="0"/>
    <w:rPr>
      <w:rFonts w:eastAsia="宋体"/>
      <w:kern w:val="2"/>
      <w:sz w:val="18"/>
      <w:lang w:val="en-US" w:eastAsia="zh-CN" w:bidi="ar-SA"/>
    </w:rPr>
  </w:style>
  <w:style w:type="character" w:customStyle="1" w:styleId="82">
    <w:name w:val="c_666"/>
    <w:basedOn w:val="48"/>
    <w:autoRedefine/>
    <w:qFormat/>
    <w:uiPriority w:val="0"/>
  </w:style>
  <w:style w:type="character" w:customStyle="1" w:styleId="83">
    <w:name w:val="ALT+Z Char"/>
    <w:autoRedefine/>
    <w:qFormat/>
    <w:uiPriority w:val="0"/>
    <w:rPr>
      <w:rFonts w:ascii="宋体"/>
      <w:sz w:val="34"/>
    </w:rPr>
  </w:style>
  <w:style w:type="character" w:customStyle="1" w:styleId="84">
    <w:name w:val="正文（缩进） Char Char"/>
    <w:link w:val="85"/>
    <w:autoRedefine/>
    <w:qFormat/>
    <w:uiPriority w:val="0"/>
    <w:rPr>
      <w:rFonts w:eastAsia="宋体"/>
      <w:kern w:val="2"/>
      <w:sz w:val="24"/>
      <w:szCs w:val="24"/>
      <w:lang w:val="en-US" w:eastAsia="zh-CN" w:bidi="ar-SA"/>
    </w:rPr>
  </w:style>
  <w:style w:type="paragraph" w:customStyle="1" w:styleId="85">
    <w:name w:val="正文（缩进）"/>
    <w:basedOn w:val="1"/>
    <w:link w:val="84"/>
    <w:autoRedefine/>
    <w:qFormat/>
    <w:uiPriority w:val="0"/>
    <w:pPr>
      <w:spacing w:beforeLines="50" w:afterLines="50" w:line="360" w:lineRule="auto"/>
      <w:ind w:firstLine="480" w:firstLineChars="200"/>
    </w:pPr>
    <w:rPr>
      <w:sz w:val="24"/>
    </w:rPr>
  </w:style>
  <w:style w:type="character" w:customStyle="1" w:styleId="86">
    <w:name w:val="批注框文本 Char"/>
    <w:link w:val="27"/>
    <w:autoRedefine/>
    <w:qFormat/>
    <w:uiPriority w:val="0"/>
    <w:rPr>
      <w:rFonts w:eastAsia="宋体"/>
      <w:kern w:val="2"/>
      <w:sz w:val="18"/>
      <w:szCs w:val="18"/>
      <w:lang w:val="en-US" w:eastAsia="zh-CN" w:bidi="ar-SA"/>
    </w:rPr>
  </w:style>
  <w:style w:type="character" w:customStyle="1" w:styleId="87">
    <w:name w:val="表格内容"/>
    <w:autoRedefine/>
    <w:qFormat/>
    <w:uiPriority w:val="0"/>
    <w:rPr>
      <w:sz w:val="24"/>
    </w:rPr>
  </w:style>
  <w:style w:type="character" w:customStyle="1" w:styleId="88">
    <w:name w:val="ca-8"/>
    <w:basedOn w:val="48"/>
    <w:autoRedefine/>
    <w:qFormat/>
    <w:uiPriority w:val="0"/>
  </w:style>
  <w:style w:type="character" w:customStyle="1" w:styleId="89">
    <w:name w:val="不明显参考1"/>
    <w:autoRedefine/>
    <w:qFormat/>
    <w:uiPriority w:val="0"/>
    <w:rPr>
      <w:smallCaps/>
      <w:color w:val="C0504D"/>
      <w:u w:val="single"/>
    </w:rPr>
  </w:style>
  <w:style w:type="character" w:customStyle="1" w:styleId="90">
    <w:name w:val="标题 9 Char"/>
    <w:link w:val="11"/>
    <w:autoRedefine/>
    <w:qFormat/>
    <w:uiPriority w:val="0"/>
    <w:rPr>
      <w:rFonts w:ascii="Arial" w:hAnsi="Arial" w:eastAsia="黑体"/>
      <w:kern w:val="2"/>
      <w:sz w:val="21"/>
      <w:lang w:val="en-US" w:eastAsia="zh-CN" w:bidi="ar-SA"/>
    </w:rPr>
  </w:style>
  <w:style w:type="character" w:customStyle="1" w:styleId="91">
    <w:name w:val="标题 6 Char"/>
    <w:link w:val="8"/>
    <w:autoRedefine/>
    <w:qFormat/>
    <w:uiPriority w:val="0"/>
    <w:rPr>
      <w:rFonts w:ascii="Arial" w:hAnsi="Arial" w:eastAsia="黑体"/>
      <w:b/>
      <w:kern w:val="2"/>
      <w:sz w:val="24"/>
      <w:lang w:val="en-US" w:eastAsia="zh-CN" w:bidi="ar-SA"/>
    </w:rPr>
  </w:style>
  <w:style w:type="character" w:customStyle="1" w:styleId="92">
    <w:name w:val="ca-10"/>
    <w:basedOn w:val="48"/>
    <w:autoRedefine/>
    <w:qFormat/>
    <w:uiPriority w:val="0"/>
  </w:style>
  <w:style w:type="character" w:customStyle="1" w:styleId="93">
    <w:name w:val="标题 4 Char"/>
    <w:link w:val="6"/>
    <w:autoRedefine/>
    <w:qFormat/>
    <w:uiPriority w:val="0"/>
    <w:rPr>
      <w:rFonts w:ascii="Arial" w:hAnsi="Arial" w:eastAsia="黑体"/>
      <w:b/>
      <w:kern w:val="2"/>
      <w:sz w:val="28"/>
      <w:lang w:val="en-US" w:eastAsia="zh-CN" w:bidi="ar-SA"/>
    </w:rPr>
  </w:style>
  <w:style w:type="character" w:customStyle="1" w:styleId="94">
    <w:name w:val="批注文字 Char Char"/>
    <w:autoRedefine/>
    <w:qFormat/>
    <w:uiPriority w:val="0"/>
    <w:rPr>
      <w:kern w:val="2"/>
      <w:sz w:val="21"/>
      <w:lang w:bidi="ar-SA"/>
    </w:rPr>
  </w:style>
  <w:style w:type="character" w:customStyle="1" w:styleId="95">
    <w:name w:val="style18"/>
    <w:autoRedefine/>
    <w:qFormat/>
    <w:uiPriority w:val="0"/>
  </w:style>
  <w:style w:type="character" w:customStyle="1" w:styleId="96">
    <w:name w:val="font21"/>
    <w:autoRedefine/>
    <w:qFormat/>
    <w:uiPriority w:val="0"/>
    <w:rPr>
      <w:rFonts w:hint="default" w:ascii="Arial" w:hAnsi="Arial" w:cs="Arial"/>
      <w:color w:val="000000"/>
      <w:sz w:val="24"/>
      <w:szCs w:val="24"/>
      <w:u w:val="none"/>
    </w:rPr>
  </w:style>
  <w:style w:type="character" w:customStyle="1" w:styleId="97">
    <w:name w:val="ca-11"/>
    <w:basedOn w:val="48"/>
    <w:autoRedefine/>
    <w:qFormat/>
    <w:uiPriority w:val="0"/>
  </w:style>
  <w:style w:type="character" w:customStyle="1" w:styleId="98">
    <w:name w:val="标题 8 Char"/>
    <w:link w:val="10"/>
    <w:autoRedefine/>
    <w:qFormat/>
    <w:uiPriority w:val="0"/>
    <w:rPr>
      <w:rFonts w:ascii="Arial" w:hAnsi="Arial" w:eastAsia="黑体"/>
      <w:kern w:val="2"/>
      <w:sz w:val="24"/>
      <w:lang w:val="en-US" w:eastAsia="zh-CN" w:bidi="ar-SA"/>
    </w:rPr>
  </w:style>
  <w:style w:type="character" w:customStyle="1" w:styleId="99">
    <w:name w:val="类目1 Char Char"/>
    <w:link w:val="100"/>
    <w:autoRedefine/>
    <w:qFormat/>
    <w:uiPriority w:val="0"/>
    <w:rPr>
      <w:b/>
      <w:color w:val="17365D"/>
      <w:kern w:val="2"/>
      <w:sz w:val="28"/>
      <w:szCs w:val="28"/>
      <w:lang w:bidi="ar-SA"/>
    </w:rPr>
  </w:style>
  <w:style w:type="paragraph" w:customStyle="1" w:styleId="100">
    <w:name w:val="类目1"/>
    <w:basedOn w:val="1"/>
    <w:link w:val="99"/>
    <w:autoRedefine/>
    <w:qFormat/>
    <w:uiPriority w:val="0"/>
    <w:pPr>
      <w:adjustRightInd w:val="0"/>
      <w:snapToGrid w:val="0"/>
      <w:spacing w:line="220" w:lineRule="atLeast"/>
    </w:pPr>
    <w:rPr>
      <w:b/>
      <w:color w:val="17365D"/>
      <w:sz w:val="28"/>
      <w:szCs w:val="28"/>
    </w:rPr>
  </w:style>
  <w:style w:type="character" w:customStyle="1" w:styleId="101">
    <w:name w:val="正文文本 2 Char"/>
    <w:link w:val="39"/>
    <w:autoRedefine/>
    <w:qFormat/>
    <w:uiPriority w:val="0"/>
    <w:rPr>
      <w:rFonts w:ascii="仿宋_GB2312" w:eastAsia="仿宋_GB2312"/>
      <w:kern w:val="2"/>
      <w:sz w:val="32"/>
      <w:szCs w:val="24"/>
      <w:lang w:val="en-US" w:eastAsia="zh-CN" w:bidi="ar-SA"/>
    </w:rPr>
  </w:style>
  <w:style w:type="character" w:customStyle="1" w:styleId="102">
    <w:name w:val="标题 2 Char"/>
    <w:link w:val="3"/>
    <w:autoRedefine/>
    <w:qFormat/>
    <w:uiPriority w:val="0"/>
    <w:rPr>
      <w:rFonts w:ascii="黑体" w:hAnsi="宋体" w:eastAsia="黑体"/>
      <w:bCs/>
      <w:kern w:val="44"/>
      <w:sz w:val="21"/>
      <w:szCs w:val="24"/>
    </w:rPr>
  </w:style>
  <w:style w:type="character" w:customStyle="1" w:styleId="103">
    <w:name w:val="lineitems1"/>
    <w:autoRedefine/>
    <w:qFormat/>
    <w:uiPriority w:val="0"/>
    <w:rPr>
      <w:sz w:val="17"/>
      <w:szCs w:val="17"/>
    </w:rPr>
  </w:style>
  <w:style w:type="character" w:customStyle="1" w:styleId="104">
    <w:name w:val="题注 Char1"/>
    <w:autoRedefine/>
    <w:qFormat/>
    <w:uiPriority w:val="0"/>
    <w:rPr>
      <w:rFonts w:ascii="Arial" w:hAnsi="Arial" w:eastAsia="宋体" w:cs="Arial"/>
      <w:kern w:val="2"/>
      <w:lang w:val="en-US" w:eastAsia="zh-CN" w:bidi="ar-SA"/>
    </w:rPr>
  </w:style>
  <w:style w:type="character" w:customStyle="1" w:styleId="105">
    <w:name w:val="标题 3 Char Char"/>
    <w:autoRedefine/>
    <w:qFormat/>
    <w:uiPriority w:val="0"/>
    <w:rPr>
      <w:rFonts w:eastAsia="宋体"/>
      <w:b/>
      <w:bCs/>
      <w:kern w:val="2"/>
      <w:sz w:val="32"/>
      <w:szCs w:val="32"/>
      <w:lang w:val="en-US" w:eastAsia="zh-CN" w:bidi="ar-SA"/>
    </w:rPr>
  </w:style>
  <w:style w:type="character" w:customStyle="1" w:styleId="106">
    <w:name w:val="标题 5 Char"/>
    <w:link w:val="7"/>
    <w:autoRedefine/>
    <w:qFormat/>
    <w:uiPriority w:val="0"/>
    <w:rPr>
      <w:rFonts w:eastAsia="宋体"/>
      <w:b/>
      <w:kern w:val="2"/>
      <w:sz w:val="28"/>
      <w:lang w:val="en-US" w:eastAsia="zh-CN" w:bidi="ar-SA"/>
    </w:rPr>
  </w:style>
  <w:style w:type="character" w:customStyle="1" w:styleId="107">
    <w:name w:val="p12"/>
    <w:basedOn w:val="48"/>
    <w:autoRedefine/>
    <w:qFormat/>
    <w:uiPriority w:val="0"/>
  </w:style>
  <w:style w:type="character" w:customStyle="1" w:styleId="108">
    <w:name w:val="正文缩进 Char2"/>
    <w:link w:val="109"/>
    <w:autoRedefine/>
    <w:qFormat/>
    <w:uiPriority w:val="0"/>
    <w:rPr>
      <w:rFonts w:ascii="宋体" w:eastAsia="宋体"/>
      <w:sz w:val="34"/>
      <w:lang w:bidi="ar-SA"/>
    </w:rPr>
  </w:style>
  <w:style w:type="paragraph" w:customStyle="1" w:styleId="109">
    <w:name w:val="Normal Indent1"/>
    <w:basedOn w:val="1"/>
    <w:link w:val="108"/>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10">
    <w:name w:val="标题 9 Char Char"/>
    <w:autoRedefine/>
    <w:qFormat/>
    <w:uiPriority w:val="0"/>
    <w:rPr>
      <w:rFonts w:ascii="Arial" w:hAnsi="Arial" w:eastAsia="黑体"/>
      <w:kern w:val="2"/>
      <w:sz w:val="21"/>
      <w:szCs w:val="21"/>
      <w:lang w:val="en-US" w:eastAsia="zh-CN" w:bidi="ar-SA"/>
    </w:rPr>
  </w:style>
  <w:style w:type="character" w:customStyle="1" w:styleId="111">
    <w:name w:val="标题 7 Char"/>
    <w:link w:val="9"/>
    <w:autoRedefine/>
    <w:qFormat/>
    <w:uiPriority w:val="0"/>
    <w:rPr>
      <w:rFonts w:eastAsia="宋体"/>
      <w:b/>
      <w:kern w:val="2"/>
      <w:sz w:val="24"/>
      <w:lang w:val="en-US" w:eastAsia="zh-CN" w:bidi="ar-SA"/>
    </w:rPr>
  </w:style>
  <w:style w:type="character" w:customStyle="1" w:styleId="112">
    <w:name w:val="flname7"/>
    <w:basedOn w:val="48"/>
    <w:autoRedefine/>
    <w:qFormat/>
    <w:uiPriority w:val="0"/>
  </w:style>
  <w:style w:type="character" w:customStyle="1" w:styleId="113">
    <w:name w:val="正文缩进 Char"/>
    <w:link w:val="5"/>
    <w:autoRedefine/>
    <w:qFormat/>
    <w:uiPriority w:val="0"/>
    <w:rPr>
      <w:rFonts w:ascii="宋体" w:eastAsia="宋体"/>
      <w:sz w:val="34"/>
      <w:lang w:val="en-US" w:eastAsia="zh-CN" w:bidi="ar-SA"/>
    </w:rPr>
  </w:style>
  <w:style w:type="character" w:customStyle="1" w:styleId="114">
    <w:name w:val="样式5 Char Char"/>
    <w:link w:val="115"/>
    <w:autoRedefine/>
    <w:qFormat/>
    <w:uiPriority w:val="0"/>
    <w:rPr>
      <w:rFonts w:ascii="宋体" w:hAnsi="宋体" w:eastAsia="宋体" w:cs="Arial"/>
      <w:b/>
      <w:kern w:val="2"/>
      <w:sz w:val="24"/>
      <w:szCs w:val="24"/>
      <w:lang w:val="en-US" w:eastAsia="zh-CN" w:bidi="ar-SA"/>
    </w:rPr>
  </w:style>
  <w:style w:type="paragraph" w:customStyle="1" w:styleId="115">
    <w:name w:val="样式5"/>
    <w:basedOn w:val="1"/>
    <w:link w:val="114"/>
    <w:autoRedefine/>
    <w:qFormat/>
    <w:uiPriority w:val="0"/>
    <w:pPr>
      <w:spacing w:line="400" w:lineRule="exact"/>
      <w:ind w:left="482"/>
    </w:pPr>
    <w:rPr>
      <w:rFonts w:ascii="宋体" w:hAnsi="宋体" w:cs="Arial"/>
      <w:b/>
      <w:sz w:val="24"/>
    </w:rPr>
  </w:style>
  <w:style w:type="character" w:customStyle="1" w:styleId="116">
    <w:name w:val="text1"/>
    <w:autoRedefine/>
    <w:qFormat/>
    <w:uiPriority w:val="0"/>
    <w:rPr>
      <w:sz w:val="20"/>
      <w:szCs w:val="20"/>
    </w:rPr>
  </w:style>
  <w:style w:type="character" w:customStyle="1" w:styleId="117">
    <w:name w:val="样式2"/>
    <w:autoRedefine/>
    <w:qFormat/>
    <w:uiPriority w:val="0"/>
    <w:rPr>
      <w:rFonts w:eastAsia="华文楷体"/>
      <w:b/>
      <w:sz w:val="32"/>
    </w:rPr>
  </w:style>
  <w:style w:type="character" w:customStyle="1" w:styleId="118">
    <w:name w:val="页眉 Char Char"/>
    <w:autoRedefine/>
    <w:qFormat/>
    <w:uiPriority w:val="0"/>
    <w:rPr>
      <w:rFonts w:eastAsia="宋体"/>
      <w:sz w:val="18"/>
      <w:szCs w:val="18"/>
      <w:lang w:bidi="ar-SA"/>
    </w:rPr>
  </w:style>
  <w:style w:type="character" w:customStyle="1" w:styleId="119">
    <w:name w:val="标题 3 Char"/>
    <w:link w:val="4"/>
    <w:autoRedefine/>
    <w:qFormat/>
    <w:uiPriority w:val="0"/>
    <w:rPr>
      <w:rFonts w:ascii="黑体" w:eastAsia="黑体"/>
      <w:bCs/>
      <w:color w:val="000000"/>
      <w:kern w:val="2"/>
      <w:sz w:val="21"/>
      <w:szCs w:val="24"/>
    </w:rPr>
  </w:style>
  <w:style w:type="character" w:customStyle="1" w:styleId="120">
    <w:name w:val="书籍标题3 Char1"/>
    <w:link w:val="121"/>
    <w:autoRedefine/>
    <w:qFormat/>
    <w:uiPriority w:val="0"/>
    <w:rPr>
      <w:b/>
      <w:bCs/>
      <w:spacing w:val="20"/>
      <w:kern w:val="2"/>
      <w:sz w:val="28"/>
      <w:szCs w:val="28"/>
    </w:rPr>
  </w:style>
  <w:style w:type="paragraph" w:customStyle="1" w:styleId="121">
    <w:name w:val="书籍标题3"/>
    <w:basedOn w:val="122"/>
    <w:link w:val="120"/>
    <w:autoRedefine/>
    <w:qFormat/>
    <w:uiPriority w:val="0"/>
    <w:pPr>
      <w:numPr>
        <w:ilvl w:val="2"/>
      </w:numPr>
      <w:tabs>
        <w:tab w:val="left" w:pos="840"/>
      </w:tabs>
      <w:outlineLvl w:val="2"/>
    </w:pPr>
    <w:rPr>
      <w:rFonts w:cs="Times New Roman"/>
      <w:sz w:val="28"/>
      <w:szCs w:val="28"/>
    </w:rPr>
  </w:style>
  <w:style w:type="paragraph" w:customStyle="1" w:styleId="122">
    <w:name w:val="书籍标题2"/>
    <w:basedOn w:val="1"/>
    <w:autoRedefine/>
    <w:qFormat/>
    <w:uiPriority w:val="0"/>
    <w:pPr>
      <w:numPr>
        <w:ilvl w:val="1"/>
        <w:numId w:val="5"/>
      </w:numPr>
      <w:spacing w:beforeLines="100" w:afterLines="100"/>
      <w:jc w:val="left"/>
      <w:outlineLvl w:val="1"/>
    </w:pPr>
    <w:rPr>
      <w:rFonts w:cs="宋体"/>
      <w:b/>
      <w:bCs/>
      <w:spacing w:val="20"/>
      <w:sz w:val="32"/>
      <w:szCs w:val="20"/>
    </w:rPr>
  </w:style>
  <w:style w:type="character" w:customStyle="1" w:styleId="123">
    <w:name w:val="正文文本缩进 Char"/>
    <w:link w:val="18"/>
    <w:autoRedefine/>
    <w:qFormat/>
    <w:uiPriority w:val="0"/>
    <w:rPr>
      <w:rFonts w:ascii="仿宋_GB2312" w:eastAsia="仿宋_GB2312"/>
      <w:sz w:val="28"/>
      <w:lang w:val="en-US" w:eastAsia="zh-CN" w:bidi="ar-SA"/>
    </w:rPr>
  </w:style>
  <w:style w:type="character" w:customStyle="1" w:styleId="124">
    <w:name w:val="页眉 Char"/>
    <w:link w:val="29"/>
    <w:autoRedefine/>
    <w:qFormat/>
    <w:uiPriority w:val="99"/>
    <w:rPr>
      <w:rFonts w:eastAsia="宋体"/>
      <w:kern w:val="2"/>
      <w:sz w:val="18"/>
      <w:lang w:val="en-US" w:eastAsia="zh-CN" w:bidi="ar-SA"/>
    </w:rPr>
  </w:style>
  <w:style w:type="character" w:customStyle="1" w:styleId="125">
    <w:name w:val="标题 Char"/>
    <w:link w:val="43"/>
    <w:autoRedefine/>
    <w:qFormat/>
    <w:uiPriority w:val="0"/>
    <w:rPr>
      <w:rFonts w:ascii="Cambria" w:hAnsi="Cambria"/>
      <w:b/>
      <w:bCs/>
      <w:kern w:val="2"/>
      <w:sz w:val="32"/>
      <w:szCs w:val="32"/>
    </w:rPr>
  </w:style>
  <w:style w:type="character" w:customStyle="1" w:styleId="126">
    <w:name w:val="标题 8 Char Char"/>
    <w:autoRedefine/>
    <w:qFormat/>
    <w:uiPriority w:val="0"/>
    <w:rPr>
      <w:rFonts w:ascii="Arial" w:hAnsi="Arial" w:eastAsia="黑体"/>
      <w:kern w:val="2"/>
      <w:sz w:val="24"/>
      <w:szCs w:val="24"/>
      <w:lang w:val="en-US" w:eastAsia="zh-CN" w:bidi="ar-SA"/>
    </w:rPr>
  </w:style>
  <w:style w:type="character" w:customStyle="1" w:styleId="127">
    <w:name w:val="正文文本缩进 2 Char Char"/>
    <w:autoRedefine/>
    <w:qFormat/>
    <w:uiPriority w:val="0"/>
    <w:rPr>
      <w:rFonts w:eastAsia="仿宋_GB2312"/>
      <w:sz w:val="30"/>
      <w:lang w:bidi="ar-SA"/>
    </w:rPr>
  </w:style>
  <w:style w:type="character" w:customStyle="1" w:styleId="128">
    <w:name w:val="标题 7 Char Char"/>
    <w:autoRedefine/>
    <w:qFormat/>
    <w:uiPriority w:val="0"/>
    <w:rPr>
      <w:rFonts w:eastAsia="宋体"/>
      <w:b/>
      <w:bCs/>
      <w:kern w:val="2"/>
      <w:sz w:val="24"/>
      <w:szCs w:val="24"/>
      <w:lang w:val="en-US" w:eastAsia="zh-CN" w:bidi="ar-SA"/>
    </w:rPr>
  </w:style>
  <w:style w:type="character" w:customStyle="1" w:styleId="129">
    <w:name w:val="HTML 地址 Char"/>
    <w:link w:val="20"/>
    <w:autoRedefine/>
    <w:qFormat/>
    <w:uiPriority w:val="0"/>
    <w:rPr>
      <w:i/>
      <w:kern w:val="2"/>
      <w:sz w:val="21"/>
      <w:szCs w:val="24"/>
    </w:rPr>
  </w:style>
  <w:style w:type="character" w:customStyle="1" w:styleId="130">
    <w:name w:val="标题 1 Char"/>
    <w:link w:val="2"/>
    <w:autoRedefine/>
    <w:qFormat/>
    <w:uiPriority w:val="0"/>
    <w:rPr>
      <w:rFonts w:ascii="黑体" w:eastAsia="黑体"/>
      <w:bCs/>
      <w:kern w:val="44"/>
      <w:sz w:val="24"/>
      <w:szCs w:val="24"/>
    </w:rPr>
  </w:style>
  <w:style w:type="character" w:customStyle="1" w:styleId="131">
    <w:name w:val="批注文字 Char"/>
    <w:link w:val="16"/>
    <w:autoRedefine/>
    <w:qFormat/>
    <w:uiPriority w:val="0"/>
    <w:rPr>
      <w:kern w:val="2"/>
      <w:sz w:val="24"/>
      <w:szCs w:val="24"/>
    </w:rPr>
  </w:style>
  <w:style w:type="character" w:customStyle="1" w:styleId="132">
    <w:name w:val="页脚 Char"/>
    <w:link w:val="28"/>
    <w:autoRedefine/>
    <w:qFormat/>
    <w:uiPriority w:val="0"/>
    <w:rPr>
      <w:rFonts w:eastAsia="宋体"/>
      <w:kern w:val="2"/>
      <w:sz w:val="18"/>
      <w:lang w:val="en-US" w:eastAsia="zh-CN" w:bidi="ar-SA"/>
    </w:rPr>
  </w:style>
  <w:style w:type="character" w:customStyle="1" w:styleId="133">
    <w:name w:val="正文首行缩进 Char"/>
    <w:link w:val="44"/>
    <w:autoRedefine/>
    <w:qFormat/>
    <w:uiPriority w:val="0"/>
    <w:rPr>
      <w:rFonts w:ascii="Calibri" w:hAnsi="Calibri" w:eastAsia="宋体"/>
      <w:kern w:val="2"/>
      <w:sz w:val="21"/>
      <w:szCs w:val="22"/>
      <w:lang w:val="en-US" w:eastAsia="zh-CN" w:bidi="ar-SA"/>
    </w:rPr>
  </w:style>
  <w:style w:type="character" w:customStyle="1" w:styleId="134">
    <w:name w:val="纯文本 Char Char"/>
    <w:autoRedefine/>
    <w:qFormat/>
    <w:uiPriority w:val="0"/>
    <w:rPr>
      <w:rFonts w:ascii="宋体" w:hAnsi="Courier New"/>
      <w:kern w:val="2"/>
      <w:sz w:val="21"/>
      <w:lang w:bidi="ar-SA"/>
    </w:rPr>
  </w:style>
  <w:style w:type="character" w:customStyle="1" w:styleId="135">
    <w:name w:val="HTML 预设格式 Char"/>
    <w:link w:val="40"/>
    <w:autoRedefine/>
    <w:qFormat/>
    <w:uiPriority w:val="0"/>
    <w:rPr>
      <w:rFonts w:ascii="黑体" w:hAnsi="Courier New" w:eastAsia="黑体" w:cs="Courier New"/>
      <w:kern w:val="2"/>
      <w:sz w:val="21"/>
      <w:szCs w:val="24"/>
      <w:lang w:val="en-US" w:eastAsia="zh-CN" w:bidi="ar-SA"/>
    </w:rPr>
  </w:style>
  <w:style w:type="character" w:customStyle="1" w:styleId="136">
    <w:name w:val="标题 6 Char Char"/>
    <w:autoRedefine/>
    <w:qFormat/>
    <w:uiPriority w:val="0"/>
    <w:rPr>
      <w:rFonts w:ascii="Arial" w:hAnsi="Arial" w:eastAsia="黑体"/>
      <w:b/>
      <w:bCs/>
      <w:kern w:val="2"/>
      <w:sz w:val="24"/>
      <w:szCs w:val="24"/>
      <w:lang w:val="en-US" w:eastAsia="zh-CN" w:bidi="ar-SA"/>
    </w:rPr>
  </w:style>
  <w:style w:type="character" w:customStyle="1" w:styleId="137">
    <w:name w:val="细目1 Char Char"/>
    <w:link w:val="138"/>
    <w:autoRedefine/>
    <w:qFormat/>
    <w:uiPriority w:val="0"/>
    <w:rPr>
      <w:b/>
      <w:color w:val="215868"/>
      <w:kern w:val="2"/>
      <w:sz w:val="24"/>
      <w:szCs w:val="24"/>
    </w:rPr>
  </w:style>
  <w:style w:type="paragraph" w:customStyle="1" w:styleId="138">
    <w:name w:val="细目1"/>
    <w:basedOn w:val="1"/>
    <w:link w:val="137"/>
    <w:autoRedefine/>
    <w:qFormat/>
    <w:uiPriority w:val="0"/>
    <w:pPr>
      <w:numPr>
        <w:ilvl w:val="0"/>
        <w:numId w:val="6"/>
      </w:numPr>
      <w:tabs>
        <w:tab w:val="left" w:pos="1200"/>
        <w:tab w:val="clear" w:pos="1260"/>
      </w:tabs>
      <w:adjustRightInd w:val="0"/>
      <w:snapToGrid w:val="0"/>
      <w:spacing w:line="220" w:lineRule="atLeast"/>
    </w:pPr>
    <w:rPr>
      <w:b/>
      <w:color w:val="215868"/>
      <w:sz w:val="24"/>
    </w:rPr>
  </w:style>
  <w:style w:type="character" w:customStyle="1" w:styleId="139">
    <w:name w:val="Char Char9"/>
    <w:autoRedefine/>
    <w:qFormat/>
    <w:uiPriority w:val="0"/>
    <w:rPr>
      <w:rFonts w:ascii="宋体" w:hAnsi="Courier New" w:eastAsia="宋体"/>
      <w:kern w:val="2"/>
      <w:sz w:val="21"/>
      <w:lang w:val="en-US" w:eastAsia="zh-CN" w:bidi="ar-SA"/>
    </w:rPr>
  </w:style>
  <w:style w:type="character" w:customStyle="1" w:styleId="140">
    <w:name w:val="apple-converted-space"/>
    <w:autoRedefine/>
    <w:qFormat/>
    <w:uiPriority w:val="0"/>
    <w:rPr>
      <w:rFonts w:cs="Times New Roman"/>
    </w:rPr>
  </w:style>
  <w:style w:type="paragraph" w:customStyle="1" w:styleId="141">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2">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4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4">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5">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6">
    <w:name w:val="Normal New New"/>
    <w:autoRedefine/>
    <w:qFormat/>
    <w:uiPriority w:val="0"/>
    <w:pPr>
      <w:jc w:val="both"/>
    </w:pPr>
    <w:rPr>
      <w:rFonts w:ascii="Times New Roman" w:hAnsi="Times New Roman" w:eastAsia="宋体" w:cs="Times New Roman"/>
      <w:kern w:val="2"/>
      <w:sz w:val="21"/>
      <w:lang w:val="en-US" w:eastAsia="zh-CN" w:bidi="ar-SA"/>
    </w:rPr>
  </w:style>
  <w:style w:type="paragraph" w:customStyle="1" w:styleId="14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148">
    <w:name w:val="TOC 标题1"/>
    <w:basedOn w:val="2"/>
    <w:next w:val="1"/>
    <w:autoRedefine/>
    <w:qFormat/>
    <w:uiPriority w:val="0"/>
    <w:pPr>
      <w:widowControl/>
      <w:numPr>
        <w:numId w:val="0"/>
      </w:numPr>
      <w:autoSpaceDE/>
      <w:autoSpaceDN/>
      <w:adjustRightInd/>
      <w:snapToGrid/>
      <w:spacing w:beforeLines="0" w:line="276" w:lineRule="auto"/>
      <w:jc w:val="left"/>
      <w:textAlignment w:val="auto"/>
      <w:outlineLvl w:val="9"/>
    </w:pPr>
    <w:rPr>
      <w:rFonts w:ascii="Cambria" w:hAnsi="Cambria" w:eastAsia="宋体"/>
      <w:b/>
      <w:color w:val="365F91"/>
      <w:kern w:val="0"/>
      <w:sz w:val="28"/>
      <w:szCs w:val="28"/>
    </w:rPr>
  </w:style>
  <w:style w:type="paragraph" w:customStyle="1" w:styleId="149">
    <w:name w:val="默认段落字体 Para Char Char Char Char Char Char Char Char Char Char"/>
    <w:basedOn w:val="1"/>
    <w:autoRedefine/>
    <w:qFormat/>
    <w:uiPriority w:val="0"/>
    <w:rPr>
      <w:rFonts w:ascii="Tahoma" w:hAnsi="Tahoma"/>
      <w:sz w:val="24"/>
      <w:szCs w:val="20"/>
    </w:rPr>
  </w:style>
  <w:style w:type="paragraph" w:customStyle="1" w:styleId="15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1">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2">
    <w:name w:val="字元 字元"/>
    <w:basedOn w:val="1"/>
    <w:autoRedefine/>
    <w:qFormat/>
    <w:uiPriority w:val="0"/>
    <w:pPr>
      <w:spacing w:line="360" w:lineRule="auto"/>
      <w:ind w:firstLine="200" w:firstLineChars="200"/>
    </w:pPr>
    <w:rPr>
      <w:rFonts w:ascii="宋体" w:hAnsi="宋体" w:cs="宋体"/>
      <w:sz w:val="24"/>
    </w:rPr>
  </w:style>
  <w:style w:type="paragraph" w:customStyle="1" w:styleId="15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4">
    <w:name w:val="正文序号 4"/>
    <w:basedOn w:val="1"/>
    <w:autoRedefine/>
    <w:qFormat/>
    <w:uiPriority w:val="0"/>
    <w:pPr>
      <w:numPr>
        <w:ilvl w:val="3"/>
        <w:numId w:val="7"/>
      </w:numPr>
      <w:tabs>
        <w:tab w:val="left" w:pos="1469"/>
      </w:tabs>
      <w:spacing w:before="60"/>
    </w:pPr>
  </w:style>
  <w:style w:type="paragraph" w:customStyle="1" w:styleId="155">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6">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7">
    <w:name w:val="Char3"/>
    <w:basedOn w:val="1"/>
    <w:autoRedefine/>
    <w:qFormat/>
    <w:uiPriority w:val="0"/>
  </w:style>
  <w:style w:type="paragraph" w:customStyle="1" w:styleId="158">
    <w:name w:val="xl3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9">
    <w:name w:val="_Style 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Char28"/>
    <w:basedOn w:val="1"/>
    <w:autoRedefine/>
    <w:qFormat/>
    <w:uiPriority w:val="0"/>
    <w:pPr>
      <w:adjustRightInd w:val="0"/>
      <w:spacing w:line="360" w:lineRule="auto"/>
    </w:pPr>
  </w:style>
  <w:style w:type="paragraph" w:customStyle="1" w:styleId="161">
    <w:name w:val="pa-14"/>
    <w:basedOn w:val="1"/>
    <w:autoRedefine/>
    <w:qFormat/>
    <w:uiPriority w:val="0"/>
    <w:pPr>
      <w:widowControl/>
      <w:spacing w:before="150" w:after="150"/>
      <w:jc w:val="left"/>
    </w:pPr>
    <w:rPr>
      <w:rFonts w:ascii="宋体" w:hAnsi="宋体" w:cs="宋体"/>
      <w:kern w:val="0"/>
      <w:sz w:val="24"/>
    </w:rPr>
  </w:style>
  <w:style w:type="paragraph" w:customStyle="1" w:styleId="162">
    <w:name w:val="font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63">
    <w:name w:val="Item List in Table"/>
    <w:basedOn w:val="1"/>
    <w:autoRedefine/>
    <w:qFormat/>
    <w:uiPriority w:val="0"/>
    <w:pPr>
      <w:numPr>
        <w:ilvl w:val="0"/>
        <w:numId w:val="8"/>
      </w:numPr>
      <w:jc w:val="left"/>
    </w:pPr>
  </w:style>
  <w:style w:type="paragraph" w:customStyle="1" w:styleId="164">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6">
    <w:name w:val="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7">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68">
    <w:name w:val="默认段落字体 Para Char"/>
    <w:basedOn w:val="1"/>
    <w:autoRedefine/>
    <w:qFormat/>
    <w:uiPriority w:val="0"/>
    <w:rPr>
      <w:rFonts w:ascii="Tahoma" w:hAnsi="Tahoma"/>
      <w:sz w:val="24"/>
      <w:szCs w:val="20"/>
    </w:rPr>
  </w:style>
  <w:style w:type="paragraph" w:customStyle="1" w:styleId="169">
    <w:name w:val="Bullet"/>
    <w:autoRedefine/>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170">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1">
    <w:name w:val="样式 正文缩进 + 首行缩进:  2 字符"/>
    <w:basedOn w:val="5"/>
    <w:autoRedefine/>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17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3">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5">
    <w:name w:val="p0"/>
    <w:basedOn w:val="1"/>
    <w:autoRedefine/>
    <w:qFormat/>
    <w:uiPriority w:val="0"/>
    <w:pPr>
      <w:widowControl/>
    </w:pPr>
    <w:rPr>
      <w:kern w:val="0"/>
      <w:szCs w:val="21"/>
    </w:rPr>
  </w:style>
  <w:style w:type="paragraph" w:customStyle="1" w:styleId="176">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7">
    <w:name w:val="默认段落字体 Para Char Char Char1 Char"/>
    <w:basedOn w:val="45"/>
    <w:autoRedefine/>
    <w:qFormat/>
    <w:uiPriority w:val="0"/>
  </w:style>
  <w:style w:type="paragraph" w:customStyle="1" w:styleId="178">
    <w:name w:val="Char1"/>
    <w:basedOn w:val="1"/>
    <w:autoRedefine/>
    <w:qFormat/>
    <w:uiPriority w:val="0"/>
    <w:pPr>
      <w:widowControl/>
      <w:spacing w:line="400" w:lineRule="exact"/>
      <w:jc w:val="center"/>
    </w:pPr>
    <w:rPr>
      <w:rFonts w:ascii="Verdana" w:hAnsi="Verdana"/>
      <w:kern w:val="0"/>
      <w:szCs w:val="20"/>
      <w:lang w:eastAsia="en-US"/>
    </w:rPr>
  </w:style>
  <w:style w:type="paragraph" w:customStyle="1" w:styleId="179">
    <w:name w:val="xl13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0">
    <w:name w:val="xl13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1">
    <w:name w:val="Normal New New New"/>
    <w:autoRedefine/>
    <w:qFormat/>
    <w:uiPriority w:val="0"/>
    <w:pPr>
      <w:jc w:val="both"/>
    </w:pPr>
    <w:rPr>
      <w:rFonts w:ascii="Times New Roman" w:hAnsi="Times New Roman" w:eastAsia="宋体" w:cs="Times New Roman"/>
      <w:kern w:val="2"/>
      <w:sz w:val="21"/>
      <w:lang w:val="en-US" w:eastAsia="zh-CN" w:bidi="ar-SA"/>
    </w:rPr>
  </w:style>
  <w:style w:type="paragraph" w:customStyle="1" w:styleId="182">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3">
    <w:name w:val="列出段落1"/>
    <w:basedOn w:val="1"/>
    <w:autoRedefine/>
    <w:qFormat/>
    <w:uiPriority w:val="0"/>
    <w:pPr>
      <w:ind w:firstLine="200" w:firstLineChars="200"/>
    </w:pPr>
    <w:rPr>
      <w:rFonts w:ascii="Calibri" w:hAnsi="Calibri"/>
      <w:szCs w:val="22"/>
    </w:rPr>
  </w:style>
  <w:style w:type="paragraph" w:customStyle="1" w:styleId="184">
    <w:name w:val="缺省文本"/>
    <w:basedOn w:val="1"/>
    <w:autoRedefine/>
    <w:qFormat/>
    <w:uiPriority w:val="0"/>
    <w:pPr>
      <w:autoSpaceDE w:val="0"/>
      <w:autoSpaceDN w:val="0"/>
      <w:adjustRightInd w:val="0"/>
      <w:jc w:val="left"/>
    </w:pPr>
    <w:rPr>
      <w:kern w:val="0"/>
      <w:sz w:val="24"/>
    </w:rPr>
  </w:style>
  <w:style w:type="paragraph" w:customStyle="1" w:styleId="185">
    <w:name w:val="Char Char Char Char Char Char Char Char Char"/>
    <w:basedOn w:val="1"/>
    <w:autoRedefine/>
    <w:qFormat/>
    <w:uiPriority w:val="0"/>
    <w:rPr>
      <w:sz w:val="28"/>
    </w:rPr>
  </w:style>
  <w:style w:type="paragraph" w:customStyle="1" w:styleId="186">
    <w:name w:val="书籍标题4"/>
    <w:basedOn w:val="121"/>
    <w:next w:val="1"/>
    <w:autoRedefine/>
    <w:qFormat/>
    <w:uiPriority w:val="0"/>
    <w:pPr>
      <w:numPr>
        <w:ilvl w:val="3"/>
      </w:numPr>
      <w:tabs>
        <w:tab w:val="left" w:pos="2160"/>
      </w:tabs>
      <w:ind w:left="2160"/>
      <w:outlineLvl w:val="3"/>
    </w:pPr>
    <w:rPr>
      <w:sz w:val="24"/>
      <w:szCs w:val="24"/>
      <w:lang w:val="zh-CN"/>
    </w:rPr>
  </w:style>
  <w:style w:type="paragraph" w:customStyle="1" w:styleId="18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88">
    <w:name w:val="样式 书籍标题3 + Arial 段前: 1 行 段后: 1 行"/>
    <w:basedOn w:val="121"/>
    <w:qFormat/>
    <w:uiPriority w:val="0"/>
    <w:pPr>
      <w:numPr>
        <w:ilvl w:val="1"/>
        <w:numId w:val="9"/>
      </w:numPr>
      <w:spacing w:beforeLines="0" w:afterLines="0"/>
    </w:pPr>
    <w:rPr>
      <w:rFonts w:ascii="Arial" w:hAnsi="Arial" w:cs="宋体"/>
      <w:b w:val="0"/>
      <w:bCs w:val="0"/>
    </w:rPr>
  </w:style>
  <w:style w:type="paragraph" w:customStyle="1" w:styleId="18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0">
    <w:name w:val="Char Char Char Char Char Char"/>
    <w:basedOn w:val="1"/>
    <w:qFormat/>
    <w:uiPriority w:val="0"/>
    <w:pPr>
      <w:widowControl/>
      <w:spacing w:after="160" w:line="240" w:lineRule="exact"/>
      <w:jc w:val="left"/>
    </w:pPr>
    <w:rPr>
      <w:sz w:val="32"/>
      <w:szCs w:val="20"/>
    </w:rPr>
  </w:style>
  <w:style w:type="paragraph" w:customStyle="1" w:styleId="19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92">
    <w:name w:val="List Paragraph"/>
    <w:basedOn w:val="1"/>
    <w:qFormat/>
    <w:uiPriority w:val="0"/>
    <w:pPr>
      <w:ind w:firstLine="420" w:firstLineChars="200"/>
    </w:pPr>
  </w:style>
  <w:style w:type="paragraph" w:customStyle="1" w:styleId="19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4">
    <w:name w:val="Char1 Char Char Char"/>
    <w:basedOn w:val="1"/>
    <w:qFormat/>
    <w:uiPriority w:val="0"/>
    <w:pPr>
      <w:ind w:left="1365" w:hanging="360"/>
    </w:pPr>
    <w:rPr>
      <w:sz w:val="24"/>
    </w:rPr>
  </w:style>
  <w:style w:type="paragraph" w:customStyle="1" w:styleId="195">
    <w:name w:val="MM Topic 6"/>
    <w:basedOn w:val="8"/>
    <w:qFormat/>
    <w:uiPriority w:val="0"/>
    <w:pPr>
      <w:numPr>
        <w:ilvl w:val="5"/>
        <w:numId w:val="10"/>
      </w:numPr>
      <w:tabs>
        <w:tab w:val="left" w:pos="425"/>
        <w:tab w:val="clear" w:pos="3260"/>
      </w:tabs>
      <w:spacing w:line="319" w:lineRule="auto"/>
    </w:pPr>
    <w:rPr>
      <w:bCs/>
      <w:szCs w:val="24"/>
    </w:rPr>
  </w:style>
  <w:style w:type="paragraph" w:customStyle="1" w:styleId="19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7">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19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9">
    <w:name w:val="样式 标题 4Alt+41.1.1.1 Heading 4bulletblbbH44h4H41h41H42... Char"/>
    <w:basedOn w:val="6"/>
    <w:qFormat/>
    <w:uiPriority w:val="0"/>
    <w:pPr>
      <w:tabs>
        <w:tab w:val="left" w:pos="1914"/>
      </w:tabs>
      <w:spacing w:before="120" w:after="120"/>
      <w:ind w:left="1914" w:hanging="864"/>
    </w:pPr>
    <w:rPr>
      <w:rFonts w:ascii="宋体" w:hAnsi="宋体"/>
      <w:bCs/>
      <w:color w:val="000000"/>
      <w:szCs w:val="28"/>
    </w:rPr>
  </w:style>
  <w:style w:type="paragraph" w:customStyle="1" w:styleId="20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1">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0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0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0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0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09">
    <w:name w:val="特点标题"/>
    <w:basedOn w:val="1"/>
    <w:next w:val="36"/>
    <w:qFormat/>
    <w:uiPriority w:val="0"/>
    <w:pPr>
      <w:adjustRightInd w:val="0"/>
      <w:spacing w:line="360" w:lineRule="auto"/>
      <w:ind w:firstLine="482"/>
      <w:textAlignment w:val="baseline"/>
    </w:pPr>
    <w:rPr>
      <w:rFonts w:ascii="宋体" w:hAnsi="宋体"/>
      <w:kern w:val="0"/>
      <w:sz w:val="24"/>
    </w:rPr>
  </w:style>
  <w:style w:type="paragraph" w:customStyle="1" w:styleId="210">
    <w:name w:val="pa-13"/>
    <w:basedOn w:val="1"/>
    <w:qFormat/>
    <w:uiPriority w:val="0"/>
    <w:pPr>
      <w:widowControl/>
      <w:spacing w:before="150" w:after="150"/>
      <w:jc w:val="left"/>
    </w:pPr>
    <w:rPr>
      <w:rFonts w:ascii="宋体" w:hAnsi="宋体" w:cs="宋体"/>
      <w:kern w:val="0"/>
      <w:sz w:val="24"/>
    </w:rPr>
  </w:style>
  <w:style w:type="paragraph" w:customStyle="1" w:styleId="21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2">
    <w:name w:val="MM Topic 1"/>
    <w:basedOn w:val="2"/>
    <w:qFormat/>
    <w:uiPriority w:val="0"/>
    <w:pPr>
      <w:numPr>
        <w:numId w:val="11"/>
      </w:numPr>
      <w:tabs>
        <w:tab w:val="left" w:pos="1620"/>
      </w:tabs>
      <w:autoSpaceDE/>
      <w:autoSpaceDN/>
      <w:adjustRightInd/>
      <w:snapToGrid/>
      <w:spacing w:beforeLines="0" w:after="330" w:line="578" w:lineRule="auto"/>
      <w:ind w:left="0" w:firstLine="0"/>
      <w:jc w:val="both"/>
      <w:textAlignment w:val="auto"/>
    </w:pPr>
    <w:rPr>
      <w:rFonts w:ascii="Times New Roman" w:eastAsia="宋体"/>
      <w:b/>
      <w:sz w:val="44"/>
      <w:szCs w:val="44"/>
    </w:rPr>
  </w:style>
  <w:style w:type="paragraph" w:customStyle="1" w:styleId="21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4">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1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1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9">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0">
    <w:name w:val="样式 标题 3"/>
    <w:basedOn w:val="4"/>
    <w:next w:val="1"/>
    <w:qFormat/>
    <w:uiPriority w:val="0"/>
    <w:pPr>
      <w:widowControl w:val="0"/>
      <w:numPr>
        <w:numId w:val="0"/>
      </w:numPr>
      <w:tabs>
        <w:tab w:val="left" w:pos="720"/>
        <w:tab w:val="clear" w:pos="753"/>
      </w:tabs>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3">
    <w:name w:val="正文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5">
    <w:name w:val="Char1 Char Char Char1"/>
    <w:basedOn w:val="1"/>
    <w:qFormat/>
    <w:uiPriority w:val="0"/>
    <w:pPr>
      <w:tabs>
        <w:tab w:val="left" w:pos="425"/>
      </w:tabs>
      <w:ind w:left="425" w:hanging="425"/>
    </w:pPr>
    <w:rPr>
      <w:sz w:val="24"/>
    </w:rPr>
  </w:style>
  <w:style w:type="paragraph" w:customStyle="1" w:styleId="22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7">
    <w:name w:val="Char"/>
    <w:basedOn w:val="1"/>
    <w:autoRedefine/>
    <w:qFormat/>
    <w:uiPriority w:val="0"/>
    <w:pPr>
      <w:tabs>
        <w:tab w:val="left" w:pos="1365"/>
      </w:tabs>
      <w:ind w:left="1365" w:hanging="360"/>
    </w:pPr>
    <w:rPr>
      <w:sz w:val="24"/>
    </w:rPr>
  </w:style>
  <w:style w:type="paragraph" w:customStyle="1" w:styleId="228">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9">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3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1">
    <w:name w:val="没有缩进（为图形使用）"/>
    <w:basedOn w:val="1"/>
    <w:qFormat/>
    <w:uiPriority w:val="0"/>
    <w:pPr>
      <w:numPr>
        <w:ilvl w:val="0"/>
        <w:numId w:val="12"/>
      </w:numPr>
      <w:tabs>
        <w:tab w:val="clear" w:pos="2040"/>
      </w:tabs>
      <w:spacing w:before="120" w:after="120" w:line="360" w:lineRule="auto"/>
      <w:ind w:left="0" w:firstLine="0"/>
    </w:pPr>
    <w:rPr>
      <w:rFonts w:cs="宋体"/>
      <w:sz w:val="24"/>
      <w:szCs w:val="20"/>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3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5">
    <w:name w:val="样式1"/>
    <w:next w:val="15"/>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236">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37">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8">
    <w:name w:val="Pa17"/>
    <w:basedOn w:val="1"/>
    <w:next w:val="1"/>
    <w:autoRedefine/>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239">
    <w:name w:val="Char Char Char Char Char Char Char Char Char1"/>
    <w:basedOn w:val="1"/>
    <w:qFormat/>
    <w:uiPriority w:val="0"/>
    <w:pPr>
      <w:widowControl/>
      <w:spacing w:after="160" w:line="240" w:lineRule="exact"/>
      <w:jc w:val="left"/>
    </w:pPr>
  </w:style>
  <w:style w:type="paragraph" w:customStyle="1" w:styleId="240">
    <w:name w:val="表格文字"/>
    <w:basedOn w:val="1"/>
    <w:autoRedefine/>
    <w:qFormat/>
    <w:uiPriority w:val="0"/>
    <w:pPr>
      <w:numPr>
        <w:ilvl w:val="0"/>
        <w:numId w:val="13"/>
      </w:numPr>
      <w:tabs>
        <w:tab w:val="clear" w:pos="360"/>
      </w:tabs>
      <w:ind w:left="0" w:firstLine="0"/>
      <w:jc w:val="left"/>
    </w:pPr>
    <w:rPr>
      <w:rFonts w:ascii="Arial" w:hAnsi="Arial" w:eastAsia="仿宋_GB2312" w:cs="Arial"/>
      <w:sz w:val="18"/>
      <w:szCs w:val="18"/>
    </w:rPr>
  </w:style>
  <w:style w:type="paragraph" w:customStyle="1" w:styleId="2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43">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24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4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8">
    <w:name w:val="MM Topic 2"/>
    <w:basedOn w:val="3"/>
    <w:autoRedefine/>
    <w:qFormat/>
    <w:uiPriority w:val="0"/>
    <w:pPr>
      <w:widowControl w:val="0"/>
      <w:numPr>
        <w:ilvl w:val="0"/>
        <w:numId w:val="14"/>
      </w:numPr>
      <w:tabs>
        <w:tab w:val="left" w:pos="425"/>
        <w:tab w:val="clear" w:pos="2040"/>
      </w:tabs>
      <w:autoSpaceDE/>
      <w:autoSpaceDN/>
      <w:adjustRightInd/>
      <w:snapToGrid/>
      <w:spacing w:line="415" w:lineRule="auto"/>
      <w:ind w:left="0" w:firstLine="0"/>
      <w:jc w:val="both"/>
      <w:textAlignment w:val="auto"/>
    </w:pPr>
    <w:rPr>
      <w:rFonts w:ascii="Arial" w:hAnsi="Arial"/>
      <w:b/>
      <w:kern w:val="2"/>
      <w:sz w:val="32"/>
      <w:szCs w:val="32"/>
    </w:rPr>
  </w:style>
  <w:style w:type="paragraph" w:customStyle="1" w:styleId="24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0">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25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2">
    <w:name w:val="font6"/>
    <w:basedOn w:val="1"/>
    <w:qFormat/>
    <w:uiPriority w:val="0"/>
    <w:pPr>
      <w:widowControl/>
      <w:spacing w:before="100" w:beforeAutospacing="1" w:after="100" w:afterAutospacing="1"/>
      <w:jc w:val="left"/>
    </w:pPr>
    <w:rPr>
      <w:kern w:val="0"/>
      <w:sz w:val="24"/>
    </w:rPr>
  </w:style>
  <w:style w:type="paragraph" w:customStyle="1" w:styleId="25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5">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6">
    <w:name w:val="样式 首行缩进:  0.85 厘米"/>
    <w:basedOn w:val="1"/>
    <w:qFormat/>
    <w:uiPriority w:val="0"/>
    <w:pPr>
      <w:spacing w:line="360" w:lineRule="auto"/>
      <w:ind w:firstLine="200" w:firstLineChars="200"/>
    </w:pPr>
    <w:rPr>
      <w:rFonts w:cs="宋体"/>
      <w:sz w:val="24"/>
      <w:szCs w:val="20"/>
    </w:rPr>
  </w:style>
  <w:style w:type="paragraph" w:customStyle="1" w:styleId="257">
    <w:name w:val="列举"/>
    <w:basedOn w:val="1"/>
    <w:qFormat/>
    <w:uiPriority w:val="0"/>
    <w:pPr>
      <w:numPr>
        <w:ilvl w:val="0"/>
        <w:numId w:val="15"/>
      </w:numPr>
      <w:spacing w:line="360" w:lineRule="auto"/>
    </w:pPr>
    <w:rPr>
      <w:rFonts w:ascii="宋体"/>
    </w:rPr>
  </w:style>
  <w:style w:type="paragraph" w:customStyle="1" w:styleId="258">
    <w:name w:val="正文1"/>
    <w:basedOn w:val="1"/>
    <w:qFormat/>
    <w:uiPriority w:val="0"/>
    <w:pPr>
      <w:spacing w:line="360" w:lineRule="auto"/>
    </w:pPr>
    <w:rPr>
      <w:rFonts w:ascii="宋体" w:hAnsi="宋体"/>
      <w:sz w:val="24"/>
    </w:rPr>
  </w:style>
  <w:style w:type="paragraph" w:customStyle="1" w:styleId="259">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0">
    <w:name w:val="正文缩进2字符"/>
    <w:basedOn w:val="44"/>
    <w:qFormat/>
    <w:uiPriority w:val="0"/>
    <w:pPr>
      <w:spacing w:after="0" w:line="360" w:lineRule="auto"/>
      <w:ind w:firstLine="200" w:firstLineChars="200"/>
    </w:pPr>
    <w:rPr>
      <w:sz w:val="24"/>
      <w:szCs w:val="24"/>
    </w:rPr>
  </w:style>
  <w:style w:type="paragraph" w:customStyle="1" w:styleId="261">
    <w:name w:val="font8"/>
    <w:basedOn w:val="1"/>
    <w:qFormat/>
    <w:uiPriority w:val="0"/>
    <w:pPr>
      <w:widowControl/>
      <w:spacing w:before="100" w:beforeAutospacing="1" w:after="100" w:afterAutospacing="1"/>
      <w:jc w:val="left"/>
    </w:pPr>
    <w:rPr>
      <w:kern w:val="0"/>
      <w:sz w:val="20"/>
      <w:szCs w:val="20"/>
    </w:rPr>
  </w:style>
  <w:style w:type="paragraph" w:customStyle="1" w:styleId="262">
    <w:name w:val="Char Char1 Char Char Char Char Char Char"/>
    <w:basedOn w:val="1"/>
    <w:qFormat/>
    <w:uiPriority w:val="0"/>
    <w:pPr>
      <w:widowControl/>
      <w:numPr>
        <w:ilvl w:val="0"/>
        <w:numId w:val="16"/>
      </w:numPr>
      <w:tabs>
        <w:tab w:val="clear" w:pos="360"/>
      </w:tabs>
      <w:spacing w:after="160" w:line="240" w:lineRule="exact"/>
      <w:ind w:left="0" w:firstLine="0"/>
      <w:jc w:val="center"/>
    </w:pPr>
    <w:rPr>
      <w:rFonts w:ascii="黑体" w:hAnsi="Calibri" w:eastAsia="黑体"/>
      <w:kern w:val="0"/>
      <w:sz w:val="36"/>
      <w:szCs w:val="36"/>
    </w:rPr>
  </w:style>
  <w:style w:type="paragraph" w:customStyle="1" w:styleId="263">
    <w:name w:val="pa-3"/>
    <w:basedOn w:val="1"/>
    <w:qFormat/>
    <w:uiPriority w:val="0"/>
    <w:pPr>
      <w:widowControl/>
      <w:spacing w:before="150" w:after="150"/>
      <w:jc w:val="left"/>
    </w:pPr>
    <w:rPr>
      <w:rFonts w:ascii="宋体" w:hAnsi="宋体" w:cs="宋体"/>
      <w:kern w:val="0"/>
      <w:sz w:val="24"/>
    </w:rPr>
  </w:style>
  <w:style w:type="paragraph" w:customStyle="1" w:styleId="264">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65">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6">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7">
    <w:name w:val="列表数字1"/>
    <w:next w:val="44"/>
    <w:qFormat/>
    <w:uiPriority w:val="0"/>
    <w:pPr>
      <w:numPr>
        <w:ilvl w:val="0"/>
        <w:numId w:val="17"/>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26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9">
    <w:name w:val="加点标题"/>
    <w:basedOn w:val="1"/>
    <w:qFormat/>
    <w:uiPriority w:val="0"/>
    <w:pPr>
      <w:numPr>
        <w:ilvl w:val="0"/>
        <w:numId w:val="18"/>
      </w:numPr>
      <w:spacing w:line="360" w:lineRule="auto"/>
    </w:pPr>
    <w:rPr>
      <w:sz w:val="24"/>
    </w:rPr>
  </w:style>
  <w:style w:type="paragraph" w:customStyle="1" w:styleId="270">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7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3">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4">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6">
    <w:name w:val="段"/>
    <w:qFormat/>
    <w:uiPriority w:val="0"/>
    <w:pPr>
      <w:numPr>
        <w:ilvl w:val="0"/>
        <w:numId w:val="19"/>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27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8">
    <w:name w:val="MM Topic 3"/>
    <w:basedOn w:val="4"/>
    <w:qFormat/>
    <w:uiPriority w:val="0"/>
    <w:pPr>
      <w:widowControl w:val="0"/>
      <w:numPr>
        <w:numId w:val="10"/>
      </w:numPr>
      <w:tabs>
        <w:tab w:val="left" w:pos="425"/>
        <w:tab w:val="left" w:pos="1418"/>
        <w:tab w:val="clear" w:pos="432"/>
        <w:tab w:val="clear" w:pos="753"/>
      </w:tabs>
      <w:autoSpaceDE/>
      <w:autoSpaceDN/>
      <w:adjustRightInd/>
      <w:snapToGrid/>
      <w:spacing w:line="415" w:lineRule="auto"/>
      <w:textAlignment w:val="auto"/>
    </w:pPr>
    <w:rPr>
      <w:rFonts w:ascii="Times New Roman" w:eastAsia="宋体"/>
      <w:b/>
      <w:color w:val="auto"/>
      <w:sz w:val="32"/>
      <w:szCs w:val="32"/>
    </w:rPr>
  </w:style>
  <w:style w:type="paragraph" w:customStyle="1" w:styleId="279">
    <w:name w:val="列出段落2"/>
    <w:basedOn w:val="1"/>
    <w:qFormat/>
    <w:uiPriority w:val="0"/>
    <w:pPr>
      <w:ind w:firstLine="420" w:firstLineChars="200"/>
    </w:pPr>
  </w:style>
  <w:style w:type="paragraph" w:customStyle="1" w:styleId="280">
    <w:name w:val="font15"/>
    <w:basedOn w:val="1"/>
    <w:qFormat/>
    <w:uiPriority w:val="0"/>
    <w:pPr>
      <w:widowControl/>
      <w:spacing w:before="100" w:beforeAutospacing="1" w:after="100" w:afterAutospacing="1"/>
      <w:jc w:val="left"/>
    </w:pPr>
    <w:rPr>
      <w:kern w:val="0"/>
      <w:sz w:val="20"/>
      <w:szCs w:val="20"/>
    </w:rPr>
  </w:style>
  <w:style w:type="paragraph" w:customStyle="1" w:styleId="281">
    <w:name w:val="pa-15"/>
    <w:basedOn w:val="1"/>
    <w:qFormat/>
    <w:uiPriority w:val="0"/>
    <w:pPr>
      <w:widowControl/>
      <w:spacing w:before="150" w:after="150"/>
      <w:jc w:val="left"/>
    </w:pPr>
    <w:rPr>
      <w:rFonts w:ascii="宋体" w:hAnsi="宋体" w:cs="宋体"/>
      <w:kern w:val="0"/>
      <w:sz w:val="24"/>
    </w:rPr>
  </w:style>
  <w:style w:type="paragraph" w:customStyle="1" w:styleId="28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84">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285">
    <w:name w:val="Char Char3 Char Char"/>
    <w:basedOn w:val="1"/>
    <w:qFormat/>
    <w:uiPriority w:val="0"/>
    <w:pPr>
      <w:spacing w:line="360" w:lineRule="auto"/>
      <w:ind w:firstLine="200" w:firstLineChars="200"/>
    </w:pPr>
    <w:rPr>
      <w:rFonts w:ascii="宋体" w:hAnsi="宋体" w:cs="宋体"/>
      <w:sz w:val="24"/>
    </w:rPr>
  </w:style>
  <w:style w:type="paragraph" w:customStyle="1" w:styleId="286">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7">
    <w:name w:val="正文序号 2"/>
    <w:basedOn w:val="1"/>
    <w:qFormat/>
    <w:uiPriority w:val="0"/>
    <w:pPr>
      <w:numPr>
        <w:ilvl w:val="1"/>
        <w:numId w:val="7"/>
      </w:numPr>
      <w:tabs>
        <w:tab w:val="left" w:pos="1049"/>
      </w:tabs>
      <w:spacing w:before="60"/>
    </w:pPr>
  </w:style>
  <w:style w:type="paragraph" w:customStyle="1" w:styleId="288">
    <w:name w:val="样式 样式 标题 4Alt+41.1.1.1 Heading 4bulletblbbH44h4H41h41H42... + 自动..."/>
    <w:basedOn w:val="199"/>
    <w:qFormat/>
    <w:uiPriority w:val="0"/>
    <w:pPr>
      <w:numPr>
        <w:ilvl w:val="3"/>
        <w:numId w:val="20"/>
      </w:numPr>
      <w:tabs>
        <w:tab w:val="clear" w:pos="1914"/>
      </w:tabs>
    </w:pPr>
    <w:rPr>
      <w:color w:val="auto"/>
    </w:rPr>
  </w:style>
  <w:style w:type="paragraph" w:styleId="28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291">
    <w:name w:val="MM Topic 5"/>
    <w:basedOn w:val="7"/>
    <w:qFormat/>
    <w:uiPriority w:val="0"/>
    <w:pPr>
      <w:numPr>
        <w:ilvl w:val="4"/>
        <w:numId w:val="10"/>
      </w:numPr>
      <w:tabs>
        <w:tab w:val="left" w:pos="425"/>
        <w:tab w:val="clear" w:pos="2551"/>
      </w:tabs>
    </w:pPr>
    <w:rPr>
      <w:bCs/>
      <w:szCs w:val="28"/>
    </w:rPr>
  </w:style>
  <w:style w:type="paragraph" w:customStyle="1" w:styleId="292">
    <w:name w:val="正文文本样式"/>
    <w:basedOn w:val="1"/>
    <w:qFormat/>
    <w:uiPriority w:val="0"/>
    <w:pPr>
      <w:spacing w:line="360" w:lineRule="auto"/>
      <w:ind w:firstLine="482"/>
    </w:pPr>
    <w:rPr>
      <w:rFonts w:cs="宋体"/>
      <w:sz w:val="24"/>
      <w:szCs w:val="20"/>
    </w:rPr>
  </w:style>
  <w:style w:type="paragraph" w:customStyle="1" w:styleId="29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xl10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5">
    <w:name w:val="MM Topic 4"/>
    <w:basedOn w:val="6"/>
    <w:qFormat/>
    <w:uiPriority w:val="0"/>
    <w:pPr>
      <w:numPr>
        <w:ilvl w:val="3"/>
        <w:numId w:val="10"/>
      </w:numPr>
      <w:tabs>
        <w:tab w:val="left" w:pos="425"/>
        <w:tab w:val="clear" w:pos="1984"/>
      </w:tabs>
    </w:pPr>
    <w:rPr>
      <w:bCs/>
      <w:szCs w:val="28"/>
    </w:rPr>
  </w:style>
  <w:style w:type="paragraph" w:customStyle="1" w:styleId="296">
    <w:name w:val="正文序号 3"/>
    <w:basedOn w:val="1"/>
    <w:qFormat/>
    <w:uiPriority w:val="0"/>
    <w:pPr>
      <w:numPr>
        <w:ilvl w:val="2"/>
        <w:numId w:val="7"/>
      </w:numPr>
      <w:tabs>
        <w:tab w:val="left" w:pos="1259"/>
      </w:tabs>
      <w:spacing w:before="60"/>
    </w:pPr>
  </w:style>
  <w:style w:type="paragraph" w:customStyle="1" w:styleId="297">
    <w:name w:val="Char2"/>
    <w:basedOn w:val="1"/>
    <w:qFormat/>
    <w:uiPriority w:val="0"/>
    <w:pPr>
      <w:tabs>
        <w:tab w:val="left" w:pos="425"/>
      </w:tabs>
      <w:ind w:left="425" w:hanging="425"/>
    </w:pPr>
    <w:rPr>
      <w:sz w:val="24"/>
    </w:rPr>
  </w:style>
  <w:style w:type="paragraph" w:customStyle="1" w:styleId="298">
    <w:name w:val="正文序号 1"/>
    <w:basedOn w:val="1"/>
    <w:qFormat/>
    <w:uiPriority w:val="0"/>
    <w:pPr>
      <w:numPr>
        <w:ilvl w:val="0"/>
        <w:numId w:val="7"/>
      </w:numPr>
      <w:tabs>
        <w:tab w:val="left" w:pos="839"/>
      </w:tabs>
      <w:spacing w:before="60"/>
    </w:pPr>
  </w:style>
  <w:style w:type="paragraph" w:customStyle="1" w:styleId="299">
    <w:name w:val="字元 字元1"/>
    <w:basedOn w:val="1"/>
    <w:qFormat/>
    <w:uiPriority w:val="0"/>
    <w:pPr>
      <w:spacing w:line="360" w:lineRule="auto"/>
      <w:ind w:firstLine="200" w:firstLineChars="200"/>
    </w:pPr>
    <w:rPr>
      <w:rFonts w:ascii="宋体" w:hAnsi="宋体" w:cs="宋体"/>
      <w:sz w:val="24"/>
    </w:rPr>
  </w:style>
  <w:style w:type="paragraph" w:customStyle="1" w:styleId="300">
    <w:name w:val="font12"/>
    <w:basedOn w:val="1"/>
    <w:qFormat/>
    <w:uiPriority w:val="0"/>
    <w:pPr>
      <w:widowControl/>
      <w:spacing w:before="100" w:beforeAutospacing="1" w:after="100" w:afterAutospacing="1"/>
      <w:jc w:val="left"/>
    </w:pPr>
    <w:rPr>
      <w:kern w:val="0"/>
      <w:sz w:val="22"/>
      <w:szCs w:val="22"/>
    </w:rPr>
  </w:style>
  <w:style w:type="paragraph" w:customStyle="1" w:styleId="301">
    <w:name w:val="font9"/>
    <w:basedOn w:val="1"/>
    <w:qFormat/>
    <w:uiPriority w:val="0"/>
    <w:pPr>
      <w:widowControl/>
      <w:spacing w:before="100" w:beforeAutospacing="1" w:after="100" w:afterAutospacing="1"/>
      <w:jc w:val="left"/>
    </w:pPr>
    <w:rPr>
      <w:color w:val="000000"/>
      <w:kern w:val="0"/>
      <w:sz w:val="20"/>
      <w:szCs w:val="20"/>
    </w:rPr>
  </w:style>
  <w:style w:type="character" w:customStyle="1" w:styleId="302">
    <w:name w:val="标题 1 Char2"/>
    <w:qFormat/>
    <w:uiPriority w:val="0"/>
    <w:rPr>
      <w:rFonts w:ascii="黑体" w:eastAsia="黑体"/>
      <w:bCs/>
      <w:kern w:val="44"/>
      <w:sz w:val="24"/>
      <w:szCs w:val="24"/>
    </w:rPr>
  </w:style>
  <w:style w:type="character" w:customStyle="1" w:styleId="303">
    <w:name w:val="Font Style17"/>
    <w:qFormat/>
    <w:uiPriority w:val="0"/>
    <w:rPr>
      <w:rFonts w:ascii="黑体" w:eastAsia="黑体" w:cs="黑体"/>
      <w:sz w:val="28"/>
      <w:szCs w:val="28"/>
    </w:rPr>
  </w:style>
  <w:style w:type="character" w:styleId="304">
    <w:name w:val="Placeholder Text"/>
    <w:basedOn w:val="48"/>
    <w:semiHidden/>
    <w:qFormat/>
    <w:uiPriority w:val="99"/>
    <w:rPr>
      <w:color w:val="808080"/>
    </w:rPr>
  </w:style>
  <w:style w:type="character" w:customStyle="1" w:styleId="305">
    <w:name w:val="正文缩进 Char3"/>
    <w:qFormat/>
    <w:uiPriority w:val="0"/>
    <w:rPr>
      <w:rFonts w:ascii="宋体" w:eastAsia="宋体"/>
      <w:sz w:val="34"/>
      <w:lang w:val="en-US" w:eastAsia="zh-CN" w:bidi="ar-SA"/>
    </w:rPr>
  </w:style>
  <w:style w:type="paragraph" w:customStyle="1" w:styleId="30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7">
    <w:name w:val="Table Paragraph"/>
    <w:basedOn w:val="1"/>
    <w:qFormat/>
    <w:uiPriority w:val="1"/>
    <w:pPr>
      <w:spacing w:before="70"/>
    </w:pPr>
    <w:rPr>
      <w:rFonts w:ascii="宋体" w:hAnsi="宋体" w:eastAsia="宋体" w:cs="宋体"/>
      <w:lang w:val="zh-CN" w:eastAsia="zh-CN" w:bidi="zh-CN"/>
    </w:rPr>
  </w:style>
  <w:style w:type="paragraph" w:customStyle="1" w:styleId="308">
    <w:name w:val="首行缩进"/>
    <w:basedOn w:val="1"/>
    <w:qFormat/>
    <w:uiPriority w:val="0"/>
    <w:pPr>
      <w:spacing w:line="360" w:lineRule="auto"/>
      <w:ind w:firstLine="480" w:firstLineChars="200"/>
    </w:pPr>
    <w:rPr>
      <w:rFonts w:ascii="宋体" w:hAnsi="宋体" w:cs="宋体"/>
      <w:kern w:val="0"/>
      <w:sz w:val="24"/>
    </w:rPr>
  </w:style>
  <w:style w:type="paragraph" w:customStyle="1" w:styleId="309">
    <w:name w:val="_Style 22"/>
    <w:basedOn w:val="1"/>
    <w:next w:val="192"/>
    <w:qFormat/>
    <w:uiPriority w:val="34"/>
    <w:pPr>
      <w:ind w:firstLine="420" w:firstLineChars="200"/>
    </w:pPr>
    <w:rPr>
      <w:rFonts w:ascii="Times New Roman" w:hAnsi="Times New Roman" w:cs="Times New Roman"/>
      <w:kern w:val="0"/>
      <w:sz w:val="20"/>
      <w:szCs w:val="24"/>
    </w:rPr>
  </w:style>
  <w:style w:type="character" w:customStyle="1" w:styleId="310">
    <w:name w:val="font41"/>
    <w:basedOn w:val="48"/>
    <w:qFormat/>
    <w:uiPriority w:val="0"/>
    <w:rPr>
      <w:rFonts w:hint="eastAsia" w:ascii="宋体" w:hAnsi="宋体" w:eastAsia="宋体" w:cs="宋体"/>
      <w:b/>
      <w:bCs/>
      <w:color w:val="FF0000"/>
      <w:sz w:val="20"/>
      <w:szCs w:val="20"/>
      <w:u w:val="none"/>
    </w:rPr>
  </w:style>
  <w:style w:type="paragraph" w:customStyle="1" w:styleId="3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9819</Words>
  <Characters>10417</Characters>
  <Lines>286</Lines>
  <Paragraphs>80</Paragraphs>
  <TotalTime>15</TotalTime>
  <ScaleCrop>false</ScaleCrop>
  <LinksUpToDate>false</LinksUpToDate>
  <CharactersWithSpaces>10615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2017-11-22T01:06:00Z</dcterms:created>
  <dc:creator>杨佳佳</dc:creator>
  <cp:lastModifiedBy>.</cp:lastModifiedBy>
  <cp:lastPrinted>2025-07-11T06:42:00Z</cp:lastPrinted>
  <dcterms:modified xsi:type="dcterms:W3CDTF">2025-08-03T05:55:42Z</dcterms:modified>
  <dc:title>货物公开招标</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E0B6C10659A44F5C81DAC4B79408920D</vt:lpwstr>
  </property>
  <property fmtid="{D5CDD505-2E9C-101B-9397-08002B2CF9AE}" pid="4" name="KSOTemplateDocerSaveRecord">
    <vt:lpwstr>eyJoZGlkIjoiZTlkZDI4OTU0OTVjNTMzM2YzMjAyM2UzMzBmMTY0ZjIiLCJ1c2VySWQiOiI2MTE2ODE2MTUifQ==</vt:lpwstr>
  </property>
</Properties>
</file>